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52"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2016</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2" w:lineRule="exact"/>
        <w:rPr>
          <w:sz w:val="24"/>
          <w:szCs w:val="24"/>
          <w:color w:val="auto"/>
        </w:rPr>
      </w:pPr>
    </w:p>
    <w:p>
      <w:pPr>
        <w:ind w:left="720" w:right="140" w:hanging="685"/>
        <w:spacing w:after="0" w:line="262" w:lineRule="auto"/>
        <w:tabs>
          <w:tab w:leader="none" w:pos="7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6" w:lineRule="exact"/>
        <w:rPr>
          <w:sz w:val="24"/>
          <w:szCs w:val="24"/>
          <w:color w:val="auto"/>
        </w:rPr>
      </w:pPr>
    </w:p>
    <w:p>
      <w:pPr>
        <w:ind w:left="4020"/>
        <w:spacing w:after="0"/>
        <w:tabs>
          <w:tab w:leader="none" w:pos="66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0-26224</w:t>
      </w:r>
    </w:p>
    <w:p>
      <w:pPr>
        <w:spacing w:after="0" w:line="2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57" w:lineRule="exact"/>
        <w:rPr>
          <w:sz w:val="24"/>
          <w:szCs w:val="24"/>
          <w:color w:val="auto"/>
        </w:rPr>
      </w:pPr>
    </w:p>
    <w:tbl>
      <w:tblPr>
        <w:tblLayout w:type="fixed"/>
        <w:tblInd w:w="1120" w:type="dxa"/>
        <w:tblCellMar>
          <w:top w:w="0" w:type="dxa"/>
          <w:left w:w="0" w:type="dxa"/>
          <w:bottom w:w="0" w:type="dxa"/>
          <w:right w:w="0" w:type="dxa"/>
        </w:tblCellMar>
      </w:tblPr>
      <w:tr>
        <w:trPr>
          <w:trHeight w:val="23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2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7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5080" w:type="dxa"/>
            <w:vAlign w:val="bottom"/>
          </w:tcPr>
          <w:p>
            <w:pPr>
              <w:jc w:val="center"/>
              <w:ind w:right="1599"/>
              <w:spacing w:after="0"/>
              <w:rPr>
                <w:sz w:val="20"/>
                <w:szCs w:val="20"/>
                <w:color w:val="auto"/>
              </w:rPr>
            </w:pPr>
            <w:r>
              <w:rPr>
                <w:rFonts w:ascii="Times New Roman" w:cs="Times New Roman" w:eastAsia="Times New Roman" w:hAnsi="Times New Roman"/>
                <w:sz w:val="18"/>
                <w:szCs w:val="18"/>
                <w:b w:val="1"/>
                <w:bCs w:val="1"/>
                <w:color w:val="auto"/>
                <w:w w:val="99"/>
              </w:rPr>
              <w:t>311 ENTERPRISE DRIVE</w:t>
            </w:r>
          </w:p>
        </w:tc>
        <w:tc>
          <w:tcPr>
            <w:tcW w:w="3260" w:type="dxa"/>
            <w:vAlign w:val="bottom"/>
          </w:tcPr>
          <w:p>
            <w:pPr>
              <w:spacing w:after="0"/>
              <w:rPr>
                <w:sz w:val="24"/>
                <w:szCs w:val="24"/>
                <w:color w:val="auto"/>
              </w:rPr>
            </w:pPr>
          </w:p>
        </w:tc>
      </w:tr>
      <w:tr>
        <w:trPr>
          <w:trHeight w:val="23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8"/>
                <w:szCs w:val="18"/>
                <w:b w:val="1"/>
                <w:bCs w:val="1"/>
                <w:color w:val="auto"/>
              </w:rPr>
              <w:t>PLAINSBORO, NEW JERSEY</w:t>
            </w:r>
          </w:p>
        </w:tc>
        <w:tc>
          <w:tcPr>
            <w:tcW w:w="326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08536</w:t>
            </w:r>
          </w:p>
        </w:tc>
      </w:tr>
      <w:tr>
        <w:trPr>
          <w:trHeight w:val="220"/>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(609) 275-0500</w:t>
      </w:r>
    </w:p>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75" w:lineRule="exact"/>
        <w:rPr>
          <w:sz w:val="24"/>
          <w:szCs w:val="24"/>
          <w:color w:val="auto"/>
        </w:rPr>
      </w:pPr>
    </w:p>
    <w:tbl>
      <w:tblPr>
        <w:tblLayout w:type="fixed"/>
        <w:tblInd w:w="17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360" w:type="dxa"/>
            <w:vAlign w:val="bottom"/>
            <w:gridSpan w:val="2"/>
          </w:tcPr>
          <w:p>
            <w:pPr>
              <w:jc w:val="center"/>
              <w:ind w:right="20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980" w:type="dxa"/>
            <w:vAlign w:val="bottom"/>
            <w:gridSpan w:val="2"/>
          </w:tcPr>
          <w:p>
            <w:pPr>
              <w:jc w:val="center"/>
              <w:ind w:left="111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8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91"/>
        </w:trPr>
        <w:tc>
          <w:tcPr>
            <w:tcW w:w="420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20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80" w:lineRule="exact"/>
        <w:rPr>
          <w:sz w:val="24"/>
          <w:szCs w:val="24"/>
          <w:color w:val="auto"/>
        </w:rPr>
      </w:pPr>
    </w:p>
    <w:p>
      <w:pPr>
        <w:ind w:right="2340"/>
        <w:spacing w:after="0" w:line="553" w:lineRule="auto"/>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 x No o Indicate by check mark if the registrant is not required to file reports pursuant to Section 13 or 15(d) of the Securities Exchange Act. Yes o No x</w:t>
      </w:r>
    </w:p>
    <w:p>
      <w:pPr>
        <w:spacing w:after="0" w:line="125" w:lineRule="exact"/>
        <w:rPr>
          <w:sz w:val="24"/>
          <w:szCs w:val="24"/>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14"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43" w:lineRule="exact"/>
        <w:rPr>
          <w:sz w:val="24"/>
          <w:szCs w:val="24"/>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ectPr>
          <w:pgSz w:w="11900" w:h="16838" w:orient="portrait"/>
          <w:cols w:equalWidth="0" w:num="1">
            <w:col w:w="11380"/>
          </w:cols>
          <w:pgMar w:left="240" w:top="50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507" w:right="279" w:bottom="1440" w:gutter="0" w:footer="0" w:header="0"/>
          <w:type w:val="continuous"/>
        </w:sectPr>
      </w:pPr>
    </w:p>
    <w:bookmarkStart w:id="1" w:name="page2"/>
    <w:bookmarkEnd w:id="1"/>
    <w:p>
      <w:pPr>
        <w:ind w:right="3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Large accelerated filer</w:t>
            </w:r>
          </w:p>
        </w:tc>
        <w:tc>
          <w:tcPr>
            <w:tcW w:w="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x</w:t>
            </w:r>
          </w:p>
        </w:tc>
        <w:tc>
          <w:tcPr>
            <w:tcW w:w="58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74"/>
              </w:rPr>
              <w:t>o</w:t>
            </w:r>
          </w:p>
        </w:tc>
      </w:tr>
      <w:tr>
        <w:trPr>
          <w:trHeight w:val="581"/>
        </w:trPr>
        <w:tc>
          <w:tcPr>
            <w:tcW w:w="1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Non-accelerated filer</w:t>
            </w:r>
          </w:p>
        </w:tc>
        <w:tc>
          <w:tcPr>
            <w:tcW w:w="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w:t>
            </w:r>
          </w:p>
        </w:tc>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 not check if a smaller reporting company)</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74"/>
              </w:rPr>
              <w:t>o</w:t>
            </w:r>
          </w:p>
        </w:tc>
      </w:tr>
      <w:tr>
        <w:trPr>
          <w:trHeight w:val="410"/>
        </w:trPr>
        <w:tc>
          <w:tcPr>
            <w:tcW w:w="8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4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As of June 30, 2016, the aggregate market value of the registrant’s common stock held by non-affiliates was approximately $2,393.5 million based upon the closing sales price of the registrant’s common stock on The Nasdaq Global Market on such date. The number of shares of the registrant’s Common Stock, $0.01 par value, outstanding as of February 21, 2017 was 74,816,177.</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Certain portions of the registrant’s definitive proxy statement relating to its scheduled May 24, 2017 Annual Meeting of Stockholders are incorporated by reference in Part III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40" w:type="dxa"/>
            <w:vAlign w:val="bottom"/>
            <w:gridSpan w:val="10"/>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INTEGRA LIFESCIENCES HOLDINGS CORPORATION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0" w:type="dxa"/>
            <w:vAlign w:val="bottom"/>
            <w:gridSpan w:val="8"/>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2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3"/>
        </w:trPr>
        <w:tc>
          <w:tcPr>
            <w:tcW w:w="580" w:type="dxa"/>
            <w:vAlign w:val="bottom"/>
            <w:vMerge w:val="restart"/>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PART I</w:t>
              </w:r>
            </w:hyperlink>
          </w:p>
        </w:tc>
        <w:tc>
          <w:tcPr>
            <w:tcW w:w="9780" w:type="dxa"/>
            <w:vAlign w:val="bottom"/>
            <w:gridSpan w:val="19"/>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80" w:type="dxa"/>
            <w:vAlign w:val="bottom"/>
            <w:tcBorders>
              <w:bottom w:val="single" w:sz="8" w:color="0000FF"/>
            </w:tcBorders>
            <w:vMerge w:val="continue"/>
          </w:tcPr>
          <w:p>
            <w:pPr>
              <w:spacing w:after="0"/>
              <w:rPr>
                <w:sz w:val="14"/>
                <w:szCs w:val="14"/>
                <w:color w:val="auto"/>
              </w:rPr>
            </w:pPr>
          </w:p>
        </w:tc>
        <w:tc>
          <w:tcPr>
            <w:tcW w:w="9780" w:type="dxa"/>
            <w:vAlign w:val="bottom"/>
            <w:gridSpan w:val="19"/>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940" w:type="dxa"/>
            <w:vAlign w:val="bottom"/>
            <w:gridSpan w:val="2"/>
          </w:tcPr>
          <w:p>
            <w:pPr>
              <w:spacing w:after="0"/>
              <w:rPr>
                <w:rFonts w:ascii="Times New Roman" w:cs="Times New Roman" w:eastAsia="Times New Roman" w:hAnsi="Times New Roman"/>
                <w:sz w:val="16"/>
                <w:szCs w:val="16"/>
                <w:color w:val="0000EE"/>
                <w:w w:val="86"/>
              </w:rPr>
            </w:pPr>
            <w:hyperlink w:anchor="page4">
              <w:r>
                <w:rPr>
                  <w:rFonts w:ascii="Times New Roman" w:cs="Times New Roman" w:eastAsia="Times New Roman" w:hAnsi="Times New Roman"/>
                  <w:sz w:val="16"/>
                  <w:szCs w:val="16"/>
                  <w:color w:val="0000EE"/>
                  <w:w w:val="86"/>
                </w:rPr>
                <w:t>Item 1. Business</w:t>
              </w:r>
            </w:hyperlink>
          </w:p>
        </w:tc>
        <w:tc>
          <w:tcPr>
            <w:tcW w:w="8840" w:type="dxa"/>
            <w:vAlign w:val="bottom"/>
            <w:gridSpan w:val="17"/>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300" w:type="dxa"/>
            <w:vAlign w:val="bottom"/>
            <w:gridSpan w:val="4"/>
          </w:tcPr>
          <w:p>
            <w:pPr>
              <w:spacing w:after="0"/>
              <w:rPr>
                <w:rFonts w:ascii="Times New Roman" w:cs="Times New Roman" w:eastAsia="Times New Roman" w:hAnsi="Times New Roman"/>
                <w:sz w:val="16"/>
                <w:szCs w:val="16"/>
                <w:color w:val="0000EE"/>
                <w:w w:val="90"/>
              </w:rPr>
            </w:pPr>
            <w:hyperlink w:anchor="page12">
              <w:r>
                <w:rPr>
                  <w:rFonts w:ascii="Times New Roman" w:cs="Times New Roman" w:eastAsia="Times New Roman" w:hAnsi="Times New Roman"/>
                  <w:sz w:val="16"/>
                  <w:szCs w:val="16"/>
                  <w:color w:val="0000EE"/>
                  <w:w w:val="90"/>
                </w:rPr>
                <w:t>Item 1A. Risk Factors</w:t>
              </w:r>
            </w:hyperlink>
          </w:p>
        </w:tc>
        <w:tc>
          <w:tcPr>
            <w:tcW w:w="8480" w:type="dxa"/>
            <w:vAlign w:val="bottom"/>
            <w:gridSpan w:val="15"/>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12">
              <w:r>
                <w:rPr>
                  <w:rFonts w:ascii="Times New Roman" w:cs="Times New Roman" w:eastAsia="Times New Roman" w:hAnsi="Times New Roman"/>
                  <w:sz w:val="16"/>
                  <w:szCs w:val="16"/>
                  <w:color w:val="0000FF"/>
                </w:rPr>
                <w:t>12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19"/>
          </w:tcPr>
          <w:p>
            <w:pPr>
              <w:spacing w:after="0"/>
              <w:rPr>
                <w:rFonts w:ascii="Times New Roman" w:cs="Times New Roman" w:eastAsia="Times New Roman" w:hAnsi="Times New Roman"/>
                <w:sz w:val="16"/>
                <w:szCs w:val="16"/>
                <w:color w:val="0000EE"/>
              </w:rPr>
            </w:pPr>
            <w:hyperlink w:anchor="page27">
              <w:r>
                <w:rPr>
                  <w:rFonts w:ascii="Times New Roman" w:cs="Times New Roman" w:eastAsia="Times New Roman" w:hAnsi="Times New Roman"/>
                  <w:sz w:val="16"/>
                  <w:szCs w:val="16"/>
                  <w:color w:val="0000EE"/>
                </w:rPr>
                <w:t>Item 1B. Unresolved Staff Comment</w:t>
              </w:r>
            </w:hyperlink>
            <w:r>
              <w:rPr>
                <w:rFonts w:ascii="Times New Roman" w:cs="Times New Roman" w:eastAsia="Times New Roman" w:hAnsi="Times New Roman"/>
                <w:sz w:val="16"/>
                <w:szCs w:val="16"/>
                <w:u w:val="single" w:color="auto"/>
                <w:color w:val="1A3CBF"/>
              </w:rPr>
              <w:t>s</w:t>
            </w: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27</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020" w:type="dxa"/>
            <w:vAlign w:val="bottom"/>
            <w:gridSpan w:val="3"/>
          </w:tcPr>
          <w:p>
            <w:pPr>
              <w:spacing w:after="0"/>
              <w:rPr>
                <w:rFonts w:ascii="Times New Roman" w:cs="Times New Roman" w:eastAsia="Times New Roman" w:hAnsi="Times New Roman"/>
                <w:sz w:val="16"/>
                <w:szCs w:val="16"/>
                <w:color w:val="0000EE"/>
                <w:w w:val="87"/>
              </w:rPr>
            </w:pPr>
            <w:hyperlink w:anchor="page28">
              <w:r>
                <w:rPr>
                  <w:rFonts w:ascii="Times New Roman" w:cs="Times New Roman" w:eastAsia="Times New Roman" w:hAnsi="Times New Roman"/>
                  <w:sz w:val="16"/>
                  <w:szCs w:val="16"/>
                  <w:color w:val="0000EE"/>
                  <w:w w:val="87"/>
                </w:rPr>
                <w:t>Item 2. Properties</w:t>
              </w:r>
            </w:hyperlink>
          </w:p>
        </w:tc>
        <w:tc>
          <w:tcPr>
            <w:tcW w:w="1220" w:type="dxa"/>
            <w:vAlign w:val="bottom"/>
            <w:gridSpan w:val="6"/>
          </w:tcPr>
          <w:p>
            <w:pPr>
              <w:spacing w:after="0"/>
              <w:rPr>
                <w:sz w:val="20"/>
                <w:szCs w:val="20"/>
                <w:color w:val="auto"/>
              </w:rPr>
            </w:pPr>
          </w:p>
        </w:tc>
        <w:tc>
          <w:tcPr>
            <w:tcW w:w="7540" w:type="dxa"/>
            <w:vAlign w:val="bottom"/>
            <w:gridSpan w:val="10"/>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28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19"/>
          </w:tcPr>
          <w:p>
            <w:pPr>
              <w:spacing w:after="0"/>
              <w:rPr>
                <w:rFonts w:ascii="Times New Roman" w:cs="Times New Roman" w:eastAsia="Times New Roman" w:hAnsi="Times New Roman"/>
                <w:sz w:val="16"/>
                <w:szCs w:val="16"/>
                <w:color w:val="0000EE"/>
              </w:rPr>
            </w:pPr>
            <w:hyperlink w:anchor="page28">
              <w:r>
                <w:rPr>
                  <w:rFonts w:ascii="Times New Roman" w:cs="Times New Roman" w:eastAsia="Times New Roman" w:hAnsi="Times New Roman"/>
                  <w:sz w:val="16"/>
                  <w:szCs w:val="16"/>
                  <w:color w:val="0000EE"/>
                </w:rPr>
                <w:t>Item 3. Legal Proceedings</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28">
              <w:r>
                <w:rPr>
                  <w:rFonts w:ascii="Times New Roman" w:cs="Times New Roman" w:eastAsia="Times New Roman" w:hAnsi="Times New Roman"/>
                  <w:sz w:val="16"/>
                  <w:szCs w:val="16"/>
                  <w:color w:val="0000FF"/>
                </w:rPr>
                <w:t>28</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40" w:type="dxa"/>
            <w:vAlign w:val="bottom"/>
            <w:gridSpan w:val="7"/>
          </w:tcPr>
          <w:p>
            <w:pPr>
              <w:spacing w:after="0"/>
              <w:rPr>
                <w:rFonts w:ascii="Times New Roman" w:cs="Times New Roman" w:eastAsia="Times New Roman" w:hAnsi="Times New Roman"/>
                <w:sz w:val="16"/>
                <w:szCs w:val="16"/>
                <w:color w:val="0000EE"/>
                <w:w w:val="91"/>
              </w:rPr>
            </w:pPr>
            <w:hyperlink w:anchor="page29">
              <w:r>
                <w:rPr>
                  <w:rFonts w:ascii="Times New Roman" w:cs="Times New Roman" w:eastAsia="Times New Roman" w:hAnsi="Times New Roman"/>
                  <w:sz w:val="16"/>
                  <w:szCs w:val="16"/>
                  <w:color w:val="0000EE"/>
                  <w:w w:val="91"/>
                </w:rPr>
                <w:t>Item 4. Mine Safety Disclosures</w:t>
              </w:r>
            </w:hyperlink>
          </w:p>
        </w:tc>
        <w:tc>
          <w:tcPr>
            <w:tcW w:w="7840" w:type="dxa"/>
            <w:vAlign w:val="bottom"/>
            <w:gridSpan w:val="12"/>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29">
              <w:r>
                <w:rPr>
                  <w:rFonts w:ascii="Times New Roman" w:cs="Times New Roman" w:eastAsia="Times New Roman" w:hAnsi="Times New Roman"/>
                  <w:sz w:val="16"/>
                  <w:szCs w:val="16"/>
                  <w:color w:val="0000FF"/>
                </w:rPr>
                <w:t>29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 w:type="dxa"/>
            <w:vAlign w:val="bottom"/>
            <w:tcBorders>
              <w:bottom w:val="single" w:sz="8" w:color="0000FF"/>
            </w:tcBorders>
          </w:tcPr>
          <w:p>
            <w:pPr>
              <w:spacing w:after="0"/>
              <w:rPr>
                <w:rFonts w:ascii="Times New Roman" w:cs="Times New Roman" w:eastAsia="Times New Roman" w:hAnsi="Times New Roman"/>
                <w:sz w:val="16"/>
                <w:szCs w:val="16"/>
                <w:color w:val="0000FF"/>
                <w:w w:val="97"/>
              </w:rPr>
            </w:pPr>
            <w:hyperlink w:anchor="page29">
              <w:r>
                <w:rPr>
                  <w:rFonts w:ascii="Times New Roman" w:cs="Times New Roman" w:eastAsia="Times New Roman" w:hAnsi="Times New Roman"/>
                  <w:sz w:val="16"/>
                  <w:szCs w:val="16"/>
                  <w:color w:val="0000FF"/>
                  <w:w w:val="97"/>
                </w:rPr>
                <w:t>PART II</w:t>
              </w:r>
            </w:hyperlink>
          </w:p>
        </w:tc>
        <w:tc>
          <w:tcPr>
            <w:tcW w:w="9780" w:type="dxa"/>
            <w:vAlign w:val="bottom"/>
            <w:gridSpan w:val="19"/>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7660" w:type="dxa"/>
            <w:vAlign w:val="bottom"/>
            <w:gridSpan w:val="18"/>
          </w:tcPr>
          <w:p>
            <w:pPr>
              <w:spacing w:after="0"/>
              <w:rPr>
                <w:rFonts w:ascii="Times New Roman" w:cs="Times New Roman" w:eastAsia="Times New Roman" w:hAnsi="Times New Roman"/>
                <w:sz w:val="16"/>
                <w:szCs w:val="16"/>
                <w:color w:val="0000EE"/>
                <w:w w:val="99"/>
              </w:rPr>
            </w:pPr>
            <w:hyperlink w:anchor="page29">
              <w:r>
                <w:rPr>
                  <w:rFonts w:ascii="Times New Roman" w:cs="Times New Roman" w:eastAsia="Times New Roman" w:hAnsi="Times New Roman"/>
                  <w:sz w:val="16"/>
                  <w:szCs w:val="16"/>
                  <w:color w:val="0000EE"/>
                  <w:w w:val="99"/>
                </w:rPr>
                <w:t>Item 5. Market for Registrant's Common Equity, Related Stockholder Matters and Issuer Purchases of Equity Securities</w:t>
              </w:r>
            </w:hyperlink>
          </w:p>
        </w:tc>
        <w:tc>
          <w:tcPr>
            <w:tcW w:w="2120" w:type="dxa"/>
            <w:vAlign w:val="bottom"/>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29">
              <w:r>
                <w:rPr>
                  <w:rFonts w:ascii="Times New Roman" w:cs="Times New Roman" w:eastAsia="Times New Roman" w:hAnsi="Times New Roman"/>
                  <w:sz w:val="16"/>
                  <w:szCs w:val="16"/>
                  <w:color w:val="0000FF"/>
                </w:rPr>
                <w:t>29</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940" w:type="dxa"/>
            <w:vAlign w:val="bottom"/>
            <w:gridSpan w:val="7"/>
          </w:tcPr>
          <w:p>
            <w:pPr>
              <w:spacing w:after="0"/>
              <w:rPr>
                <w:rFonts w:ascii="Times New Roman" w:cs="Times New Roman" w:eastAsia="Times New Roman" w:hAnsi="Times New Roman"/>
                <w:sz w:val="16"/>
                <w:szCs w:val="16"/>
                <w:color w:val="0000EE"/>
                <w:w w:val="94"/>
              </w:rPr>
            </w:pPr>
            <w:hyperlink w:anchor="page30">
              <w:r>
                <w:rPr>
                  <w:rFonts w:ascii="Times New Roman" w:cs="Times New Roman" w:eastAsia="Times New Roman" w:hAnsi="Times New Roman"/>
                  <w:sz w:val="16"/>
                  <w:szCs w:val="16"/>
                  <w:color w:val="0000EE"/>
                  <w:w w:val="94"/>
                </w:rPr>
                <w:t>Item 6. Selected Financial Data</w:t>
              </w:r>
            </w:hyperlink>
          </w:p>
        </w:tc>
        <w:tc>
          <w:tcPr>
            <w:tcW w:w="5720" w:type="dxa"/>
            <w:vAlign w:val="bottom"/>
            <w:gridSpan w:val="11"/>
          </w:tcPr>
          <w:p>
            <w:pPr>
              <w:spacing w:after="0"/>
              <w:rPr>
                <w:sz w:val="20"/>
                <w:szCs w:val="20"/>
                <w:color w:val="auto"/>
              </w:rPr>
            </w:pPr>
          </w:p>
        </w:tc>
        <w:tc>
          <w:tcPr>
            <w:tcW w:w="2120" w:type="dxa"/>
            <w:vAlign w:val="bottom"/>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0">
              <w:r>
                <w:rPr>
                  <w:rFonts w:ascii="Times New Roman" w:cs="Times New Roman" w:eastAsia="Times New Roman" w:hAnsi="Times New Roman"/>
                  <w:sz w:val="16"/>
                  <w:szCs w:val="16"/>
                  <w:color w:val="0000FF"/>
                </w:rPr>
                <w:t>30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19"/>
          </w:tcPr>
          <w:p>
            <w:pPr>
              <w:spacing w:after="0"/>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Item 7. Management's Discussion and Analysis of Financial Condition and Results of Operations</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1">
              <w:r>
                <w:rPr>
                  <w:rFonts w:ascii="Times New Roman" w:cs="Times New Roman" w:eastAsia="Times New Roman" w:hAnsi="Times New Roman"/>
                  <w:sz w:val="16"/>
                  <w:szCs w:val="16"/>
                  <w:color w:val="0000FF"/>
                </w:rPr>
                <w:t>31</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200" w:type="dxa"/>
            <w:vAlign w:val="bottom"/>
            <w:gridSpan w:val="15"/>
          </w:tcPr>
          <w:p>
            <w:pPr>
              <w:spacing w:after="0"/>
              <w:rPr>
                <w:rFonts w:ascii="Times New Roman" w:cs="Times New Roman" w:eastAsia="Times New Roman" w:hAnsi="Times New Roman"/>
                <w:sz w:val="16"/>
                <w:szCs w:val="16"/>
                <w:color w:val="0000EE"/>
              </w:rPr>
            </w:pPr>
            <w:hyperlink w:anchor="page50">
              <w:r>
                <w:rPr>
                  <w:rFonts w:ascii="Times New Roman" w:cs="Times New Roman" w:eastAsia="Times New Roman" w:hAnsi="Times New Roman"/>
                  <w:sz w:val="16"/>
                  <w:szCs w:val="16"/>
                  <w:color w:val="0000EE"/>
                </w:rPr>
                <w:t>Item 7A. Quantitative and Qualitative Disclosures About Market Risk</w:t>
              </w:r>
            </w:hyperlink>
          </w:p>
        </w:tc>
        <w:tc>
          <w:tcPr>
            <w:tcW w:w="3580" w:type="dxa"/>
            <w:vAlign w:val="bottom"/>
            <w:gridSpan w:val="4"/>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0">
              <w:r>
                <w:rPr>
                  <w:rFonts w:ascii="Times New Roman" w:cs="Times New Roman" w:eastAsia="Times New Roman" w:hAnsi="Times New Roman"/>
                  <w:sz w:val="16"/>
                  <w:szCs w:val="16"/>
                  <w:color w:val="0000FF"/>
                </w:rPr>
                <w:t>50</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380" w:type="dxa"/>
            <w:vAlign w:val="bottom"/>
            <w:gridSpan w:val="11"/>
          </w:tcPr>
          <w:p>
            <w:pPr>
              <w:spacing w:after="0"/>
              <w:rPr>
                <w:rFonts w:ascii="Times New Roman" w:cs="Times New Roman" w:eastAsia="Times New Roman" w:hAnsi="Times New Roman"/>
                <w:sz w:val="16"/>
                <w:szCs w:val="16"/>
                <w:color w:val="0000EE"/>
                <w:w w:val="96"/>
              </w:rPr>
            </w:pPr>
            <w:hyperlink w:anchor="page51">
              <w:r>
                <w:rPr>
                  <w:rFonts w:ascii="Times New Roman" w:cs="Times New Roman" w:eastAsia="Times New Roman" w:hAnsi="Times New Roman"/>
                  <w:sz w:val="16"/>
                  <w:szCs w:val="16"/>
                  <w:color w:val="0000EE"/>
                  <w:w w:val="96"/>
                </w:rPr>
                <w:t>Item 8. Financial Statements and Supplementary Data</w:t>
              </w:r>
            </w:hyperlink>
          </w:p>
        </w:tc>
        <w:tc>
          <w:tcPr>
            <w:tcW w:w="1060" w:type="dxa"/>
            <w:vAlign w:val="bottom"/>
            <w:gridSpan w:val="2"/>
          </w:tcPr>
          <w:p>
            <w:pPr>
              <w:spacing w:after="0"/>
              <w:rPr>
                <w:sz w:val="20"/>
                <w:szCs w:val="20"/>
                <w:color w:val="auto"/>
              </w:rPr>
            </w:pPr>
          </w:p>
        </w:tc>
        <w:tc>
          <w:tcPr>
            <w:tcW w:w="5340" w:type="dxa"/>
            <w:vAlign w:val="bottom"/>
            <w:gridSpan w:val="6"/>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1">
              <w:r>
                <w:rPr>
                  <w:rFonts w:ascii="Times New Roman" w:cs="Times New Roman" w:eastAsia="Times New Roman" w:hAnsi="Times New Roman"/>
                  <w:sz w:val="16"/>
                  <w:szCs w:val="16"/>
                  <w:color w:val="0000FF"/>
                </w:rPr>
                <w:t>51</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300" w:type="dxa"/>
            <w:vAlign w:val="bottom"/>
            <w:gridSpan w:val="16"/>
          </w:tcPr>
          <w:p>
            <w:pPr>
              <w:spacing w:after="0"/>
              <w:rPr>
                <w:rFonts w:ascii="Times New Roman" w:cs="Times New Roman" w:eastAsia="Times New Roman" w:hAnsi="Times New Roman"/>
                <w:sz w:val="16"/>
                <w:szCs w:val="16"/>
                <w:color w:val="0000EE"/>
                <w:w w:val="99"/>
              </w:rPr>
            </w:pPr>
            <w:hyperlink w:anchor="page51">
              <w:r>
                <w:rPr>
                  <w:rFonts w:ascii="Times New Roman" w:cs="Times New Roman" w:eastAsia="Times New Roman" w:hAnsi="Times New Roman"/>
                  <w:sz w:val="16"/>
                  <w:szCs w:val="16"/>
                  <w:color w:val="0000EE"/>
                  <w:w w:val="99"/>
                </w:rPr>
                <w:t>Item 9. Changes in and Disagreements with Accountants on Accounting and Financial Disclosures</w:t>
              </w:r>
            </w:hyperlink>
          </w:p>
        </w:tc>
        <w:tc>
          <w:tcPr>
            <w:tcW w:w="3480" w:type="dxa"/>
            <w:vAlign w:val="bottom"/>
            <w:gridSpan w:val="3"/>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1">
              <w:r>
                <w:rPr>
                  <w:rFonts w:ascii="Times New Roman" w:cs="Times New Roman" w:eastAsia="Times New Roman" w:hAnsi="Times New Roman"/>
                  <w:sz w:val="16"/>
                  <w:szCs w:val="16"/>
                  <w:color w:val="0000FF"/>
                </w:rPr>
                <w:t>51</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2100" w:type="dxa"/>
            <w:vAlign w:val="bottom"/>
            <w:gridSpan w:val="8"/>
          </w:tcPr>
          <w:p>
            <w:pPr>
              <w:spacing w:after="0"/>
              <w:rPr>
                <w:rFonts w:ascii="Times New Roman" w:cs="Times New Roman" w:eastAsia="Times New Roman" w:hAnsi="Times New Roman"/>
                <w:sz w:val="16"/>
                <w:szCs w:val="16"/>
                <w:color w:val="0000EE"/>
                <w:w w:val="94"/>
              </w:rPr>
            </w:pPr>
            <w:hyperlink w:anchor="page52">
              <w:r>
                <w:rPr>
                  <w:rFonts w:ascii="Times New Roman" w:cs="Times New Roman" w:eastAsia="Times New Roman" w:hAnsi="Times New Roman"/>
                  <w:sz w:val="16"/>
                  <w:szCs w:val="16"/>
                  <w:color w:val="0000EE"/>
                  <w:w w:val="94"/>
                </w:rPr>
                <w:t>Item 9A. Controls and Procedures</w:t>
              </w:r>
            </w:hyperlink>
          </w:p>
        </w:tc>
        <w:tc>
          <w:tcPr>
            <w:tcW w:w="4200" w:type="dxa"/>
            <w:vAlign w:val="bottom"/>
            <w:gridSpan w:val="8"/>
          </w:tcPr>
          <w:p>
            <w:pPr>
              <w:spacing w:after="0"/>
              <w:rPr>
                <w:sz w:val="20"/>
                <w:szCs w:val="20"/>
                <w:color w:val="auto"/>
              </w:rPr>
            </w:pPr>
          </w:p>
        </w:tc>
        <w:tc>
          <w:tcPr>
            <w:tcW w:w="3480" w:type="dxa"/>
            <w:vAlign w:val="bottom"/>
            <w:gridSpan w:val="3"/>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700" w:type="dxa"/>
            <w:vAlign w:val="bottom"/>
            <w:gridSpan w:val="6"/>
          </w:tcPr>
          <w:p>
            <w:pPr>
              <w:spacing w:after="0"/>
              <w:rPr>
                <w:rFonts w:ascii="Times New Roman" w:cs="Times New Roman" w:eastAsia="Times New Roman" w:hAnsi="Times New Roman"/>
                <w:sz w:val="16"/>
                <w:szCs w:val="16"/>
                <w:color w:val="0000EE"/>
                <w:w w:val="94"/>
              </w:rPr>
            </w:pPr>
            <w:hyperlink w:anchor="page52">
              <w:r>
                <w:rPr>
                  <w:rFonts w:ascii="Times New Roman" w:cs="Times New Roman" w:eastAsia="Times New Roman" w:hAnsi="Times New Roman"/>
                  <w:sz w:val="16"/>
                  <w:szCs w:val="16"/>
                  <w:color w:val="0000EE"/>
                  <w:w w:val="94"/>
                </w:rPr>
                <w:t>Item 9B. Other Information</w:t>
              </w:r>
            </w:hyperlink>
          </w:p>
        </w:tc>
        <w:tc>
          <w:tcPr>
            <w:tcW w:w="400" w:type="dxa"/>
            <w:vAlign w:val="bottom"/>
            <w:gridSpan w:val="2"/>
          </w:tcPr>
          <w:p>
            <w:pPr>
              <w:spacing w:after="0"/>
              <w:rPr>
                <w:sz w:val="20"/>
                <w:szCs w:val="20"/>
                <w:color w:val="auto"/>
              </w:rPr>
            </w:pPr>
          </w:p>
        </w:tc>
        <w:tc>
          <w:tcPr>
            <w:tcW w:w="7680" w:type="dxa"/>
            <w:vAlign w:val="bottom"/>
            <w:gridSpan w:val="11"/>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0"/>
          </w:tcPr>
          <w:p>
            <w:pPr>
              <w:spacing w:after="0"/>
              <w:rPr>
                <w:rFonts w:ascii="Times New Roman" w:cs="Times New Roman" w:eastAsia="Times New Roman" w:hAnsi="Times New Roman"/>
                <w:sz w:val="16"/>
                <w:szCs w:val="16"/>
                <w:color w:val="0000FF"/>
              </w:rPr>
            </w:pPr>
            <w:hyperlink w:anchor="page29">
              <w:r>
                <w:rPr>
                  <w:rFonts w:ascii="Times New Roman" w:cs="Times New Roman" w:eastAsia="Times New Roman" w:hAnsi="Times New Roman"/>
                  <w:sz w:val="16"/>
                  <w:szCs w:val="16"/>
                  <w:color w:val="0000FF"/>
                </w:rPr>
                <w:t>PART III</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9780" w:type="dxa"/>
            <w:vAlign w:val="bottom"/>
            <w:gridSpan w:val="19"/>
          </w:tcPr>
          <w:p>
            <w:pPr>
              <w:spacing w:after="0"/>
              <w:rPr>
                <w:rFonts w:ascii="Times New Roman" w:cs="Times New Roman" w:eastAsia="Times New Roman" w:hAnsi="Times New Roman"/>
                <w:sz w:val="16"/>
                <w:szCs w:val="16"/>
                <w:color w:val="0000EE"/>
              </w:rPr>
            </w:pPr>
            <w:hyperlink w:anchor="page52">
              <w:r>
                <w:rPr>
                  <w:rFonts w:ascii="Times New Roman" w:cs="Times New Roman" w:eastAsia="Times New Roman" w:hAnsi="Times New Roman"/>
                  <w:sz w:val="16"/>
                  <w:szCs w:val="16"/>
                  <w:color w:val="0000EE"/>
                </w:rPr>
                <w:t>Item 10. Directors, Executive Officers and Corporate Governance</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9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160" w:type="dxa"/>
            <w:vAlign w:val="bottom"/>
            <w:gridSpan w:val="12"/>
          </w:tcPr>
          <w:p>
            <w:pPr>
              <w:spacing w:after="0"/>
              <w:rPr>
                <w:rFonts w:ascii="Times New Roman" w:cs="Times New Roman" w:eastAsia="Times New Roman" w:hAnsi="Times New Roman"/>
                <w:sz w:val="16"/>
                <w:szCs w:val="16"/>
                <w:color w:val="0000EE"/>
              </w:rPr>
            </w:pPr>
            <w:hyperlink w:anchor="page52">
              <w:r>
                <w:rPr>
                  <w:rFonts w:ascii="Times New Roman" w:cs="Times New Roman" w:eastAsia="Times New Roman" w:hAnsi="Times New Roman"/>
                  <w:sz w:val="16"/>
                  <w:szCs w:val="16"/>
                  <w:color w:val="0000EE"/>
                </w:rPr>
                <w:t>Item 11. Executive Compensation</w:t>
              </w:r>
            </w:hyperlink>
          </w:p>
        </w:tc>
        <w:tc>
          <w:tcPr>
            <w:tcW w:w="5620" w:type="dxa"/>
            <w:vAlign w:val="bottom"/>
            <w:gridSpan w:val="7"/>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9780" w:type="dxa"/>
            <w:vAlign w:val="bottom"/>
            <w:gridSpan w:val="19"/>
          </w:tcPr>
          <w:p>
            <w:pPr>
              <w:spacing w:after="0"/>
              <w:rPr>
                <w:rFonts w:ascii="Times New Roman" w:cs="Times New Roman" w:eastAsia="Times New Roman" w:hAnsi="Times New Roman"/>
                <w:sz w:val="16"/>
                <w:szCs w:val="16"/>
                <w:color w:val="0000EE"/>
              </w:rPr>
            </w:pPr>
            <w:hyperlink w:anchor="page52">
              <w:r>
                <w:rPr>
                  <w:rFonts w:ascii="Times New Roman" w:cs="Times New Roman" w:eastAsia="Times New Roman" w:hAnsi="Times New Roman"/>
                  <w:sz w:val="16"/>
                  <w:szCs w:val="16"/>
                  <w:color w:val="0000EE"/>
                </w:rPr>
                <w:t>Item 12. Security Ownership of Certain Beneficial Owners and Management and Related Stockholder Matter</w:t>
              </w:r>
            </w:hyperlink>
            <w:r>
              <w:rPr>
                <w:rFonts w:ascii="Times New Roman" w:cs="Times New Roman" w:eastAsia="Times New Roman" w:hAnsi="Times New Roman"/>
                <w:sz w:val="16"/>
                <w:szCs w:val="16"/>
                <w:color w:val="000000"/>
              </w:rPr>
              <w:t>s</w:t>
            </w: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5160" w:type="dxa"/>
            <w:vAlign w:val="bottom"/>
            <w:gridSpan w:val="14"/>
          </w:tcPr>
          <w:p>
            <w:pPr>
              <w:spacing w:after="0"/>
              <w:rPr>
                <w:rFonts w:ascii="Times New Roman" w:cs="Times New Roman" w:eastAsia="Times New Roman" w:hAnsi="Times New Roman"/>
                <w:sz w:val="16"/>
                <w:szCs w:val="16"/>
                <w:color w:val="0000EE"/>
                <w:w w:val="98"/>
              </w:rPr>
            </w:pPr>
            <w:hyperlink w:anchor="page52">
              <w:r>
                <w:rPr>
                  <w:rFonts w:ascii="Times New Roman" w:cs="Times New Roman" w:eastAsia="Times New Roman" w:hAnsi="Times New Roman"/>
                  <w:sz w:val="16"/>
                  <w:szCs w:val="16"/>
                  <w:color w:val="0000EE"/>
                  <w:w w:val="98"/>
                </w:rPr>
                <w:t>Item 13. Certain Relationships, Related Transactions, and Director Independence</w:t>
              </w:r>
            </w:hyperlink>
          </w:p>
        </w:tc>
        <w:tc>
          <w:tcPr>
            <w:tcW w:w="1820" w:type="dxa"/>
            <w:vAlign w:val="bottom"/>
            <w:gridSpan w:val="3"/>
          </w:tcPr>
          <w:p>
            <w:pPr>
              <w:spacing w:after="0"/>
              <w:rPr>
                <w:sz w:val="20"/>
                <w:szCs w:val="20"/>
                <w:color w:val="auto"/>
              </w:rPr>
            </w:pPr>
          </w:p>
        </w:tc>
        <w:tc>
          <w:tcPr>
            <w:tcW w:w="2800" w:type="dxa"/>
            <w:vAlign w:val="bottom"/>
            <w:gridSpan w:val="2"/>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060" w:type="dxa"/>
            <w:vAlign w:val="bottom"/>
            <w:gridSpan w:val="10"/>
          </w:tcPr>
          <w:p>
            <w:pPr>
              <w:spacing w:after="0"/>
              <w:rPr>
                <w:rFonts w:ascii="Times New Roman" w:cs="Times New Roman" w:eastAsia="Times New Roman" w:hAnsi="Times New Roman"/>
                <w:sz w:val="16"/>
                <w:szCs w:val="16"/>
                <w:color w:val="0000EE"/>
                <w:w w:val="97"/>
              </w:rPr>
            </w:pPr>
            <w:hyperlink w:anchor="page52">
              <w:r>
                <w:rPr>
                  <w:rFonts w:ascii="Times New Roman" w:cs="Times New Roman" w:eastAsia="Times New Roman" w:hAnsi="Times New Roman"/>
                  <w:sz w:val="16"/>
                  <w:szCs w:val="16"/>
                  <w:color w:val="0000EE"/>
                  <w:w w:val="97"/>
                </w:rPr>
                <w:t>Item 14. Principal Accountant Fees and Services</w:t>
              </w:r>
            </w:hyperlink>
          </w:p>
        </w:tc>
        <w:tc>
          <w:tcPr>
            <w:tcW w:w="2100" w:type="dxa"/>
            <w:vAlign w:val="bottom"/>
            <w:gridSpan w:val="4"/>
          </w:tcPr>
          <w:p>
            <w:pPr>
              <w:spacing w:after="0"/>
              <w:rPr>
                <w:sz w:val="20"/>
                <w:szCs w:val="20"/>
                <w:color w:val="auto"/>
              </w:rPr>
            </w:pPr>
          </w:p>
        </w:tc>
        <w:tc>
          <w:tcPr>
            <w:tcW w:w="4620" w:type="dxa"/>
            <w:vAlign w:val="bottom"/>
            <w:gridSpan w:val="5"/>
          </w:tcPr>
          <w:p>
            <w:pPr>
              <w:spacing w:after="0"/>
              <w:rPr>
                <w:sz w:val="20"/>
                <w:szCs w:val="20"/>
                <w:color w:val="auto"/>
              </w:rPr>
            </w:pPr>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Borders>
              <w:bottom w:val="single" w:sz="8" w:color="0000FF"/>
            </w:tcBorders>
          </w:tcPr>
          <w:p>
            <w:pPr>
              <w:spacing w:after="0"/>
              <w:rPr>
                <w:rFonts w:ascii="Times New Roman" w:cs="Times New Roman" w:eastAsia="Times New Roman" w:hAnsi="Times New Roman"/>
                <w:sz w:val="16"/>
                <w:szCs w:val="16"/>
                <w:color w:val="0000FF"/>
                <w:w w:val="87"/>
              </w:rPr>
            </w:pPr>
            <w:hyperlink w:anchor="page29">
              <w:r>
                <w:rPr>
                  <w:rFonts w:ascii="Times New Roman" w:cs="Times New Roman" w:eastAsia="Times New Roman" w:hAnsi="Times New Roman"/>
                  <w:sz w:val="16"/>
                  <w:szCs w:val="16"/>
                  <w:color w:val="0000FF"/>
                  <w:w w:val="87"/>
                </w:rPr>
                <w:t>PART IV</w:t>
              </w:r>
            </w:hyperlink>
          </w:p>
        </w:tc>
        <w:tc>
          <w:tcPr>
            <w:tcW w:w="9780" w:type="dxa"/>
            <w:vAlign w:val="bottom"/>
            <w:gridSpan w:val="19"/>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9780" w:type="dxa"/>
            <w:vAlign w:val="bottom"/>
            <w:gridSpan w:val="19"/>
          </w:tcPr>
          <w:p>
            <w:pPr>
              <w:spacing w:after="0"/>
              <w:rPr>
                <w:rFonts w:ascii="Times New Roman" w:cs="Times New Roman" w:eastAsia="Times New Roman" w:hAnsi="Times New Roman"/>
                <w:sz w:val="16"/>
                <w:szCs w:val="16"/>
                <w:color w:val="0000EE"/>
              </w:rPr>
            </w:pPr>
            <w:hyperlink w:anchor="page67">
              <w:r>
                <w:rPr>
                  <w:rFonts w:ascii="Times New Roman" w:cs="Times New Roman" w:eastAsia="Times New Roman" w:hAnsi="Times New Roman"/>
                  <w:sz w:val="16"/>
                  <w:szCs w:val="16"/>
                  <w:color w:val="0000EE"/>
                </w:rPr>
                <w:t>Item 15. Exhibits and Financial Statements Schedules</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52</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980" w:type="dxa"/>
            <w:vAlign w:val="bottom"/>
            <w:gridSpan w:val="10"/>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60" w:type="dxa"/>
            <w:vAlign w:val="bottom"/>
            <w:gridSpan w:val="20"/>
          </w:tcPr>
          <w:p>
            <w:pPr>
              <w:spacing w:after="0"/>
              <w:rPr>
                <w:rFonts w:ascii="Times New Roman" w:cs="Times New Roman" w:eastAsia="Times New Roman" w:hAnsi="Times New Roman"/>
                <w:sz w:val="16"/>
                <w:szCs w:val="16"/>
                <w:color w:val="0000FF"/>
              </w:rPr>
            </w:pPr>
            <w:hyperlink w:anchor="page65">
              <w:r>
                <w:rPr>
                  <w:rFonts w:ascii="Times New Roman" w:cs="Times New Roman" w:eastAsia="Times New Roman" w:hAnsi="Times New Roman"/>
                  <w:sz w:val="16"/>
                  <w:szCs w:val="16"/>
                  <w:color w:val="0000FF"/>
                </w:rPr>
                <w:t>SIGNATURES</w:t>
              </w:r>
            </w:hyperlink>
          </w:p>
        </w:tc>
        <w:tc>
          <w:tcPr>
            <w:tcW w:w="102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65">
              <w:r>
                <w:rPr>
                  <w:rFonts w:ascii="Times New Roman" w:cs="Times New Roman" w:eastAsia="Times New Roman" w:hAnsi="Times New Roman"/>
                  <w:sz w:val="16"/>
                  <w:szCs w:val="16"/>
                  <w:color w:val="0000FF"/>
                </w:rPr>
                <w:t>64</w:t>
              </w:r>
            </w:hyperlink>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80" w:top="36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“we,” “our,” “us,” “Company” and “Integra” refer to Integra LifeSciences Holdings Corporation, a Delaware corporation, and its subsidiaries, unless the context suggests otherwise.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Integra, headquartered in Plainsboro, New Jersey, is a world leader in medical technology. The Company employs approximately 3,700 people around the world who are dedicated to limiting uncertainty for surgeons, so that they can concentrate on providing the best care for their patients. Integra offers innovative solutions, including leading regenerative technologies, specialty surgical solutions, and orthopedic solutions. Revenues grew to $992.1 million in 2016, an increase of 12% from $882.7 million in 2015.</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Integra was founded on an engineered collagen technology platform that is used to repair and regenerate tissue. The Company has developed numerous product lines from this technology for applications ranging from burn and deep tissue wounds to repair of dura mater in the brain to repair of nerve and tendon. Over the past 30 years, Integra has grown by building upon this core regenerative technology, acquiring businesses in markets with overlapping customer bases, and developing products to further meet the needs of target customers.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25, 2016, our Board of Directors recommended, subject to stockholder approval, an amendment to the Company’s Certificate of Incorporation (the “Amendment”) to increase the number of authorized shares of common stock from 60.0 million shares to 240.0 million shares, par value $0.01 per share, for the purpose of, among other things, affecting a two-for-one stock split. The stockholders approved the Amendment on its special Stockholders' Meeting on December 21, 2016. The Company filed a certificate of amendment to our amended and restated certificate of incorporation to effect the increase in authorized shares of common stock and the two-for-one-stock split. Stockholders of record as of the close of market on December 21, 2016 were entitled to receive one additional share of common stock for each share held. The shares were distributed on January 3, 2017. No fractional shares of common stock were issued as a result of the two-for-one stock split. The adjusted stock price was reflected on the NASDAQ stock market on January 4, 2017.</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common stock retained a par value of $0.01 per share. Accordingly, the stockholders' equity reflects the stock split by reclassifying from "Additional paid-in capital" to "Common stock" for an amount equal to the par value of the increased shares resulting from the stock split. All references in this Form 10-K to the number of shares of common stock, price per share and weighted average shares of common stock have been adjusted to reflect the post-split amounts, unless otherwise indicated.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aspire to be a multi-billion dollar diversified global medical technology company that helps patients by limiting uncertainty for healthcare professionals.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customers will recognize us as a leader in specialty surgical applications, regenerative technologies and extremities orthopedics worldwide.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is built around three pillars - execute, optimize, and accelerate growth. These three pillars support our strategic initiatives to deliver on our commitments through improved planning and communication, optimize our infrastructure, and grow our revenues by introducing new products to the market through internal development, geographic expansion, and strategic acquisitions.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is an essential strategic approach for two reasons. First, the costs inherent in operating a medical technology company have increased at an accelerating rate in recent years and continue to rise. Scale is therefore correlated with rates of profitability in our industry. Our strategic response is to focus efforts and investments on accelerating growth in the clinical areas where we compete today. Second, we compete in a complex and highly regulated industry, and we have grown through more than 45 acquisitions in our history. We have made significant accomplishments in the past several years to reduce our operational footprint, simplify our organizational structure and build platforms for common systems. To effectively execute on our plans to grow our core business and integrate acquisitions, we must continue to improve our infrastructure and processes. These improvements will fortify a solid platform from which to grow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leadership team has set forth the following several near-term objectives aligned to this strategy:</w:t>
      </w:r>
    </w:p>
    <w:p>
      <w:pPr>
        <w:spacing w:after="0" w:line="169"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Portfolio Optimization</w:t>
      </w:r>
      <w:r>
        <w:rPr>
          <w:rFonts w:ascii="Times New Roman" w:cs="Times New Roman" w:eastAsia="Times New Roman" w:hAnsi="Times New Roman"/>
          <w:sz w:val="18"/>
          <w:szCs w:val="18"/>
          <w:color w:val="auto"/>
        </w:rPr>
        <w:t>. We are investing in innovative product development to drive a multi-generational pipeline for our key product franchises.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development efforts focus on regenerative technologies and other projects with the potential for significant returns on investment. We have a goal of generating at least one quarter of our organic growth in 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4" w:name="page5"/>
    <w:bookmarkEnd w:id="4"/>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one year from products launched in the previous two to three years. These recent efforts have contributed to an active schedule of impactful product launches. In addition to new product development, we are funding studies to gather clinical evidence to support launches, ensure market access and improve reimbursement for existing products. We also continue to identify low-growth, low-margin products and product franchises for discontinuation and will continue to look at other ways of optimizing our portfolio.</w:t>
      </w:r>
    </w:p>
    <w:p>
      <w:pPr>
        <w:spacing w:after="0" w:line="124" w:lineRule="exact"/>
        <w:rPr>
          <w:sz w:val="20"/>
          <w:szCs w:val="20"/>
          <w:color w:val="auto"/>
        </w:rPr>
      </w:pPr>
    </w:p>
    <w:p>
      <w:pPr>
        <w:jc w:val="both"/>
        <w:ind w:left="34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Commercial Channel Optimization and International Expansion. </w:t>
      </w:r>
      <w:r>
        <w:rPr>
          <w:rFonts w:ascii="Times New Roman" w:cs="Times New Roman" w:eastAsia="Times New Roman" w:hAnsi="Times New Roman"/>
          <w:sz w:val="18"/>
          <w:szCs w:val="18"/>
          <w:color w:val="auto"/>
        </w:rPr>
        <w:t>Through the acquisition of TEI Biosciences, Inc. and TEI Medical Inc.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"TEI") in July 2015 and the 2016 launch of Omnigraft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for diabetic foot ulcers, we have established a new presence in the outpatient segment of the fast-growing advanced wound care market. We have built up this commercial channel and support infrastructure to facilitate the Omnigraft product launch. Our 3x3 strategy takes advantage of our unique position to call upon providers in three sales channels (inpatient, outpatient, and multi-center enterprise-wide contracting) and offer three product families for advanced wound healing (engineered collagen, acellular collagen and human amniotic wound dressings). We also see an opportunity to accelerate revenue growth by increasing our international presence. In order to achieve this, we are expanding our commercial infrastructure in key markets and securing ownership or other control of our product registrations and distribution system. Additionally, we have a plan for registering and launching our existing products in countries where we already have a selling presence, but are missing key leading brands. We expect this focus on key markets and products that carry both high margins and relevant price points to increase our international business. More broadly, to compete successfully against much larger, diversified medical technology competitors, we are building upon our leadership brands across our product franchises and engaging hospital systems through enterprise-wide contracts.</w:t>
      </w:r>
    </w:p>
    <w:p>
      <w:pPr>
        <w:spacing w:after="0" w:line="14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i w:val="1"/>
          <w:iCs w:val="1"/>
          <w:color w:val="auto"/>
        </w:rPr>
        <w:t>Strategic Corporate Development</w:t>
      </w:r>
      <w:r>
        <w:rPr>
          <w:rFonts w:ascii="Times New Roman" w:cs="Times New Roman" w:eastAsia="Times New Roman" w:hAnsi="Times New Roman"/>
          <w:sz w:val="18"/>
          <w:szCs w:val="18"/>
          <w:color w:val="auto"/>
        </w:rPr>
        <w:t>. Over the years, we have successfully acquired and in-licensed businesses, products and technologies to grow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Our corporate development program is a core competency, and an important part of our strategy is to continue to pursue strategic transactions and licensing agreements to increase relevant scale in the clinical areas in which we compete. Heading into 2017, closing the acquisition of the Codman Neurosurgery business of Johnson &amp; Johnson ("Codman Neurosurgery") and integrating Derma Sciences, Inc. ("Derma Sciences") will be key objectives for the company. Acquisitions, in particular, may expand international distribution, add a technology platform, increase the scale of one of our current portfolios, or provide access into an adjacent growth area that leverages the sales channel. We focus our efforts on the clinical areas of wound care, extremities orthopedics, and specialty surgical applications. Our corporate development capabilities are increasingly important to remain competitive in today's environment.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we are investing in training programs to strengthen our leadership bench in the organization, and we continue to invest in targeted additions to our sales organization to improve market coverage. These initiatives, investments, and talent development efforts will strengthen the foundation necessary to support a faster growing, multi-billion dollar global medical technology company. Our strategy to execute, optimize and accelerate growth will enable us to continue to be a company that helps limit uncertainty for customers and touches millions of patients each year, while driving returns for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currently manufacture and sell our products in the following two global reportable business segments: Specialty Surgical Solutions and Orthopedics and Tissue Technologies. We include financial information regarding our reportable business segments and certain geographic information under "Item 7. Management's Discussion and Analysis of Financial Condition and Results of Operations" and in Note 15,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xml:space="preserve"> to our consolidated financial statements.</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Specialty Surgical Solutions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Our Specialty Surgical Solutions business offers specialty surgical instrumentation for a broad range of specialties, including a market-leading product portfolio used in the neurosurgery operating suite and critical care unit.</w:t>
      </w:r>
    </w:p>
    <w:p>
      <w:pPr>
        <w:spacing w:after="0" w:line="16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sell products and solutions for dural repair, precision tools and instruments, tissue ablation, and neuro critical care, including related service and repair. For neurosurgeons, we have products for each step of a procedure and the care of the patient after surgery, from both equipment and implants used in the neurosurgery operating room to monitoring in the neurosurgery intensive care unit. We are also among the largest surgical instrument suppliers in the United States to hospitals, acute care surgical centers, and clinician offices. Our portfolio includes over 60,000 instrument patterns and surgical products, surgical headlight systems and table-mounted retractors that address a broad set of surgical specialties.</w:t>
      </w:r>
    </w:p>
    <w:p>
      <w:pPr>
        <w:spacing w:after="0" w:line="18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the United States, Specialty Surgical Solutions products are sold through a combination of directly employed sales representatives, sales agents and distributors, depending on the customer call point. We have a specialized sales organization composed of directly employed sales representatives who primarily call on neurosurgeons and the neuro critical care unit. In addition, we have a sales organization consisting of a combination of directly employed sales representatives and sales agents who primarily call on the central sterile processing unit of hospitals and acute care surgical centers. Finally, we reach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26" w:right="239" w:bottom="1440" w:gutter="0" w:footer="0" w:header="0"/>
        </w:sectPr>
      </w:pPr>
    </w:p>
    <w:bookmarkStart w:id="5" w:name="page6"/>
    <w:bookmarkEnd w:id="5"/>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diverse alternate site call point, which includes physician, dental and veterinary offices, through distributors. Internationally, we sell certain products and product lines from the Specialty Surgical Solutions portfolio through a combination of direct efforts, primarily in certain European countries, Australia, New Zealand, and Canada, and through distributors in other countries.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Orthopedics and Tissue Technologies</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Our Orthopedics and Tissue Technologies business offers a unique combination of differentiated soft tissue repair and tissue regeneration products, and small bone fixation and joint replacement solutions.</w:t>
      </w:r>
    </w:p>
    <w:p>
      <w:pPr>
        <w:spacing w:after="0" w:line="16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sell regenerative technology products that can be used to provide treatment for acute wounds, such as burns, chronic wounds, including diabetic foot ulcers, surgical tissue repair including hernia repair, peripheral nerve repair and protection, and tendon repair. For extremity bone and joint reconstruction procedures, we sell hardware products, such as bone and joint fixation and joint replacement devices, implants and instruments, which provide for the orthopedic reconstruction of bone in the hand, wrist, elbow and shoulder (Upper Extremity), and the foot, ankle and leg below the knee (Lower Extremity).</w:t>
      </w:r>
    </w:p>
    <w:p>
      <w:pPr>
        <w:spacing w:after="0" w:line="184"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In the United States, we have a specialized sales organization composed of directly employed sales representatives, as well as specialty distributors, organized based upon their call point. A team of extremities sales representatives calls on surgeons who treat acute wounds in hospitals, extremity orthopedic disorders, including osteoarthritis, rheumatoid arthritis, wrist, ankle and shoulder arthroplasty, and other conditions requiring foot or hand reconstruction. In addition, we sell our shoulder products through a specialty distributor network of sales agents who call on shoulder surgeons. A team of wound care clinic sales representatives calls on physicians who treat chronic wounds in the outpatient wound care clinic setting. A team of surgical sales representatives calls on surgeons who treat patients requiring surgical tissue repair and reconstruction. Finally, we have a small group of clinical sales specialists who focus on our regenerative products and support these three sales organizations - extremities, wound care and surgical - to address their clinicians' needs as they relate to this class of products. Outside the United States, we have a small direct sales presence, primarily in certain European countries, Australia, New Zealand, and Canada, and utilize distributors in other international markets to sell certain products and product lines from the Orthopedics and Tissue Technologies portfolio.</w:t>
      </w:r>
    </w:p>
    <w:p>
      <w:pPr>
        <w:spacing w:after="0" w:line="18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This segment also includes private-label sales of a broad set of our regenerative technologies. Our customers are other medical technology companies that sell to end markets primarily in orthopedics, spine, surgical and wound care.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 OVERVIEW</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thousands of products for the medical specialties we target. Our objective is to develop, acquire or otherwise provide products that will limit uncertainty for hospitals and surgeons. These products include our regenerative technology implants, metal implants, instruments and equipment for small bone orthopedic surgery and specialty surgical applications. We distinguish ourselves by emphasizing the importance of regenerative technology, which we define as surgical implants derived from our proprietary collagen matrix technology and other biologic platforms that enable or facilitate the body's healing process and are resorbed.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STRATEGY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activities focus on identifying unmet surgical needs and addressing those needs with innovative solutions and products. We apply our core competency in regenerative technology to products for neurosurgical, orthopedic and wound applications, and we have extensive programs for our core platforms of orthopedic hardware and electromechanical technologies. We are focusing our research and development efforts on the development of innovative products and clinical studies to generate efficacy and health economic evidence.</w:t>
      </w:r>
    </w:p>
    <w:p>
      <w:pPr>
        <w:spacing w:after="0" w:line="124" w:lineRule="exact"/>
        <w:rPr>
          <w:sz w:val="20"/>
          <w:szCs w:val="20"/>
          <w:color w:val="auto"/>
        </w:rPr>
      </w:pPr>
    </w:p>
    <w:p>
      <w:pPr>
        <w:jc w:val="both"/>
        <w:ind w:left="340"/>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Regenerative Technologies. </w:t>
      </w:r>
      <w:r>
        <w:rPr>
          <w:rFonts w:ascii="Times New Roman" w:cs="Times New Roman" w:eastAsia="Times New Roman" w:hAnsi="Times New Roman"/>
          <w:sz w:val="18"/>
          <w:szCs w:val="18"/>
          <w:color w:val="auto"/>
        </w:rPr>
        <w:t>Because regenerative technology products represent a fast-growing, high-margin opportunity for us, we allocate a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our research and development budget to these projects. Our regenerative technology development program applies our expertise in bioengineering to a range of biomaterials including, natural collagen and human tissues as well as synthetics such as polymers. These unique product designs are used for neurosurgical and orthopedic surgical applications, as well as dermal regeneration, including the healing of chronic and acute wounds, tendon and nerve repair. After finalizing our multi-center clinical trial evaluating the safety and effectiveness of the INTEGRA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Dermal Regeneration Template for the Treatment of Diabetic Foot Ulcer ("DFU") in 2015, we filed a submission with the United States Food and Drug Administration ("FDA") and received Premarket Approval ("PMA") approval on January 7, 2016. The Company started commercializing the resulting DFU product, Omnigraft, in 2016. Additionally, we finalized patient follow-up in a Post Approval Study for our DuraSeal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Exact Spine Sealant System, and submitted the study results to the FDA in October 2016. The study demonstrated the continued safety and effectiveness of this product, and we expect that this study will satisfy the post-approval</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commitment related to it. We are investing in the development of next generation products, including nerve products, anti-microbial adjuncts for primary wound management, and specific chronic wound care solutions for the inpatient and outpatient settings, additional clinical studies for indications to support existing products, including ongoing studies of the use of our products in chronic wound, abdominal wall, and complex wounds and for an approval for a breast reconstruction indication as well as longer-term research programs to evaluate combination products.</w:t>
      </w:r>
    </w:p>
    <w:p>
      <w:pPr>
        <w:spacing w:after="0" w:line="124" w:lineRule="exact"/>
        <w:rPr>
          <w:sz w:val="20"/>
          <w:szCs w:val="20"/>
          <w:color w:val="auto"/>
        </w:rPr>
      </w:pPr>
    </w:p>
    <w:p>
      <w:pPr>
        <w:jc w:val="both"/>
        <w:ind w:left="340"/>
        <w:spacing w:after="0" w:line="241" w:lineRule="auto"/>
        <w:rPr>
          <w:sz w:val="20"/>
          <w:szCs w:val="20"/>
          <w:color w:val="auto"/>
        </w:rPr>
      </w:pPr>
      <w:r>
        <w:rPr>
          <w:rFonts w:ascii="Times New Roman" w:cs="Times New Roman" w:eastAsia="Times New Roman" w:hAnsi="Times New Roman"/>
          <w:sz w:val="18"/>
          <w:szCs w:val="18"/>
          <w:i w:val="1"/>
          <w:iCs w:val="1"/>
          <w:color w:val="auto"/>
        </w:rPr>
        <w:t>Orthopedic Reconstruction</w:t>
      </w:r>
      <w:r>
        <w:rPr>
          <w:rFonts w:ascii="Times New Roman" w:cs="Times New Roman" w:eastAsia="Times New Roman" w:hAnsi="Times New Roman"/>
          <w:sz w:val="18"/>
          <w:szCs w:val="18"/>
          <w:color w:val="auto"/>
        </w:rPr>
        <w:t>. We develop fixation and small joint reconstruction implants and instruments for upper and lower extremities to both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 generation solutions and expand our product portfolio. This portfolio focuses on joint replacement products. Integra already has a strong shoulder portfolio, which includes a total shoulder system and a reverse shoulder. We continue to work on advanced shoulder products and are developing a pyrocarbon hemi-shoulder product to add to that portfolio. We have a strong differentiated asset that resides in our exclusively licensed pyrocarbon products, and we continue to invest to bring new products to market with this technology, which has shown significantly less wear on bone than traditional metals. Our Cadence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total ankle replacement product launched in 2016 and complements the acquired Salto Talaris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ankle. The two ankles address different market needs with the Cadence ankle designed to simplify the ankle replacement procedure and maximize reproducibility through its instrumentation and technique.</w:t>
      </w:r>
    </w:p>
    <w:p>
      <w:pPr>
        <w:spacing w:after="0" w:line="147" w:lineRule="exact"/>
        <w:rPr>
          <w:sz w:val="20"/>
          <w:szCs w:val="20"/>
          <w:color w:val="auto"/>
        </w:rPr>
      </w:pPr>
    </w:p>
    <w:p>
      <w:pPr>
        <w:jc w:val="both"/>
        <w:ind w:left="340"/>
        <w:spacing w:after="0" w:line="277" w:lineRule="auto"/>
        <w:rPr>
          <w:sz w:val="20"/>
          <w:szCs w:val="20"/>
          <w:color w:val="auto"/>
        </w:rPr>
      </w:pPr>
      <w:r>
        <w:rPr>
          <w:rFonts w:ascii="Times New Roman" w:cs="Times New Roman" w:eastAsia="Times New Roman" w:hAnsi="Times New Roman"/>
          <w:sz w:val="17"/>
          <w:szCs w:val="17"/>
          <w:i w:val="1"/>
          <w:iCs w:val="1"/>
          <w:color w:val="auto"/>
        </w:rPr>
        <w:t>Electromechanical Technologies and Instrumentation</w:t>
      </w:r>
      <w:r>
        <w:rPr>
          <w:rFonts w:ascii="Times New Roman" w:cs="Times New Roman" w:eastAsia="Times New Roman" w:hAnsi="Times New Roman"/>
          <w:sz w:val="17"/>
          <w:szCs w:val="17"/>
          <w:color w:val="auto"/>
        </w:rPr>
        <w:t>. Because our electromechanical products and instruments represent products that limit uncertainty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surgeries, we continue to invest in approvals for new indications and next generation improvements to our market-leading products. We have several active program focused on life cycle management and innovation on both capital and disposable products in our portfolio. We also work with a number of primarily German instrument partners to bring new surgical instrument patterns to the market, enabling us to add new instruments with minimal expense. Finally, our lighting franchise is among the most dynamic in the industry, and we continue to invest in ongoing development in LED technology.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competitors in specialty surgical solutions are the Aesculap division of B. Braun Medical, Inc., Johnson &amp; Johnson, Medtronic, Inc., Stryker Corporation, Becton, Dickinson and Company, and C.R. Bard, Inc. In addition, we compete with many smaller specialized companies and larger companies that do not otherwise focus on specialty surgical solutions. We rely on the depth and breadth of our sales and marketing organization, our innovative technology, and our procurement operation to maintain our competitive position in much of our precision tools and instruments portfolio.</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competition in orthopedics and tissue technologies includes the DePuy/Synthes business of Johnson &amp; Johnson, Stryker Corporation, Wright Medical Group, N.V., Smith &amp; Nephew plc, MiMedx Group, Inc., Acelity L.P. Inc., a subsidiary of Allergan PLC, and Zimmer Biomet Holdings, Inc., as well as other major orthopedic companies that carry a full line of small bone and joint fixation and soft tissue products.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in certain cases our products compete primarily against medical practices that treat a condition without using a medical device or any particular product, such as medical practices that utilize autograft tissue instead of our dermal regeneration products, duraplasty products and nerve repair products. Depending on the product line, we compete on the basis of our products' features, strength of our sales force or distributors, sophistication of our technology and cost effectiveness of our solution.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manufacturer and marketer of medical devices, and therefore are subject to extensive regulation by the FDA, the Center for Medicare Services of the U.S. Department of Health and Human Services,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Food and Drug Administration</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outstanding FDA warning letter related to TEI Biosciences Inc., an acquisition by Integra on July 17, 2015. TEI Biosciences Inc. received a Warning Letter from the FDA dated May 29, 2015 for promoting the product SurgiMend for breast surgery applications that were not cleared in the 510(k) process and do not have a PMA Approval for the indication. The FDA requested that TEI Biosciences Inc. immediately cease all activities that resulted in misbranding or adulteration of the product in commercial distribution. The FDA also required TEI Biosciences Inc. to cease all violations regarding promotion of the product for an indication that it was not cleared or approved. TEI Biosciences Inc. responded with a corrective action plan to the FDA and took action to address the issues prior to the completion of the acquisition. We will continue to monitor this activity and address all corrective actions submitted to the FDA. The FDA may not accept our corrective action plan or it may choose to scrutinize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26" w:right="239" w:bottom="1440" w:gutter="0" w:footer="0" w:header="0"/>
        </w:sectPr>
      </w:pPr>
    </w:p>
    <w:bookmarkStart w:id="7" w:name="page8"/>
    <w:bookmarkEnd w:id="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promotional claims on products and require additional corrective actions. We do not expect to incur material operating expenses to complete the corrective action plan.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regulatory process of obtaining product approvals and clearances can be onerous and costly. The FDA requires, as a condition to marketing a medical device in the United States, that we secure a Premarket Notification clearance pursuant to Section 510(k) of the Federal Food, Drug and Cosmetic Act (the “FD&amp;C Act”) or an approved PMA application (or supplemental PMA application). Obtaining these approvals and clearances can take up to several years and may involve preclinical studies and clinical trials. The FDA also may require a post-approval clinical study as a condition of approval. To perform clinical trials for significant risk devices in the United States on an unapproved product, we are required to obtain an Investigational Device Exemption ("IDE") from the FDA. The FDA may also require a filing for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approval, as the case may be, or require us to change the device, its manufacturing process or its labeling, to supply additional proof of its safety and effectiveness or to recall, repair, replace or refund the cost of the medical device. Because we currently export medical devices manufactured in the United States that have not been approved by the FDA for distribution in the United States, we are required to obtain approval/registration in the country to which we are exporting and maintain certain records relating to exports and make these available to the FDA for inspection, if required.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Cells, Tissues and Cellular and Tissue-Based Products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Integra distributes medical devices derived from human tissue (demineralized bone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HCT/Ps fall within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361 of the Public Health Service Act (“PHSA”),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Florida, New York and Maryland.</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National Organ Transplant Act. </w:t>
      </w:r>
      <w:r>
        <w:rPr>
          <w:rFonts w:ascii="Times New Roman" w:cs="Times New Roman" w:eastAsia="Times New Roman" w:hAnsi="Times New Roman"/>
          <w:sz w:val="18"/>
          <w:szCs w:val="18"/>
          <w:color w:val="auto"/>
        </w:rPr>
        <w:t>Procurement of certain human organs and tissue for transplantation is subject to the restrictions of the National Organ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Transplant Act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may recover in our pricing for our products, thereby reducing our future revenue and profitability.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Device Regulations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are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U.S. Department of Justice.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Medical device regulations also are in effect in many of the countries in which we do business outside the United States. These laws range from comprehensive medical device approval and Quality System requirements for some or all of our medical device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45" w:right="239" w:bottom="1440" w:gutter="0" w:footer="0" w:header="0"/>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18"/>
          <w:szCs w:val="18"/>
          <w:color w:val="auto"/>
        </w:rPr>
        <w:t>products to simpler requests for product data or certifications. The number and scope of these requirements are increasing. Under the European Union Medical Device Directive, medical devices must meet the Medical Device Directive standards and receive CE Mark Certification prior to marketing in the European Union (the “EU”). CE Mark Certification requires a comprehensive quality system program, technical documentation and data on the product, which are then reviewed by a Notified Body. A Notified Body is an organization designated by the national governments of the European Union member states to make independent judgments about whether a product complies with the requirements established by each CE marking directive. The Medical Device Directive, ISO 9000 series and ISO 13485 are recognized international quality standards that are designed to ensure that we develop and manufacture quality medical devices. Other countries are also instituting regulations regarding medical devices or interpreting and enforcing existing regulations more strictly. Compliance with these regulations requires extensive documentation and clinical reports for all of our products, revisions to labeling, and other requirements such as facility inspections to comply with the registration requirements. A recognized Notified Body audits our facilities annually to verify our compliance with the ISO 13485 Quality System standard.</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hernia repair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a ban of our products, or a movement away from bovine-derived products because of an outbreak of BSE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Postmarket Requirements. </w:t>
      </w:r>
      <w:r>
        <w:rPr>
          <w:rFonts w:ascii="Times New Roman" w:cs="Times New Roman" w:eastAsia="Times New Roman" w:hAnsi="Times New Roman"/>
          <w:sz w:val="18"/>
          <w:szCs w:val="18"/>
          <w:color w:val="auto"/>
        </w:rPr>
        <w:t>After a device is cleared or approved for commercial distribution, numerous regulatory requirements apply. These include the FDA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Anti-Bribery Laws</w:t>
      </w:r>
      <w:r>
        <w:rPr>
          <w:rFonts w:ascii="Times New Roman" w:cs="Times New Roman" w:eastAsia="Times New Roman" w:hAnsi="Times New Roman"/>
          <w:sz w:val="18"/>
          <w:szCs w:val="18"/>
          <w:color w:val="auto"/>
        </w:rPr>
        <w:t>. In the United States, we are subject to laws and regulations pertaining to healthcare fraud and abuse, including anti-kickback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 self-referral laws that regulate the means by which companies in the health care industry may market their products to hospitals and health care professionals and may compete by discounting the prices of their products. Similar anti-bribery laws exist in many of the countries in which we sell our products outside of the United States, as well as the United States Foreign Corrupt Practices Act (which addresses the activities of U.S. companies in foreign markets). Our products also are subject to regulation regarding reimbursement, and U.S. healthcare laws apply when a customer submits a claim for a product that is reimbursed under a federally funded healthcare program. These global laws require that we exercise care in designing our sales and marketing practices, including involving interactions with healthcare professionals, and customer discount arrangements. See “Item 1A. Risk Factors - Oversight of the medical device industry might affect the manner in which we may sell medical devices and compete in the marketplace.”</w:t>
      </w:r>
    </w:p>
    <w:p>
      <w:pPr>
        <w:spacing w:after="0" w:line="11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Import-export</w:t>
      </w:r>
      <w:r>
        <w:rPr>
          <w:rFonts w:ascii="Times New Roman" w:cs="Times New Roman" w:eastAsia="Times New Roman" w:hAnsi="Times New Roman"/>
          <w:sz w:val="18"/>
          <w:szCs w:val="18"/>
          <w:color w:val="auto"/>
        </w:rPr>
        <w:t>. Our international operations subject us to laws regarding sanctioned countries, entities and persons, customs, and import-export.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these laws restrict, and in some cases can prevent, United States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Hazardous materials</w:t>
      </w:r>
      <w:r>
        <w:rPr>
          <w:rFonts w:ascii="Times New Roman" w:cs="Times New Roman" w:eastAsia="Times New Roman" w:hAnsi="Times New Roman"/>
          <w:sz w:val="18"/>
          <w:szCs w:val="18"/>
          <w:color w:val="auto"/>
        </w:rPr>
        <w:t>. Our research, development and manufacturing processes involve the controlled use of certain hazardous materials. We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that may result, and any liability could exceed our resources. We could be subject to a regulatory shutdown of a facility that could prevent the distribution and sale of products manufactured there for a significant period of time, and we could suffer a casualty loss that could require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26" w:right="2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shutdown of the facility 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negatively affected. Furthermore, global environmental, health and safety compliance is an ongoing process. Integra has compliance procedures in place for compliance with Employee Health &amp; Safety laws, driven by a centrally led organizational structure that ensures proper implementation, which is essential to our overall business objectives.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regulations, we are, and may be, subject to regulation under country-specific federal and state laws, including, but not limited to, requirements regarding record keeping,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Third-Party Reimbursement. </w:t>
      </w:r>
      <w:r>
        <w:rPr>
          <w:rFonts w:ascii="Times New Roman" w:cs="Times New Roman" w:eastAsia="Times New Roman" w:hAnsi="Times New Roman"/>
          <w:sz w:val="18"/>
          <w:szCs w:val="18"/>
          <w:color w:val="auto"/>
        </w:rPr>
        <w:t>Healthcare providers that purchase medical devices generally rely on third-party payors, including, in the United States,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Medicare and Medicaid 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may affect our customers' revenue and ability to purchase our products. Any changes in the healthcare regulatory, payment or enforcement landscape relative to our customers' healthcare services has the potential to significantly affect our operations and revenue.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patent and trademark protection for our key technology, products and product improvements, both in the United States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54"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8"/>
          <w:szCs w:val="18"/>
          <w:color w:val="auto"/>
        </w:rPr>
        <w:t>AccuDrain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Advansys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Ascension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BioFix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BioMotion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Bold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Budde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Buzz™, Camino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Capture™, CRW</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CUSA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DigiFuse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DuraGen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DuraSeal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First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Futura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Hallu</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HeliCote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HeliPlug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HeliTape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HeliMend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Helistat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Helitene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Integra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IPP-ON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Jarit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Licox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LimiTorr™, Luxtec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MemoFix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MicroFrance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Miltex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Movement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NeuraGen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NeuraWrap™, NuGrip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Omni-Tract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OSV II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Qwix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Padgett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Panta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PriMatrix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PyroSphere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Redmond™, Ruggles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SafeGuard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Salto Talaris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Subtalar MBA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SurgiMend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TenoGlide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Ti6</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Tibiaxys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TissueMend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Titan™ , Trel-X™, Trel-XC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Trel-XPress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TruArch</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Uni-CP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Uni-Clip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the Integra logo are some of the material trademarks of Integra LifeSciences Corporation and its subsidiaries. MAYFIELD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 registered trademark of SM USA, Inc., and is used by Integra under license.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2016, we had approximately 3,700 employees engaged in production and production support for warehouse, engineering and facilities, quality assurance, quality control, research and development, regulatory and clinical affairs, sales, marketing, administration and finance. Except for certain employees at our facilities in France and Mexico, none of our employees are subject to a collective bargaining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Financial information about our geographical areas is set forth under “Item 7. Management's Discussion and Analysis of Financial Condition and Results of Operations - Geographic Product Revenues and Operations” and in our financial statements Note 15,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to our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26"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SOURCES OF RAW MATERIALS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raw materials essential to our businesses are readily available from multiple sources. For reasons of quality assurance,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products, including our dermal regeneration products, duraplasty products, wound care products, bone void fillers,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either from the deep flexor tendon of cattle less than 24 months old from New Zealand, a country that has never had a reported case of bovine spongiform encephalopathy, or from the United States or from fetal dermis. The World Health Organization classifies different types of cattle tissue for relative risk of BSE transmission. Deep flexor tendon and fetal bovine skin are in the lowest-risk category for BSE transmission, and is therefore considered to have a negligible risk of containing the agent that causes BSE.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during our fourth quarter tend to be stronger than other quarters because many hospitals increase their purchases of our products during the fourth quarter to coincide with the end of their budget cycles in the U.S. In general, our first quarter usually has lower revenues than the preceding fourth quarter, the second and third quarters have higher revenues than the first quarter, and the fourth quarter revenues are the highest in the year. The main exceptions to this pattern occur because of material intervening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Times New Roman" w:cs="Times New Roman" w:eastAsia="Times New Roman" w:hAnsi="Times New Roman"/>
          <w:sz w:val="18"/>
          <w:szCs w:val="18"/>
          <w:u w:val="single" w:color="auto"/>
          <w:color w:val="auto"/>
        </w:rPr>
        <w:t>www.integralife.com</w:t>
      </w:r>
      <w:r>
        <w:rPr>
          <w:rFonts w:ascii="Times New Roman" w:cs="Times New Roman" w:eastAsia="Times New Roman" w:hAnsi="Times New Roman"/>
          <w:sz w:val="18"/>
          <w:szCs w:val="18"/>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Please call the Securities and Exchange Commission at 1-800-SEC-0330 for further information on the operation of the public reference facilities.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03"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34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both nationally and in our international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estimates concerning future financial performance, financing plans and the impact of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in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demand for our products, particularly capital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collagen-based products in sufficient quantities to meet sales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our ongoing restructuring, integration and manufacturing transfer and expansion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regulations affecting our business, and enforcement of those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debt and equity financing to fund capital expenditures and working capital requirements and acquisitions;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launched by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including trade secrets;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acquisitions, integrate operations post-acquisition and maintain relationships with customers of acquired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all matters identified in FDA observations and warning letters that we received or may receive;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described in the section entitled "Risk Factors" in this report.</w:t>
      </w:r>
    </w:p>
    <w:p>
      <w:pPr>
        <w:spacing w:after="0" w:line="2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257"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worldwide, which could affect the ability of hospitals and other customers to purchase our products and could result in a reduction in elective and non-reimbursed operative procedures;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acquisitions and our ability to integrate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restructuring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significant customer orders, which tend to increase in the fourth quarter to coincide with the end of budget cycles for many hospitals;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existing products, as well as products in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as well as changes in country-specific regulatory requirements;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rates of exchange between the U.S. dollar and other currencies of foreign countries in which we do business, such as the euro, British pound, Swiss franc, Canadian dollar, Japanese yen, Australian dollar, Mexican peso, Brazilian real and Chinese yuan;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and business lost in connection with product field correction actions or recalls;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806" w:right="239" w:bottom="1440" w:gutter="0" w:footer="0" w:header="0"/>
        </w:sectPr>
      </w:pPr>
    </w:p>
    <w:bookmarkStart w:id="12" w:name="page13"/>
    <w:bookmarkEnd w:id="12"/>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backorders and lost sales resulting from stoppages in production relating to product recalls or field corrective actions;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or decreases in the supply of raw materials, including energy and steel;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ship our products efficiently or in sufficient quantities to meet sales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research and development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for major initiatives;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our products by third-party payors such as Medicare, Medicaid, private and public health insurers and foreign governmental health systems;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existing distribution rights to and from certain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business if or when we opt to convert such business from distributors to a direct sales model;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new commercial sales representatives to obtain sales targets in a reasonable time frame;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peer-reviewed publications discussing the clinical effectiveness of the products we sell;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or guidelines that impact the marketing practices for products that we sell;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regulatory scrutiny of certain of our products, including products which we manufacture for others, could result in their being removed from the market or involve field corrective actions that could affect the marketability of our products;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their interpretations;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industry and market segments in which we operate are highly competitive, and we may be unable to compete effectively with other companies.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methodologies from third-party payors, such as Medicare, Medicaid, private and public health insurers and foreign governmental health systems.</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obtain patent protection and to produce products consistently in sufficient quantities to meet demand.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Additionally, purchasing decisions of our customers may be based on clinical evidence or comparative effectiveness studies and, because of our vast array of products, we might not be able to fund the studies necessary or provide the required information to compete effectively. Other companies may have more resources available to fund such studies. For example, competitors have launched and have been developing products to compete with our duraplasty products, dural sealant, extremity reconstruction implants, regenerative skin, neuro critical care monitors and ultrasonic tissue ablation devices, among others.</w:t>
      </w:r>
    </w:p>
    <w:p>
      <w:pPr>
        <w:spacing w:after="0" w:line="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primary competitors in specialty surgical solutions are the Aesculap division of B. Braun Medical, Inc., Johnson &amp; Johnson, Medtronic, Inc., Stryker Corporation, Becton, Dickinson and Company, and C.R. Bard, Inc. Our competitors in orthopedics and tissue technologies include the DePuy/Synthes business of Johnson &amp; Johnson, Stryker Corporation, Wright Medical Group, N.V., Smith &amp; Nephew plc, MiMedx Group, Inc., Acelity L.P. Inc., a subsidiary of Allergan PLC, and Zimmer Biomet Holdings, Inc., as well as other major orthopedic companies that carry a full line of small bone and joint fixation, soft tissue and/or wound care products. Additionally, we compete with many smaller specialized companies and larger companies that do not otherwise focus on specialty surgical solutions or orthopedics and tissue technology.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some or all of the anticipated benefits of the separation of our Spine business.</w:t>
      </w:r>
    </w:p>
    <w:p>
      <w:pPr>
        <w:spacing w:after="0" w:line="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 2015, we completed the separation (the “Separation”) of our orthobiologics and spinal fusion hardware business, now known as SeaSpine Holdings Corporation (“SeaSpine”), from the Company. Even though the Separation has been completed, we may not realize any or all of the anticipated strategic, financial, operational, marketing or other benefits from the Separation, including our ability to benefit from the increased focus through our two divisional structure or to achieve anticipated growth rates, margins and scale and to execute on our strategy generally. Following the Separation, we are a smaller, less diversified company. This narrower business focus could leave us more vulnerable to changing market conditions, which could adversely affect our business, financial condition and results of operations. The diminished diversification of revenue, costs, and cash flows could also cause our results of operations, cash flows, working capital and financing requirements to be subject to increased volatility. In addition, we may be unable to achieve some or all of the strategic and financial benefits that we expected would result from the Separation, or such benefits may be delayed, which could adversely affect our business, financial condition and results of operations. Further, there can be no assurance that the combined value of the common stock of the two publicly-traded companies will be equal to or greater than what the value of our common stock would have been had the Separation not occurred.</w:t>
      </w:r>
    </w:p>
    <w:p>
      <w:pPr>
        <w:spacing w:after="0" w:line="223"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Separation, SeaSpine will continue to be dependent on us for certain support services and we may have indemnification obligations to each other with respect to such arrangements.</w:t>
      </w:r>
    </w:p>
    <w:p>
      <w:pPr>
        <w:spacing w:after="0" w:line="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entered into various agreements with SeaSpine in connection with the Separation, including a transition services agreement, a separation and distribution agreement, a tax matters agreement, an employee matters agreement and several supply agreements. These agreements will govern our relationship with SeaSpine following the Separation. If we are required to indemnify SeaSpine for certain liabilities and related losses arising in connection with any of these agreements or if SeaSpine is required to indemnify us for certain liabilities and related losses arising in connection with any of these agreements and does not fulfill its obligations to us, we may be subject to substantial liabilities, which could have a material adverse effect on our financial position.</w:t>
      </w:r>
    </w:p>
    <w:p>
      <w:pPr>
        <w:spacing w:after="0" w:line="224"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there is a determination that the spin-off is taxable for U.S. federal income tax purposes, then we and our stockholders that are subject to U.S. federal income tax could incur significant U.S. federal income tax liabilities and, in certain circumstances, we could be required to indemnify SeaSpine for material taxes pursuant to indemnification obligations under the tax matters agreement.</w:t>
      </w:r>
    </w:p>
    <w:p>
      <w:pPr>
        <w:spacing w:after="0" w:line="4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received an opinion of Latham &amp; Watkins LLP, tax counsel to us (the “Tax Opinion”), substantially to the effect that (i) the contribution of the stock of SeaSpine Orthopedics Corporation to SeaSpine, together with the internal distribution of the stock of SeaSpine to Integra (collectively, the “internal distribution”), will constitute a reorganization under Sections 355 and 368(a)(1)(D) of the Internal Revenue Code of 1986, as amended (the “Code”) and (ii) the contribution of cash from us to SeaSpine (the “cash contribution”), together with the distribution of the stock of SeaSpine to our shareholders (the “distribution”), will constitute a reorganization under Sections 355 and 368(a)(1)(D) of the Code. Based on this tax treatment, the distribution will be tax-free to Integra and its stockholders for U.S. federal income tax purposes (except for any cash received in lieu of fractional shares). The Tax Opinion relied on certain facts, assumptions, representations and undertakings from us and SeaSpine regarding the past and future conduct of the companies’ respective businesses and other matters. The Tax Opinion is not binding on the U.S. Internal Revenue Service (the “IRS”) or the courts. Notwithstanding the opinion, the IRS could determine on audit that the internal distribution, the cash contribution and the distribution should be treated as taxable transactions if it determines that any of the facts, assumptions, representations or undertakings we or SeaSpine have made is not correct or has been violated, or that the internal distribution, the cash contribution and the distribution should be taxable for other reasons, including as a result of a significant change in stock or asset ownership after the distribution. If the distribution ultimately is determined to be taxable, the distribution could be treated as a taxable dividend or capital gain to our stockholders for U.S. federal income tax purposes, and our stockholders could incur significant U.S. federal income tax liabilities. In addition, we would recognize gain in an amount equal to the excess of the fair market value of shares of SeaSpine common stock distributed to our stockholders on the distribution date over our tax basis in such shares of SeaSpine common stock. Moreover, we could incur significant U.S. federal income tax liabilities if it is ultimately determined that the internal distribution does not qualify as a transaction that is tax-free for U.S. federal income tax purposes.</w:t>
      </w:r>
    </w:p>
    <w:p>
      <w:pPr>
        <w:spacing w:after="0" w:line="233"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be able to engage in desirable strategic transactions and equity issuances following the spin-off because of certain restrictions relating to requirements for tax-free distributions.</w:t>
      </w:r>
    </w:p>
    <w:p>
      <w:pPr>
        <w:spacing w:after="0" w:line="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engage in significant equity transactions could be limited or restricted after the spin-off in order to preserve, for U.S. federal income tax purposes, the tax-free nature of the internal distribution and the distribution. Even if the internal distribution and the distribution otherwise qualify for tax-free treatment under Section 355 of the Code, they may result in corporate-level taxable gain to us under Section 355(e) of the Code if there is a 50% or greater change in ownership, by vote or value, of shares of our stock or SeaSpine’s stock occurring as part of a plan or series of related transactions that includes the internal distribution or the distribution. Any acquisitions or issuances of our stock or SeaSpine’s stock within two years after the distribution are generally presumed to be part of such a plan, although we or SeaSpine may be able to rebut that presumption.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4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continuing contingent liabilities of SeaSpine following the spin-off.</w:t>
      </w:r>
    </w:p>
    <w:p>
      <w:pPr>
        <w:spacing w:after="0" w:line="3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the Separation, there are several significant areas where the liabilities of SeaSpine may become our obligations. For example, under the Code and the related rules and regulations, each corporation that was a member of our consolidated U.S. federal income tax reporting group during any taxable period or portion of any taxable period ending on or before the effective time of the spin-off is jointly and severally liable for the U.S. federal income tax liability of the entire consolidated tax reporting group for that taxable period. If SeaSpine is unable to pay any prior period taxes for which it is responsible, we could be required to pay the entire amount of such taxes.</w:t>
      </w:r>
    </w:p>
    <w:p>
      <w:pPr>
        <w:spacing w:after="0" w:line="220"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11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internally generated growth, our current strategy involves growth through acquisitions. Between January 1, 2014 and December 31, 2016, we have acquired 7 businesses at a total cost of approximately $677.9 million.</w:t>
      </w:r>
    </w:p>
    <w:p>
      <w:pPr>
        <w:spacing w:after="0" w:line="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may be unable to continue to implement our growth strategy, and our strategy ultimately may be unsuccessful. A significant portion of our growth in revenues has resulted from, and is expected to continue to result from, the acquisition of businesses or products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As we grow by acquisition, we must manage and integrate the new businesses to bring them into our systems for financial, disclosure, compliance, regulatory and quality control, realize economies of scale, and control costs. In addition, acquisitions involve other risks, including diversion of management resources otherwise available for development of our business and risks associated with entering markets in which our marketing teams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businesses and operations, manage the cost of providing our products or price our products appropriately, our profitability could suffer. In addition,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future financial results could be adversely affected by impairments or other charges.</w:t>
      </w:r>
    </w:p>
    <w:p>
      <w:pPr>
        <w:spacing w:after="0" w:line="27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we have grown through acquisitions, we have $510.6 million of goodwill and $1.0 million of indefinite-lived intangible assets as of December 31, 2016. Under the authoritative guidance for determining the useful life of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 As of December 31, 2016, we had $560.2 million of finite-lived intangible assets.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2016 our trade names have a carrying value of $71.3 million and decisions relating to our trade names may occur over time. Additionally,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4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value of a medical device business is often volatile, and the assumptions underlying our estimates made in connection with our assessments under the guidance may change as a result of that volatility or other factors outside our control and may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60" w:right="2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213"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adoption of healthcare reform in the United States and initiatives sponsored by other governments may adversely affect our business, results of operations and/or financial condition.</w:t>
      </w:r>
    </w:p>
    <w:p>
      <w:pPr>
        <w:spacing w:after="0" w:line="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operations may be substantially affected by potential fundamental changes in the global political, economic and regulatory landscape of the healthcare industry. Government and private sector initiatives to limit the growth of healthcare costs are continuing in the U.S., and in many other countries where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w:t>
      </w:r>
    </w:p>
    <w:p>
      <w:pPr>
        <w:spacing w:after="0" w:line="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March 2010, significant reforms to the U.S. healthcare system were adopted in the form of the Patient Protection and Affordable Care Act (the “Affordable Care Act”). The Affordable Care Act includes provisions that, among other things, reduce and/or limit Medicare reimbursement, require all individuals to have health insurance (with limited exceptions) and impose new and/or increased taxes. Specifically, the law requires the medical device industry to subsidize healthcare reform by implementing a 2.3% excise tax, commencing on January 1, 2013, on the sale of certain medical devices by a manufacturer, producer or importer of such devices in the United States. Because the substantial majority of our revenues is generated in the United States, the Affordable Care Act affected our financial results since it came into effect after December 31, 2012. In December 2015, President Obama signed into law The Consolidated Appropriations Act, which included a two-year moratorium on the 2.3% medical device excise tax, with the effect such that medical device revenues earned in 2016 and 2017 will be exempt from such tax. Unless there is further legislative action during that two-year period, the 2.3% medical device excise tax automatically will be reinstated for sales of medical devices on or after January 1, 2018. While this two-year moratorium on the 2.3% medical device excise tax could provide a short-term benefit to the Company in terms of providing additional monies available to spend on various projects in 2016 and 2017, we are unable to predict what the long-term impact will have on our financial statements and financial performance.</w:t>
      </w:r>
    </w:p>
    <w:p>
      <w:pPr>
        <w:spacing w:after="0" w:line="5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the Affordable Care Act also requires detailed disclosure of gifts and other remuneration made to healthcare professionals, which could have a negative impact on our relationships with customers and ability to seek input on product design or involvement in research.</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provisions of the Affordable Care Act could meaningfully change the way healthcare is developed and delivered in the United States, and may adversely affect our business and results of operations.</w:t>
      </w:r>
    </w:p>
    <w:p>
      <w:pPr>
        <w:spacing w:after="0" w:line="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are many programs and requirements for which the details have not yet been fully established or consequences not fully understood, and it is unclear what the full impact of the legislation will be. We cannot predict what healthcare programs and regulations will ultimately be implemented at the U.S. federal or state level, or the effect of any future legislation or regulation in the United States or elsewhere. That said, any changes that lower reimbursements for our products or reduce medical procedure volumes could have a material adverse effect on our business, financial condition and results of operations. We continue to monitor the implementation of such legislation and, to the extent new market or industry trends or new governmental programs evolve, we will have implemented or will consider implementing programs to respond.</w:t>
      </w:r>
    </w:p>
    <w:p>
      <w:pPr>
        <w:spacing w:after="0" w:line="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Initiatives sponsored by government agencies, legislative bodies and the private sector to limit the growth of healthcare costs, including price regulation and competitive pricing, are ongoing in other markets where we do business.</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the Affordable Care Act encourages hospitals and physicians to work collaboratively through shared savings programs, such as accountable care organizations, as well as other bundled payment initiatives, which may ultimately result in the reduction of medical device purchases and the consolidation of medical device suppliers used by hospitals.</w:t>
      </w:r>
    </w:p>
    <w:p>
      <w:pPr>
        <w:spacing w:after="0" w:line="37"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257" w:lineRule="exact"/>
        <w:rPr>
          <w:sz w:val="20"/>
          <w:szCs w:val="20"/>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mentioned above, the Affordable Care Act, which is intended to expand access to health insurance coverage over time, has resulted in and will continue to result in major changes in the United States healthcare system that have had and could continue to have an adverse effect on our business, including a 2.3% excise tax on U.S. sales of most medical devices, implemented in 2013, which has adversely affected our earnings through the end of 2015 (Note: even though President Obama signed into law The Consolidated Appropriations Act in December 2015, which included a two-year moratorium on the 2.3% excise tax for medical device revenues earned in 2016 and 2017, the 2.3% excise tax automatically will be reinstated for sales of medical devices on or after January 1, 2018 unless there is further legislative action);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45" w:right="239" w:bottom="1440" w:gutter="0" w:footer="0" w:header="0"/>
        </w:sectPr>
      </w:pPr>
    </w:p>
    <w:bookmarkStart w:id="16" w:name="page17"/>
    <w:bookmarkEnd w:id="16"/>
    <w:p>
      <w:pPr>
        <w:jc w:val="both"/>
        <w:ind w:left="6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payors of hospital services and hospital outpatient services, including Medicare, Medicaid, private and public health insurers and foreign governmental health systems, annually revise their payment methodologies, which can result in stricter standards for reimbursement of hospital charges for certain medical procedures or the elimination of reimbursement;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governmental health systems have revised, and continue to consider whether to revise, their payment methodologies, which have resulted and could continue to result in stricter standards for reimbursement of hospital charges for certain medical procedures leading to less government reimbursement, thereby putting downward pricing pressure on our products or rendering some uneconomical;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Medicaid, private and public health insurer and foreign governmental cutbacks could create downward price pressure on our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local Medicare coverage as well as commercial carrier coverage determinations will reduce or eliminate reimbursement or coverage for certain of our wound matrix products as well as other collagen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consolidation among healthcare facilities and purchasers of medical devices in the United States, some of whom prefer to limit the number of suppliers from whom they purchase medical products, and these entities may decide to stop purchasing our products or demand discounts on our prices;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growing movement of physicians becoming employees of hospitals and other healthcare entities, which aligns surgeon product choices with his or her employers' purchasing decisions, and adds to pricing pressures;</w:t>
      </w: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17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w:t>
      </w: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laws or regulations will permit hospitals to provide financial incentives to doctors for reducing hospital costs (known as gainsharing), will award physician efficiency (known as physician profiling), and will encourage partnerships with healthcare service and goods providers to reduce prices; and</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and all of the above factors could adversely affect our levels of revenue and our profitability.</w:t>
      </w:r>
    </w:p>
    <w:p>
      <w:pPr>
        <w:spacing w:after="0" w:line="86"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domestic and foreign medical device regulation and any adverse regulatory action may adversely affect our financial condition and business operations.</w:t>
      </w:r>
    </w:p>
    <w:p>
      <w:pPr>
        <w:spacing w:after="0" w:line="19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products, development activities and manufacturing processes are subject to extensive and rigorous regulation by numerous government agencies, including the FDA and comparable foreign agencies. To varying degrees, each of these agencies monitors and enforces our compliance with laws and regulations governing the development, testing, manufacturing, labeling, marketing and distribution of our medical devices. We are also subject to regulations that may apply to certain of our products that are Drug/Device Combination products or are considered to be subject to pharmaceutical regulations outside the U.S. The process of obtaining marketing approval or clearance from the FDA and comparable foreign regulatory agencies for new products, or for enhancements or modifications to existing products, could</w:t>
      </w:r>
    </w:p>
    <w:p>
      <w:pPr>
        <w:spacing w:after="0" w:line="14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amount of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financial and other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rigorous and expensive pre-clinical and clinical testing, as well as increased post-market surveillance;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modifications, repairs or replacements of our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indicated uses of our products.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certain that we will receive required approval or clearance from the FDA and foreign regulatory agencies for new products or modifications to existing products on a timely basis. The failure to receive approval or clearance for significant new products or modifications to existing products on a timely basis could have a material adverse effect on our financial condition and results of operations.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Both before and after a product is commercially released, we have ongoing responsibilities under FDA regulations. For example, we are required to comply with the FDA's Quality System Regulation, which mandates that manufacturers of medical devices adhere to certain quality assurance requirements pertaining to, among other things, validation of manufacturing processes,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controls for purchasing product components, and documentation practices. As another example, the Federal Medical Device Reporting regulation requires us 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which may result in observations on Form 483, and in some cases warning letters, that require corrective action. If the FDA were to conclude that we are not in compliance with applicable laws or regulations, or that any of our medical devices are ineffective or pose an unreasonable health risk, the FDA could ban such medical devices, detain or seize such medical devices, order a recall, repair, replacement, or refund of such devices, or require us to notify health professionals and others that the devices present unreasonable risks of substantial harm to the public health.</w:t>
      </w:r>
    </w:p>
    <w:p>
      <w:pPr>
        <w:spacing w:after="0" w:line="2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subject to the Medical Device Directive for our medical devices that are CE Marked and sold in the EU. We are also subject to Good Manufacturing Practice regulations for Pharmaceuticals in the EU for certain of our products. These regulations also mandate that manufacturers of medical devices (or those that are considered pharmaceuticals) adhere to certain quality assurance requirements pertaining to, among other things, validation of manufacturing processes, controls for purchasing product components, and documentation practices. There may be additional regulations if such products are considered pharmaceuticals outside the U.S.</w:t>
      </w:r>
    </w:p>
    <w:p>
      <w:pPr>
        <w:spacing w:after="0" w:line="2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FDA has intensified its scrutiny of the medical device industry and the government is expected to continue to scrutinize the industry closely with inspections, and possibly enforcement actions, by the FDA or other agencies. Additionally, the FDA may restrict manufacturing and impose other operating restrictions, enjoin and restrain certain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manufacturing, marketing and selling our products. In addition, negative publicity and product liability claims resulting from any adverse regulatory action could have a material adverse effect on our financial condition and results of operations.</w:t>
      </w:r>
    </w:p>
    <w:p>
      <w:pPr>
        <w:spacing w:after="0" w:line="14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an outstanding FDA warning letter related to TEI, an acquisition by Integra on July 17, 2015. TEI received a Warning Letter from the FDA dated May 29, 2015 for promoting the product SurgiMend for breast surgery applications that were not cleared in the 510(k) process and do not have a PMA Approval for the indication. The FDA requested that TEI immediately cease all activities that resulted in misbranding or adulteration of the product in commercial distribution. The FDA also required TEI to cease all violations regarding promotion of the product for an indication that was not cleared or approved. TEI responded with a corrective action plan to the FDA and took action to address the issues prior to the completion of the acquisition. We will continue to monitor this activity and address all corrective actions submitted to the FDA. The FDA may not accept our corrective action plan or it may choose to scrutinize other promotional claims regarding TEI’s or our products and require additional corrective actions.</w:t>
      </w:r>
    </w:p>
    <w:p>
      <w:pPr>
        <w:spacing w:after="0" w:line="2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have taken measures to enhance our Quality System, we cannot assure you that future inspections by the FDA and the standards they apply will not result in warning letters for any facility in the future. We are also subject to inspections of our Quality System by regulatory agencies outside the U.S. which could result in the issuance of nonconformance or significant requirements to our Quality System.</w:t>
      </w:r>
    </w:p>
    <w:p>
      <w:pPr>
        <w:spacing w:after="0" w:line="2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FDA Safety and Innovation Act ("FDASIA"), which includes the Medical Device User Fee Amendments of 2012 ("MDUFA III"), as well as other medical device provisions, went into effect October 1, 2012. This includes performance goals and user fees paid to the FDA by medical device companies when they register and list with the FDA and when they submit an application to market a device in the U.S. This law will affect the fees paid to the FDA over the five-year period that FDASIA is in effect. As part of FDASIA, there are additional requirements regarding the FDA Establishment Registration and Listing of Medical Devices. All U.S. and foreign manufacturers must register and list medical devices for sale in the U.S. All of our facilities comply with these requirements. That said, we also source products from foreign contract manufacturers. From this business practice, it is possible that some of our foreign contract manufacturers will not comply with these requirements and choose not to register with the FDA.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w:t>
      </w:r>
    </w:p>
    <w:p>
      <w:pPr>
        <w:spacing w:after="0" w:line="2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FDA issued a final rule on September 24, 2013 to establish a system to adequately identify devices through distribution and use. This rule requires the label of medical devices to include a unique device identifier ("UDI"), except where the rule provides for an exception or alternative placement. The labeler must submit product information concerning devices to FDA's Global Unique Device Identification Database ("GUDID"), unless subject to an exception or alternative. The system established by this rule requires the label and device package of each medical device to include a UDI and requires that each UDI be provided in a plain-text version and in a form that uses automatic identification and data capture technology. If the device is intended to be used more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45" w:right="2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than once and intended to be reprocessed before each use, then there is a requirement for the UDI to be directly marked on the device itself. This regulation will require significant resources and expense to comply with the regulation.</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complied with the initial requirements of this regulation for our Class III products by meeting the September 2014 deadline, our Class II implantable products by meeting the September 2015 deadline and for all Class II products by meeting the September 2016 deadline for labeling and entering the data in FDA's GUDID Database.</w:t>
      </w:r>
    </w:p>
    <w:p>
      <w:pPr>
        <w:spacing w:after="0" w:line="2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Finally, the FDA issued regulations regarding “Current Good Manufacturing Practice Requirements for Combination Products” on January 22, 2013. These regulations apply to some of our product lines that have been designated by the FDA as Combination Products. There have been and will be additional costs associated with compliance with the FDA Good Manufacturing Practice Requirements regulations for Combination Products.</w:t>
      </w:r>
    </w:p>
    <w:p>
      <w:pPr>
        <w:spacing w:after="0" w:line="2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FDCA permits device manufacturers to promote products solely for the uses and indications set forth in the approved product labeling. A number of enforcement actions have been taken against manufacturers that promote products for “off-label” uses, including actions alleging that federal health care program reimbursement of products promoted for "off-label" uses are false and fraudulent claims to the government. The failure to comply with “off-label” promotion restrictions can result in significant financial penalties and a required corporate integrity agreement with the federal government imposing significant administrative obligations and costs, and potential evaluation from federal health care programs.</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Foreign governmental regulations have become more stringent and we may become subject to even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medical device law or regulation imposed in the future may have a material adverse effect on our financial condition and business operations.</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products contain materials derived from animal sources and may become subject to additional regulation.</w:t>
      </w:r>
    </w:p>
    <w:p>
      <w:pPr>
        <w:spacing w:after="0" w:line="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of our products, including our dermal regeneration products, duraplasty products, wound care products, bone void fillers, nerve and tendon repair products and certain other products, contain material derived from bovine tissue. In 2016, approximately 41% of our revenues were attributable to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In 2013, the World Organization for Animal Health ("OIE") recommended that the United States risk classification for BSE be upgraded from controlled risk to negligible risk.</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take care to provide that our products are safe and free of agents that can cause disease. In particular, we have qualified a source of collagen from a country outside the United States that is considered BSE-free. The World Health Organization classifies different types of bovine tissue for relative risk of BSE transmission. Deep flexor tendon and bovine fetal skin, which are used in our products, are in the lowest-risk categories for BSE transmission and are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United States and purchase tendon from the United States and New Zealand. New Zealand has never had a case of BSE. We received approval in the United States, the EU, Japan, Taiwan, China, Argentina as well as other countries for the use of New Zealand-sourced tendon in the manufacturing of our products. If we cannot continue to use or qualify a source of tendon from New Zealand or another country that has never had a case of BSE, we will not be permitted to sell our collagen products in certain countries.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45" w:right="239" w:bottom="1440" w:gutter="0" w:footer="0" w:header="0"/>
        </w:sectPr>
      </w:pPr>
    </w:p>
    <w:bookmarkStart w:id="19" w:name="page20"/>
    <w:bookmarkEnd w:id="1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products are derived from human tissue and are subject to additional regulations and requirements.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distribute medical devices derived from human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HCT/Ps also meet the definition of a biological product, medical device or drug regulated under the FD&amp;C Act. Section 361 of the PHSA ACT and 21 CFR Part 1271 authorizes the FDA to issue regulations regarding HCT/Ps and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 labeling, and distribution HCT/Ps, including required labeling information, stringent record keeping; and adverse event reporting. These biologic, device or drug HCT/Ps must comply both with the requirements exclusively applicable to 361 HCT/Ps and, in addition, with requirements applicable to biologics, devices or drugs, including premarket clearance or approval.</w:t>
      </w:r>
    </w:p>
    <w:p>
      <w:pPr>
        <w:spacing w:after="0" w:line="50"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24"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We cannot be certain that our current products or any other products that we develop or market will achieve or maintain market acceptance. Certain of the medical indications that our devices can treat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our collagen-based wound care products.</w:t>
      </w:r>
    </w:p>
    <w:p>
      <w:pPr>
        <w:spacing w:after="0" w:line="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cannot be certain that our new devices and procedures will be able to replace those established treatments or that physicians, the medical community or third-party payors, including Medicare, Medicaid, private and public health insurers and foreign governmental health systems, will accept and utilize our devices or any other medical products that we may develop. For example, greater market acceptance of our wound graft products may ultimately depend on our ability to demonstrate that higher rates of reimbursement are justified because they are an attractive and cost-effective alternative to other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our future success depends, in part, on our ability to license and develop additional products. Even if we determine that a product candidate has medical benefits, the cost of commercializing that product candidate, either through internal development or payments associated with licensing arrangements, could be too high to justify development. Competitors could develop products that are more effective, achieve or maintain more favorable reimbursement status from third-party payors both domestically and internationally, including Medicare, Medicaid, private and public health insurers, and foreign governmental health systems, cost less or are ready for commercial introduction before our products. If we are unable to develop additional commercially viable products, our future prospects could be adversely affected.</w:t>
      </w:r>
    </w:p>
    <w:p>
      <w:pPr>
        <w:spacing w:after="0" w:line="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private and public health insurers, and foreign governmental health systems, regarding our products or third-party determinations that favor a competitor’s product over ours, could harm acceptance or continued use of our products. The industry is subject to rapid and continuous change arising from, among other things, consolidation, technological improvements, the pressure on governments, third-party payors and providers to reduce healthcare costs, and healthcare reform legislation and initiatives domestically and internationally. One or more of these factors may vary unpredictably, and such variations could have a material adverse effect on our competitive position. We may not be able to adjust our contemplated plan of development to meet changing market demands.</w:t>
      </w:r>
    </w:p>
    <w:p>
      <w:pPr>
        <w:spacing w:after="0" w:line="50"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 economic conditions may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Current economic conditions, especially in Europe as well as in Brazil, Russia, China and Mexico, may adversely affect the ability of hospitals and other customers to access funds to enable them to fund their operating and capital budgets. As a result, hospitals and other customers may reduce budgets or put all or part of their budgets on hold or close their operations, which could have a negative effect on our sales, particularly the sales of capital equipment such as our ultrasonic surgical aspirators, neuromonitors and stereotactic products, or result in a reduction in elective and non-reimbursed procedures. Governmental austerity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41" w:right="2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policies in Europe and other markets have reduced and could continue to reduce the amount of money available to purchase medical products, including our products.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have additional tax liabilities</w:t>
      </w:r>
    </w:p>
    <w:p>
      <w:pPr>
        <w:spacing w:after="0" w:line="27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U.S. and many foreign jurisdictions and are commonly audited by various tax authorities. In the ordinary course of our business, there are many transactions and calculations where the ultimate tax determination is uncertain. Significant judgment is required in determining our worldwide provision for income taxes. Although we believe our tax estimates are reasonable, the final determination of tax audits and any related litigation could be materially different from our historical income tax provisions and accruals. The results of an audit or litigation could have a material effect on our financial statements in the period or periods for which that determination is made.</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significant amount of our net profits and cash flows are generated from outside the U.S., and certain repatriation of funds currently held in foreign jurisdictions may result in higher effective tax rates for the Company. In addition, there have been proposals to change U.S. tax laws that could significantly impact how U.S. global corporations are taxed. Although we cannot predict whether or in what form proposed legislation may pass, if enacted certain proposals could have a material adverse impact on our tax expense and cash flow.</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Disruptions in the financial markets may adversely affect the availability and cost of credit to us.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7, 2016, the Company entered into its fourth amended and restated Senior Credit Facility (the "Fourth Amendment and Restatement"). As of February 21, 2017, we had approximately $665.0 million of outstanding borrowings under this financing arrangement. The Company may attempt to refinance or extend this obligation depending on prevailing market conditions. Our ability to refinance or extend this obligation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 The Company’s 2016 Convertible Notes (hereinafter defined) matured and settled in December 2016.</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It could be difficult to replace some of our suppliers.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270" w:lineRule="exact"/>
        <w:rPr>
          <w:sz w:val="20"/>
          <w:szCs w:val="20"/>
          <w:color w:val="auto"/>
        </w:rPr>
      </w:pPr>
    </w:p>
    <w:p>
      <w:pPr>
        <w:ind w:left="980" w:hanging="648"/>
        <w:spacing w:after="0" w:line="261" w:lineRule="auto"/>
        <w:tabs>
          <w:tab w:leader="none" w:pos="6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collagen-based products, such as the Integra Dermal Regeneration Template and wound matrix products, the DuraGen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family of products, our Absorbable Collagen Sponges, Primatrix and SurgiMend products;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made from silicone, such as our neurosurgical shunts and drainage systems and hemodynamic shunts;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which use many different specialty parts from numerous suppliers, such as our intracranial monitors, catheters and headlights;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use pyrolytic carbon (i.e., PyroCarbon) technology, such as certain of our reconstructive extremity orthopedic implants.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Confluent Surgical acquisition in January 2014, we entered into a multi-year supply agreement with an affiliate of the seller to continue to manufacture the acquired surgical sealant and adhesion barrier product lines. In 2015, we entered into a contract with a third party to assume the manufacturing of these product lines after the relationship with the affiliate of the seller concludes in several years.</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were suddenly unable to purchase products from one or more of these companies, we would need a significant period of time to qualify a replacement, and the production of any affected products could be disrupted.</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45" w:right="239" w:bottom="1440" w:gutter="0" w:footer="0" w:header="0"/>
        </w:sectPr>
      </w:pPr>
    </w:p>
    <w:bookmarkStart w:id="21" w:name="page22"/>
    <w:bookmarkEnd w:id="21"/>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the approval or rejection of patent applications may take several years and our current and future patent applications may not result in the issuance of patents in the United States or foreign countries.</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depends, in part, upon unpatented trade secrets which we may be unable to protect.</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partly on our ability to operate without infringing or misappropriating the proprietary rights of others.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relating to our intellectual property rights and promotional practices, which may be expensive.</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In addition, litigation is time-consuming and could divert management's attention and resources away from our business. Moreover, in response to our claims against other parties, those parties could assert counterclaims against us.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Pending litigation related to the proposed acquisition of Derma Sciences could result in a judgment for rescission or the payment of damages.</w:t>
      </w:r>
    </w:p>
    <w:p>
      <w:pPr>
        <w:spacing w:after="0" w:line="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Purported stockholders of Derma Sciences have filed three class action lawsuits challenging the proposed acquisition of Derma Sciences by Integra and its subsidiary, Integra Derma, Inc. (the “</w:t>
      </w:r>
      <w:r>
        <w:rPr>
          <w:rFonts w:ascii="Times New Roman" w:cs="Times New Roman" w:eastAsia="Times New Roman" w:hAnsi="Times New Roman"/>
          <w:sz w:val="18"/>
          <w:szCs w:val="18"/>
          <w:i w:val="1"/>
          <w:iCs w:val="1"/>
          <w:color w:val="auto"/>
        </w:rPr>
        <w:t>Proposed Acquisition</w:t>
      </w:r>
      <w:r>
        <w:rPr>
          <w:rFonts w:ascii="Times New Roman" w:cs="Times New Roman" w:eastAsia="Times New Roman" w:hAnsi="Times New Roman"/>
          <w:sz w:val="18"/>
          <w:szCs w:val="18"/>
          <w:color w:val="auto"/>
        </w:rPr>
        <w:t xml:space="preserve">”). On January 30 and February 3, 2017, complaints captioned </w:t>
      </w:r>
      <w:r>
        <w:rPr>
          <w:rFonts w:ascii="Times New Roman" w:cs="Times New Roman" w:eastAsia="Times New Roman" w:hAnsi="Times New Roman"/>
          <w:sz w:val="18"/>
          <w:szCs w:val="18"/>
          <w:i w:val="1"/>
          <w:iCs w:val="1"/>
          <w:color w:val="auto"/>
        </w:rPr>
        <w:t>Rabadi v. Derma Sciences,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Case No. 3:17-cv-00628 (the “</w:t>
      </w:r>
      <w:r>
        <w:rPr>
          <w:rFonts w:ascii="Times New Roman" w:cs="Times New Roman" w:eastAsia="Times New Roman" w:hAnsi="Times New Roman"/>
          <w:sz w:val="18"/>
          <w:szCs w:val="18"/>
          <w:i w:val="1"/>
          <w:iCs w:val="1"/>
          <w:color w:val="auto"/>
        </w:rPr>
        <w:t>Rabadi Complaint</w:t>
      </w:r>
      <w:r>
        <w:rPr>
          <w:rFonts w:ascii="Times New Roman" w:cs="Times New Roman" w:eastAsia="Times New Roman" w:hAnsi="Times New Roman"/>
          <w:sz w:val="18"/>
          <w:szCs w:val="18"/>
          <w:color w:val="auto"/>
        </w:rPr>
        <w:t>”) and Klingel v.</w:t>
      </w:r>
      <w:r>
        <w:rPr>
          <w:rFonts w:ascii="Times New Roman" w:cs="Times New Roman" w:eastAsia="Times New Roman" w:hAnsi="Times New Roman"/>
          <w:sz w:val="18"/>
          <w:szCs w:val="18"/>
          <w:i w:val="1"/>
          <w:iCs w:val="1"/>
          <w:color w:val="auto"/>
        </w:rPr>
        <w:t xml:space="preserve"> Derma Sciences, Inc., et al</w:t>
      </w:r>
      <w:r>
        <w:rPr>
          <w:rFonts w:ascii="Times New Roman" w:cs="Times New Roman" w:eastAsia="Times New Roman" w:hAnsi="Times New Roman"/>
          <w:sz w:val="18"/>
          <w:szCs w:val="18"/>
          <w:color w:val="auto"/>
        </w:rPr>
        <w:t>., Case No. 3:17-cv-00738, were filed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District Court for the District of New Jersey against Derma Sciences, each member of its board of directors (the “</w:t>
      </w:r>
      <w:r>
        <w:rPr>
          <w:rFonts w:ascii="Times New Roman" w:cs="Times New Roman" w:eastAsia="Times New Roman" w:hAnsi="Times New Roman"/>
          <w:sz w:val="18"/>
          <w:szCs w:val="18"/>
          <w:i w:val="1"/>
          <w:iCs w:val="1"/>
          <w:color w:val="auto"/>
        </w:rPr>
        <w:t>Derma Sciences Board</w:t>
      </w:r>
      <w:r>
        <w:rPr>
          <w:rFonts w:ascii="Times New Roman" w:cs="Times New Roman" w:eastAsia="Times New Roman" w:hAnsi="Times New Roman"/>
          <w:sz w:val="18"/>
          <w:szCs w:val="18"/>
          <w:color w:val="auto"/>
        </w:rPr>
        <w:t xml:space="preserve">”), Integra, and Integra Derma, Inc. On January 31, 2017, a complaint captioned </w:t>
      </w:r>
      <w:r>
        <w:rPr>
          <w:rFonts w:ascii="Times New Roman" w:cs="Times New Roman" w:eastAsia="Times New Roman" w:hAnsi="Times New Roman"/>
          <w:sz w:val="18"/>
          <w:szCs w:val="18"/>
          <w:i w:val="1"/>
          <w:iCs w:val="1"/>
          <w:color w:val="auto"/>
        </w:rPr>
        <w:t>Parshall v. Derma Sciences, Inc., et al</w:t>
      </w:r>
      <w:r>
        <w:rPr>
          <w:rFonts w:ascii="Times New Roman" w:cs="Times New Roman" w:eastAsia="Times New Roman" w:hAnsi="Times New Roman"/>
          <w:sz w:val="18"/>
          <w:szCs w:val="18"/>
          <w:color w:val="auto"/>
        </w:rPr>
        <w:t>., Case No. 2017-0074 (the “</w:t>
      </w:r>
      <w:r>
        <w:rPr>
          <w:rFonts w:ascii="Times New Roman" w:cs="Times New Roman" w:eastAsia="Times New Roman" w:hAnsi="Times New Roman"/>
          <w:sz w:val="18"/>
          <w:szCs w:val="18"/>
          <w:i w:val="1"/>
          <w:iCs w:val="1"/>
          <w:color w:val="auto"/>
        </w:rPr>
        <w:t>Parshall Complaint</w:t>
      </w:r>
      <w:r>
        <w:rPr>
          <w:rFonts w:ascii="Times New Roman" w:cs="Times New Roman" w:eastAsia="Times New Roman" w:hAnsi="Times New Roman"/>
          <w:sz w:val="18"/>
          <w:szCs w:val="18"/>
          <w:color w:val="auto"/>
        </w:rPr>
        <w:t>”), was filed in the Court of Chancery of the State of Delaware against Derma Sciences, each member of the Derma Sciences Board, Integra, and Integra Derma, Inc. The complaints seek certification of a class action on behalf of all Derma Sciences’ public stockholders. Each complaint alleges, among other things, that the process leading up to the Proposed Acquisition, including Integra’s offer to purchase the outstanding shares of Derma Sciences, was inadequate, and that the Schedule 14D-9 filed by Derma Sciences on January 25, 2017 omits certain material information, which each complaint alleges renders the information disclosed materially misleading. The Rabadi Complaint and the Parshall Complaint also allege that the members of the Derma Sciences Board breached their fiduciary duties with respect to the Proposed Acquisition, and that Integra, Integra Derma, Inc. and Derma Sciences aided and abetted those alleged breaches of fiduciary duties. Each complaint seeks, among other things, to rescind the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41" w:right="2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Proposed Acquisition or recover money damages in the event the Proposed Acquisition is consummated. While the complaints also sought to enjoin the Proposed Acquisition, on February 9, 2017, plaintiffs agreed to not pursue preliminary injunctive relief in return for Derma Sciences making certain additional disclosures. Other potential plaintiffs may file additional lawsuits challenging the Proposed Acquisition. The outcome of any such litigation is uncertain. An adverse judgment for rescission or for monetary damages could have a material adverse effect on Integra following the Proposed Acquisition.</w:t>
      </w:r>
    </w:p>
    <w:p>
      <w:pPr>
        <w:spacing w:after="0" w:line="41"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pending acquisitions of Codman Neurosurgery and Derma Sciences are each subject to a number of conditions, which, if not fulfilled, may result in termination of the underlying acquisition agreement.</w:t>
      </w:r>
    </w:p>
    <w:p>
      <w:pPr>
        <w:spacing w:after="0" w:line="2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underlying acquisition agreements for the Codman Neurosurgery transaction and the Derma Sciences transaction each contain a number of customary conditions to complete the applicable acquisition, including that certain representations and warranties be accurate, that certain covenants be fulfilled, that certain regulatory approvals have been obtained, that there be no legal prohibitions against completion of the acquisition, and, in the case of the Derma Sciences acquisition, that a sufficient number Derma Sciences’ stockholders validly tender their shares in the Offer and not properly withdraw such shares prior to the expiration of the Offer. Many of the conditions to complete the acquisitions are not within our control or the applicable counterparty’s control, and neither of us can predict when or if these conditions will be satisfied. With respect to the Codman Neurosurgery transaction, if any of these conditions are not satisfied or waived prior to October 1, 2017, which date may be extended to October 15, 2017 under certain circumstances, it is possible that the acquisition will not be completed in the expected time frame or that the asset purchase agreement may be terminated.</w:t>
      </w:r>
    </w:p>
    <w:p>
      <w:pPr>
        <w:spacing w:after="0" w:line="46"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approvals required in connection with our pending acquisition of Codman Neurosurgery may not be obtained or may contain materially burdensome conditions.</w:t>
      </w:r>
    </w:p>
    <w:p>
      <w:pPr>
        <w:spacing w:after="0" w:line="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Completion of our pending acquisition of Codman Neurosurgery is conditioned upon the receipt of certain regulatory approvals, and we cannot provide assurance that these approvals will be obtained. If any conditions, including with respect to divestitures, or changes to the proposed structure of the acquisition are required to obtain these regulatory approvals, they may have the effect of jeopardizing or delaying completion of the pending acquisition or reducing the anticipated benefits of the pending acquisition. If we are required to agree to any material conditions in order to obtain any approvals required to complete the pending acquisition, the business and results of operations of our company following the closing may be adversely affected.</w:t>
      </w:r>
    </w:p>
    <w:p>
      <w:pPr>
        <w:spacing w:after="0" w:line="45"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Codman Neurosurgery and/or Derma Sciences acquisitions could negatively impact our stock price and our future business and financial results.</w:t>
      </w:r>
    </w:p>
    <w:p>
      <w:pPr>
        <w:spacing w:after="0" w:line="2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described above, the obligations to consummate the pending acquisitions of Codman Neurosurgery and Derma Sciences are, in each case, subject to the satisfaction or waidver of certain customary conditions. We cannot provide assurance that the applicable conditions to the completion of these pending acquisitions will be satisfied in a timely manner or at all. If either of these pending acquisitions are not completed, our share price could fall to the extent that our current price reflects an assumption that we will complete the pending acquisitions. Furthermore, if each acquisition is not completed, our ongoing business may be adversely affected, and we will be subject to several risks, including the following:</w:t>
      </w:r>
    </w:p>
    <w:p>
      <w:pPr>
        <w:spacing w:after="0" w:line="3" w:lineRule="exact"/>
        <w:rPr>
          <w:sz w:val="20"/>
          <w:szCs w:val="20"/>
          <w:color w:val="auto"/>
        </w:rPr>
      </w:pPr>
    </w:p>
    <w:p>
      <w:pPr>
        <w:ind w:left="980" w:hanging="648"/>
        <w:spacing w:after="0" w:line="250" w:lineRule="auto"/>
        <w:tabs>
          <w:tab w:leader="none" w:pos="6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pay certain costs relating to the acquisitions, whether or not they are completed, such as legal, accounting, and financial advisers, which could be substantial;</w:t>
      </w:r>
    </w:p>
    <w:p>
      <w:pPr>
        <w:ind w:left="980" w:right="20" w:hanging="648"/>
        <w:spacing w:after="0" w:line="250" w:lineRule="auto"/>
        <w:tabs>
          <w:tab w:leader="none" w:pos="6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Codman Neurosurgery acquisition, we may be obligated to pay a termination fee equal to $60 million if the underlying acquisition agreement is terminated under certain circumstances related to the financing of the transaction;</w:t>
      </w:r>
    </w:p>
    <w:p>
      <w:pPr>
        <w:ind w:left="980" w:hanging="648"/>
        <w:spacing w:after="0" w:line="250" w:lineRule="auto"/>
        <w:tabs>
          <w:tab w:leader="none" w:pos="6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counterparty can make a successful claim that there was, in the case of the Codman Neurosurgery, fraud, willful misconduct or a knowing and intentional material breach or, in the case of Derma Sciences, a willful and material breach, prior to termination, we may incur substantial costs of litigation and may be liable for damages which may be material;</w:t>
      </w:r>
    </w:p>
    <w:p>
      <w:pPr>
        <w:spacing w:after="0" w:line="1" w:lineRule="exact"/>
        <w:rPr>
          <w:rFonts w:ascii="Times New Roman" w:cs="Times New Roman" w:eastAsia="Times New Roman" w:hAnsi="Times New Roman"/>
          <w:sz w:val="18"/>
          <w:szCs w:val="18"/>
          <w:color w:val="auto"/>
        </w:rPr>
      </w:pPr>
    </w:p>
    <w:p>
      <w:pPr>
        <w:ind w:left="980" w:hanging="648"/>
        <w:spacing w:after="0" w:line="250" w:lineRule="auto"/>
        <w:tabs>
          <w:tab w:leader="none" w:pos="6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will have focused its attention on negotiating and preparing for the acquisitions instead of on pursuing other opportunities that could have been beneficial to us;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consummate the acquisitions may result in negative publicity and a negative impression of us in the investment community; and</w:t>
      </w:r>
    </w:p>
    <w:p>
      <w:pPr>
        <w:spacing w:after="0" w:line="9" w:lineRule="exact"/>
        <w:rPr>
          <w:rFonts w:ascii="Times New Roman" w:cs="Times New Roman" w:eastAsia="Times New Roman" w:hAnsi="Times New Roman"/>
          <w:sz w:val="18"/>
          <w:szCs w:val="18"/>
          <w:color w:val="auto"/>
        </w:rPr>
      </w:pPr>
    </w:p>
    <w:p>
      <w:pPr>
        <w:ind w:left="980" w:hanging="648"/>
        <w:spacing w:after="0" w:line="261" w:lineRule="auto"/>
        <w:tabs>
          <w:tab w:leader="none" w:pos="6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to our business resulting from the announcement of the acquisitions, including any adverse changes in our relationships with our customers, partners and employees, may continue or intensify in the event either acquisition is not consummated.</w:t>
      </w:r>
    </w:p>
    <w:p>
      <w:pPr>
        <w:spacing w:after="0" w:line="41"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integrate newly acquired businesses into our business operations, including Codman Neurosurgery and Derma Sciences, our business could be adversely affected.</w:t>
      </w:r>
    </w:p>
    <w:p>
      <w:pPr>
        <w:spacing w:after="0" w:line="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need to successfully integrate the operations of recently and pending acquired businesses, including our pending acquisitions of Codman Neurosurgery and Derma Sciences, with our business operations. The failure to integrate the business operations of the acquired business successfully would have a material adverse effect on our business, financial condition and results of operations. As a result of these pending acquisitions and any other future acquisitions, we will undergo substantial changes in a short period of time and our business will change and broaden in size and the scope of products we offer. Integrating the operations of multiple new businesses with that of our own is a complex, costly and time-consuming process, which requires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45" w:right="2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significant management attention and resources to integrate the business practice and operations. The integration process may disrupt the businesses and, if implemented ineffectively, would preclude realization of the full benefits expected by us. Our failure to meet the challenges involved in integrating the businesses in order to realize the anticipated benefits of the acquisitions could cause an interruption of, or a loss of momentum in, our activities and could adversely affect our results of operations. Prior to each acquisition, the acquired business operated independently, with its own business, corporate culture, locations, employees and systems. There may be substantial difficulties, costs and delays involved in any integration of other businesses with that of our own. These may include:</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distracting management from day-to-day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incompatibility of corporate cultures;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achieve synergies as planned;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assumption of contingent or other liabilities of acquisition targets;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or customers, including failure to retain key customers and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employees of our company and of the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inheriting and uncovering previously unknown issues, problems and costs from the acquired company;</w:t>
      </w:r>
    </w:p>
    <w:p>
      <w:pPr>
        <w:spacing w:after="0" w:line="9" w:lineRule="exact"/>
        <w:rPr>
          <w:rFonts w:ascii="Times New Roman" w:cs="Times New Roman" w:eastAsia="Times New Roman" w:hAnsi="Times New Roman"/>
          <w:sz w:val="18"/>
          <w:szCs w:val="18"/>
          <w:color w:val="auto"/>
        </w:rPr>
      </w:pPr>
    </w:p>
    <w:p>
      <w:pPr>
        <w:ind w:left="980" w:hanging="648"/>
        <w:spacing w:after="0" w:line="250" w:lineRule="auto"/>
        <w:tabs>
          <w:tab w:leader="none" w:pos="6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acquire new products, technologies or businesses and the generation of revenues from those acquired products, technologies or businesses;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realization of assets and settlement of liabilities at amounts equal to estimated fair value as of the acquisition date of any acquisition or disposition;</w:t>
      </w:r>
    </w:p>
    <w:p>
      <w:pPr>
        <w:spacing w:after="0" w:line="9" w:lineRule="exact"/>
        <w:rPr>
          <w:rFonts w:ascii="Times New Roman" w:cs="Times New Roman" w:eastAsia="Times New Roman" w:hAnsi="Times New Roman"/>
          <w:sz w:val="18"/>
          <w:szCs w:val="18"/>
          <w:color w:val="auto"/>
        </w:rPr>
      </w:pPr>
    </w:p>
    <w:p>
      <w:pPr>
        <w:ind w:left="980" w:hanging="648"/>
        <w:spacing w:after="0" w:line="250" w:lineRule="auto"/>
        <w:tabs>
          <w:tab w:leader="none" w:pos="6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delays in implementing common systems and procedures (including technology, compliance programs, financial systems, distribution and general business operations, among others);</w:t>
      </w:r>
    </w:p>
    <w:p>
      <w:pPr>
        <w:ind w:left="980" w:hanging="648"/>
        <w:spacing w:after="0" w:line="250" w:lineRule="auto"/>
        <w:tabs>
          <w:tab w:leader="none" w:pos="6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are significantly larger than we currently anticipate and unforeseen increased expenses or delays associated with the acquisitions, including transition costs to integrate the businesses that may exceed the costs that we currently anticipate;</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involved with the increased scale of our operations resulting from the acquisitions;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our business due to the addition of international locations.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risks may be heightened in cases where the majority of the former businesses’ operations, employees and customers are located outside of the United States. Any one or all of these factors may increase operating costs or lower anticipated financial performance. Many of these factors are also outside of our control. In addition, dispositions of certain key products, technologies and other rights, including pursuant to conditions imposed on us to obtain regulatory approvals, may affect our business operations.</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even if the operations of the businesses are integrated successfully, we may not realize the full benefits of the acquisition, including the synergies, cost savings or sales or growth opportunities that we expect. These benefits may not be achieved within the anticipated time frame, or at all. Additional unanticipated costs may be incurred in the integration of the businesses. All of these factors could cause a reduction to our earnings per share, decrease or delay the expected accretive effect of the transaction, and negatively impact the price of our ordinary shares.</w:t>
      </w:r>
    </w:p>
    <w:p>
      <w:pPr>
        <w:spacing w:after="0" w:line="41"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2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Damage to our manufacturing, development or research facilities because of fire, extreme weather conditions, natural disaster, power loss, communications failure, unauthorized entry or other events, such as a flu or other health epidemic, could cause us to cease development and manufacturing of some or all of our products. In particular, our San Diego, California facility is susceptible to earthquake damage, wildfire damage and power losses from electrical shortages as are other businesses in Southern California. Our Añasco, Puerto Rico plant, where we manufacture collagen, silicone and our private-label products, is vulnerable to hurricane, storm, earthquake and wind damage. Our Plainsboro, New Jersey facility is vulnerable to hurricane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certain of our surgical instruments have some manufacturing processes performed by third parties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establishing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 we manufacture certain products in Europe and our European headquarters is located in France, which has experienced labor strikes and acts of terrorism. Thus far, strikes and acts of terrorism have not had a material impact on our business; however,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45" w:right="2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if either were to occur, there is no assurance that they would not disrupt our business, and any such disruption could have a material adverse effect on our business.</w:t>
      </w:r>
    </w:p>
    <w:p>
      <w:pPr>
        <w:spacing w:after="0" w:line="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experienced third party hosts and maintains the enterprise business system used to support certain of our transaction processing for accounting and financial reporting, supply chain and manufacturing. Currently, we have developed a comprehensive disaster recovery plan for the Company’s infrastructure. As we have not fully tested the plan,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delays, performance impact or unexpected costs from consolidation of facilities.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consolidated several facilities in 2015 and 2016, and may further consolidate our operations in the future in order to improve our cost structure, achieve increased operating efficiencies, and improve our competitive standing or results of operations and/or to address unfavorable economic conditions.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46"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24"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generate significant revenues outside the United States in multiple foreign currencies including euros, British pounds, Swiss francs, Canadian dollars, Japanese yen and Australian dollars,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we have operations based outside the United States and we generate revenues and incur operating expenses in multiple foreign currencies including euros, British pounds, Swiss francs, Canadian dollars, Japanese yen, Australian dollars, Mexican pesos, Brazilian reais and Chinese yuan, we experience currency exchange risk with respect to those foreign currency-denominated revenues and expenses. Our most significant currency exchange risk relates to transactions conducted in euros, Canadian dollars, Australian dollars, and Chinese yuan.</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6,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our consolidated financial statements.</w:t>
      </w:r>
    </w:p>
    <w:p>
      <w:pPr>
        <w:spacing w:after="0" w:line="4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Local economic conditions, legal, regulatory or political considerations, disruptions from strikes, the effectiveness of our sales representatives and distributors, local competition, in-country reimbursement methodologies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Oversight of the medical device industry might affect the manner in which we may sell medical devices and compete in the marketplace.</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45" w:right="2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that:</w:t>
      </w:r>
    </w:p>
    <w:p>
      <w:pPr>
        <w:spacing w:after="0" w:line="243" w:lineRule="exact"/>
        <w:rPr>
          <w:sz w:val="20"/>
          <w:szCs w:val="20"/>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officials charged with responsibility for enforcing those laws will not assert that our sales and marketing practices or customer discount arrangements are in violation of those laws or regulations; or</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regulators or courts will interpret those laws or regulations in a manner consistent with our interpretation.</w:t>
      </w:r>
    </w:p>
    <w:p>
      <w:pPr>
        <w:spacing w:after="0" w:line="20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Correspondingly, federal and state laws are also sometimes open to interpretation, and from time to time we may find ourselves at a competitive disadvantage if our interpretation differs from that of our competitors. AdvaMed (for the U.S. and China), EucoMed (Europe), MEDEC (Canada), and MTAA (Australia), some of the principal trade associations for the medical device industry, promulgate model codes of ethics that set forth standards by which its members should (and non-member companies may) abide in the promotion of their products; AdvaMed is undergoing initiatives in Latin America and Asia Pacific to develop regional codes of ethics there as well, including the launch of a new Code of Ethics in China. We have in place policies and procedures for compliance that we believe are at least as stringent as those set forth in the revised AdvaMed Code, and we regularly train our sales and marketing personnel on our policies regarding sales and marketing practices. Pursuant to the revised AdvaMed Code, we have certified our adoption of the revised AdvaMed Code. Nevertheless, the sales and marketing practices of our industry have been the subject of increased scrutiny from federal and state government agencies, and we believe that this trend will continue. For example, federal legislation, state legislation and foreign legislation requires detailed disclosure of gifts and other remuneration made to healthcare professionals. In addition, prosecutorial scrutiny over the past several years and governmental oversight, on the state and federal levels, over some major device companies regarding the retention of healthcare professionals as consultants has limited the manner in which medical device companies may retain healthcare professionals as consultants.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private-label product lines depend significantly on key relationships with third parties, which we could be unable to establish and maintain.</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private-label business depends in part on our entering into and maintaining collaborative or alliance agreements with third parties concerning product marketing, as well as research and development programs.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have significant product liability exposure and our insurance may not cover all potential claims.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requirements relating to hazardous materials which may impose significant compliance or other costs on us.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manufacturing, product development, research, and development operations and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transportation, handling, treatment, remediation, and disposal of hazardous materials and certain waste products (“Environmental, Health, Safety and Transportation Laws”). Although we believe that our procedures for handling, transporting, and disposing of hazardous materials comply with the Environmental, Health, Safety and Transportation Laws, the Environmental Health, Safety and Transportation Laws may be amended in ways that increase our cost of compliance, perhaps materially.</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potential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45" w:right="239" w:bottom="1440" w:gutter="0" w:footer="0" w:header="0"/>
        </w:sectPr>
      </w:pPr>
    </w:p>
    <w:bookmarkStart w:id="26" w:name="page27"/>
    <w:bookmarkEnd w:id="2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implementing our common global enterprise resource planning system.</w:t>
      </w:r>
    </w:p>
    <w:p>
      <w:pPr>
        <w:spacing w:after="0" w:line="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engaged in a multi-year implementation of a new global enterprise resource planning system to improve our operational efficiency. Currently we have approximately 90% of our revenue on one system. The ERP system is designed to accurately maintain our financial reporting data and provide information to our management team important to the operation of the business. Our ERP system has required, and will require, the investment of significant human and financial resources. The implementation of this ERP involves numerous risks, including disruption to our normal accounting procedures and internal control over financial reporting, inaccuracies in the conversion of electronic data, difficulties integrating the systems and processes, additional costs to continue to refine the system’s functionality, and disruption of our financial reporting process. We may not be able to successfully implement the ERP without experiencing significant delays, increased costs, or other difficulties. Any significant disruption or deficiency in the design or implementation of the ERP could adversely affect our ability to estimate supply chain needs, plan production requirements, process orders, ship product, send invoices and track payments, fulfill contractual obligations, accurately forecast sales, or otherwise operate our business, all of which could negatively impact sales and profits. While a significant portion of the Company is running on our new ERP system as of December 31, 2016, we will continue to face similar risks in implementing our ERP system within the remaining sites as we continue to maintain multiple legacy ERP systems.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information technology and if we fail to properly maintain the integrity of our data, our business could be adversely affected.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increasingly dependent on sophisticated information technology for our infrastructure and to support business decisions. As a result of technology initiatives, recently enacted regulations, changes in our system platforms and integration of new business acquisitions, we have been consolidating and integrating our systems.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Any significant breakdown, intrusion, interruption, corruption, or destruction of these systems, as well as any data breaches, could have a material adverse effect on our business.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third parties may attempt to breach our systems and may obtain data relating to patients, the Company’s proprietary information, or other sensitive data. If we fail to maintain or protect our information systems and data integrity effectively, we could lose existing customers, have difficulty attracting new customers, suffer backlash from negative public relations, have problems in determining product cost estimates and establishing appropriate pricing, have difficulty preventing, detecting, and controlling fraud, have disputes with customers, physicians, and other health care professionals, have regulatory sanctions or penalties imposed, have increases in operating expenses, incur expenses or lose revenues as a result of a data privacy breach, or suffer other adverse consequences.</w:t>
      </w:r>
    </w:p>
    <w:p>
      <w:pPr>
        <w:spacing w:after="0" w:line="49"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22, 2012, the Securities and Exchange Commission adopted disclosure regulations for public companies that manufacture products that contain certain minerals (i.e., tin, tantalum, tungsten or gold) known as conflict minerals, if these conflict minerals are necessary to the functionality or production of our products. These regulations require such companies to report annually whether or not such conflict minerals originate from the Democratic Republic of Congo (“DRC”) and adjoining countries and in some cases to perform extensive due diligence on their supply chains for such conflict minerals. The implementation of these requirements could adversely affect the sourcing, availability and pricing of tin, tantalum, tungsten and gold used in the manufacture of medical devices, including our products. In addition, we may incur additional costs to comply with the disclosure requirements, including costs related to determining the source of any of the relevant conflict minerals used in our products. Since our supply chain is complex, the due diligence procedures that we implement may not enable us to determine the origins for these conflict minerals or determine that these conflict minerals are DRC conflict-free, which may harm our reputation. We may also face difficulties in satisfying any customers who may require that our products be certified as DRC conflict-free, which could harm our relationships with these customers and result in a loss of revenue. These requirements also could have the effect of limiting the pool of suppliers from which we source tin, tantalum, tungsten and gold, and we may be unable to obtain conflict-free minerals at competitive prices, which could increase our costs and adversely affect our manufacturing operations and our profitability.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filing of this Annual Report on Form 10-K, we had no unresolved comments from the staff of the Securities and Exchange Commission that were received not less than 180 days before the end of our 2016 fiscal year.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41" w:right="239" w:bottom="1440" w:gutter="0" w:footer="0" w:header="0"/>
        </w:sectPr>
      </w:pPr>
    </w:p>
    <w:bookmarkStart w:id="27" w:name="page28"/>
    <w:bookmarkEnd w:id="27"/>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PROPERTIES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in Plainsboro, New Jersey. Our principal manufacturing and research facilities are located in New Jersey, Ohio, Pennsylvania, California, Massachusetts, France, Germany, Ireland, Mexico, and Puerto Rico. Our instrument procurement operations are located in Germany. Our primary distribution centers are located in Nevada, Ohio, Pennsylvania, Australia, Belgium, Canada and France. In addition, we lease several smaller facilities to support additional administrative, assembly, and distribution operations. Third parties own and operate the facilities in Nevada and Belgium. We own our facilities in Biot, France, Saint Aubin Le Monial, France, Rietheim-Weilheim, Germany and certain facilities in Ohio and Pennsylvania, and we lease all of our other facilities. We also have repair centers in California, Massachusetts, Ohio, Australia and Germany.</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facilities are registered with the FDA. Our facilities are subject to FDA inspection to ensure compliance with Quality System regulations. For further information regarding the status of FDA inspections, see the "Government Regulation" and "Management's Discussion and Analysis of Financial Condition and Results of Operations - Update on Remediation Activities" sections in this Form 10-K.</w:t>
      </w:r>
    </w:p>
    <w:p>
      <w:pPr>
        <w:spacing w:after="0" w:line="199"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Various lawsuits, claims and proceedings are pending or have been settled by us; the most significant of which are described below.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TEI, an acquisition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the Company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 As of February 23, 2017, no indemnification payments were received nor owed in relation to the lawsuits for the initial indemnification time period, which covered the first fifteen months after closing.</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Purported stockholders of Derma Sciences have filed three class action lawsuits challenging the proposed acquisition of Derma Sciences by Integra and its subsidiary, Integra Derma, Inc. (the “</w:t>
      </w:r>
      <w:r>
        <w:rPr>
          <w:rFonts w:ascii="Times New Roman" w:cs="Times New Roman" w:eastAsia="Times New Roman" w:hAnsi="Times New Roman"/>
          <w:sz w:val="18"/>
          <w:szCs w:val="18"/>
          <w:i w:val="1"/>
          <w:iCs w:val="1"/>
          <w:color w:val="auto"/>
        </w:rPr>
        <w:t>Proposed Acquisition</w:t>
      </w:r>
      <w:r>
        <w:rPr>
          <w:rFonts w:ascii="Times New Roman" w:cs="Times New Roman" w:eastAsia="Times New Roman" w:hAnsi="Times New Roman"/>
          <w:sz w:val="18"/>
          <w:szCs w:val="18"/>
          <w:color w:val="auto"/>
        </w:rPr>
        <w:t xml:space="preserve">”). On January 30 and February 3, 2017, complaints captioned </w:t>
      </w:r>
      <w:r>
        <w:rPr>
          <w:rFonts w:ascii="Times New Roman" w:cs="Times New Roman" w:eastAsia="Times New Roman" w:hAnsi="Times New Roman"/>
          <w:sz w:val="18"/>
          <w:szCs w:val="18"/>
          <w:i w:val="1"/>
          <w:iCs w:val="1"/>
          <w:color w:val="auto"/>
        </w:rPr>
        <w:t>Rabadi v. Derma Sciences,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Case No. 3:17-cv-00628 (the “</w:t>
      </w:r>
      <w:r>
        <w:rPr>
          <w:rFonts w:ascii="Times New Roman" w:cs="Times New Roman" w:eastAsia="Times New Roman" w:hAnsi="Times New Roman"/>
          <w:sz w:val="18"/>
          <w:szCs w:val="18"/>
          <w:i w:val="1"/>
          <w:iCs w:val="1"/>
          <w:color w:val="auto"/>
        </w:rPr>
        <w:t>Rabadi Complaint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Klingel v. Derma Sciences, Inc., et al</w:t>
      </w:r>
      <w:r>
        <w:rPr>
          <w:rFonts w:ascii="Times New Roman" w:cs="Times New Roman" w:eastAsia="Times New Roman" w:hAnsi="Times New Roman"/>
          <w:sz w:val="18"/>
          <w:szCs w:val="18"/>
          <w:color w:val="auto"/>
        </w:rPr>
        <w:t>., Case No. 3:17-cv-00738, were filed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District Court for the District of New Jersey against Derma Sciences, each member of its board of directors (the “</w:t>
      </w:r>
      <w:r>
        <w:rPr>
          <w:rFonts w:ascii="Times New Roman" w:cs="Times New Roman" w:eastAsia="Times New Roman" w:hAnsi="Times New Roman"/>
          <w:sz w:val="18"/>
          <w:szCs w:val="18"/>
          <w:i w:val="1"/>
          <w:iCs w:val="1"/>
          <w:color w:val="auto"/>
        </w:rPr>
        <w:t>Derma Sciences Board</w:t>
      </w:r>
      <w:r>
        <w:rPr>
          <w:rFonts w:ascii="Times New Roman" w:cs="Times New Roman" w:eastAsia="Times New Roman" w:hAnsi="Times New Roman"/>
          <w:sz w:val="18"/>
          <w:szCs w:val="18"/>
          <w:color w:val="auto"/>
        </w:rPr>
        <w:t xml:space="preserve">”), Integra, and Integra Derma, Inc. On January 31, 2017, a complaint captioned </w:t>
      </w:r>
      <w:r>
        <w:rPr>
          <w:rFonts w:ascii="Times New Roman" w:cs="Times New Roman" w:eastAsia="Times New Roman" w:hAnsi="Times New Roman"/>
          <w:sz w:val="18"/>
          <w:szCs w:val="18"/>
          <w:i w:val="1"/>
          <w:iCs w:val="1"/>
          <w:color w:val="auto"/>
        </w:rPr>
        <w:t>Parshall v. Derma Sciences,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Case No. 2017-0074 (the “</w:t>
      </w:r>
      <w:r>
        <w:rPr>
          <w:rFonts w:ascii="Times New Roman" w:cs="Times New Roman" w:eastAsia="Times New Roman" w:hAnsi="Times New Roman"/>
          <w:sz w:val="18"/>
          <w:szCs w:val="18"/>
          <w:i w:val="1"/>
          <w:iCs w:val="1"/>
          <w:color w:val="auto"/>
        </w:rPr>
        <w:t>Parshall Complaint</w:t>
      </w:r>
      <w:r>
        <w:rPr>
          <w:rFonts w:ascii="Times New Roman" w:cs="Times New Roman" w:eastAsia="Times New Roman" w:hAnsi="Times New Roman"/>
          <w:sz w:val="18"/>
          <w:szCs w:val="18"/>
          <w:color w:val="auto"/>
        </w:rPr>
        <w:t>”), was filed in the Court of Chancery of the State of Delaware against Derma Sciences, each member of the Derma Sciences Board, Integra, and Integra Derma, Inc. The complaints seek certification of a class action on behalf of all Derma Sciences’ public stockholders. Each complaint alleges, among other things, that the process leading up to the Proposed Acquisition, including Integra’s offer to purchase the outstanding shares of Derma Sciences, was inadequate, and that the Schedule 14D-9 filed by Derma Sciences on January 25, 2017 omits certain material information, which each complaint alleges renders the information disclosed materially misleading. The Rabadi Complaint and the Parshall Complaint also allege that the members of the Derma Sciences Board breached their fiduciary duties with respect to the Proposed Acquisition, and that Integra, Integra Derma, Inc. and Derma Sciences aided and abetted those alleged breaches of fiduciary duties. Each complaint seeks, among other things, to rescind the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30" w:right="2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Proposed Acquisition or recover money damages in the event the Proposed Acquisition is consummated. While the complaints also sought to enjoin the Proposed Acquisition, on February 9, 2017, plaintiffs agreed to not pursue preliminary injunctive relief in return for Derma Sciences making certain additional disclosures. Integra and Integra Derma, Inc. believe that the complaints are wholly without merit and intend to vigorously defend against these lawsuits.</w:t>
      </w: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1080" w:right="600" w:hanging="1039"/>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Holders and Dividends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Market under the symbol “IART.” The following table lists the high and low closing sales prices for our common stock for each quarter for the last two years: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2016</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70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High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Low</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High</w:t>
            </w:r>
          </w:p>
        </w:tc>
        <w:tc>
          <w:tcPr>
            <w:tcW w:w="3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Low</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Quarter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28.22</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Quarter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39.37</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29.18</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 (1)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26.58</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Quarter (1)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27.75</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24.14</w:t>
            </w:r>
          </w:p>
        </w:tc>
      </w:tr>
    </w:tbl>
    <w:p>
      <w:pPr>
        <w:spacing w:after="0" w:line="171"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to give effect to the two-for-one stock split effective December 21, 2016.</w:t>
      </w:r>
    </w:p>
    <w:p>
      <w:pPr>
        <w:spacing w:after="0" w:line="171" w:lineRule="exact"/>
        <w:rPr>
          <w:rFonts w:ascii="Times New Roman" w:cs="Times New Roman" w:eastAsia="Times New Roman" w:hAnsi="Times New Roman"/>
          <w:sz w:val="18"/>
          <w:szCs w:val="18"/>
          <w:color w:val="auto"/>
        </w:rPr>
      </w:pPr>
    </w:p>
    <w:p>
      <w:pPr>
        <w:ind w:right="20" w:firstLine="8"/>
        <w:spacing w:after="0" w:line="282" w:lineRule="auto"/>
        <w:tabs>
          <w:tab w:leader="none" w:pos="2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July 1, 2015 distribution of SeaSpine, the high and low close prices shown above for each quarter prior to the distribution have been adjusted for comparability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credit facility limits the amount of dividends that we may pay. See “Item</w:t>
      </w:r>
    </w:p>
    <w:p>
      <w:pPr>
        <w:spacing w:after="0" w:line="27" w:lineRule="exact"/>
        <w:rPr>
          <w:sz w:val="20"/>
          <w:szCs w:val="20"/>
          <w:color w:val="auto"/>
        </w:rPr>
      </w:pPr>
    </w:p>
    <w:p>
      <w:pPr>
        <w:jc w:val="both"/>
        <w:ind w:firstLine="8"/>
        <w:spacing w:after="0" w:line="255" w:lineRule="auto"/>
        <w:tabs>
          <w:tab w:leader="none" w:pos="1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 Liquidity and Capital Resources — Amended and Restated Senior Credit Agreement.” Any future determinations to pay cash dividends on the common stock will be at the discretion of our Board of Directors and will depend upon our results of operations, cash flows, and financial condition and other factors deemed relevant by the Board of Directors.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stockholders of record as of February 21, 2017 was approximately 1,008, which includes stockholders whose shares were held in nominee name.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years ended December 31, 2016, 2015 or 2014.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Registered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2015, we sold 7.590 million shares of our common stock (including 990,000 shares from the exercise of the underwriters’ option for additional shares), in a registered public offering to a select group of underwriters through a Registration Statement on Form S-3 (File No. 333-192079) that was declared effective by the Securities and Exchange Commission on November 4, 2013. The shares of common stock were sold at a price of $30.50 per share (before underwriting discounts and commissions). The aggregate offering gross proceeds were $231.5 million. Following the sale of the common stock, the public offering terminated.</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incurred total offering costs of approximately $11.8 million, which includes the amounts paid for underwriters' discounts and commissions of 5.0%, and other offering costs. The net proceeds of the offering were $219.7 million after deducting these expenses. No offering expenses were paid directly or indirectly to any of our directors or officers (or their associates) or persons owning ten percent or more of any class of our equity securities or to any other affiliates.</w:t>
      </w:r>
    </w:p>
    <w:p>
      <w:pPr>
        <w:spacing w:after="0" w:line="126" w:lineRule="exact"/>
        <w:rPr>
          <w:sz w:val="20"/>
          <w:szCs w:val="20"/>
          <w:color w:val="auto"/>
        </w:rPr>
      </w:pPr>
    </w:p>
    <w:p>
      <w:pPr>
        <w:ind w:right="1660"/>
        <w:spacing w:after="0" w:line="454" w:lineRule="auto"/>
        <w:rPr>
          <w:sz w:val="20"/>
          <w:szCs w:val="20"/>
          <w:color w:val="auto"/>
        </w:rPr>
      </w:pPr>
      <w:r>
        <w:rPr>
          <w:rFonts w:ascii="Times New Roman" w:cs="Times New Roman" w:eastAsia="Times New Roman" w:hAnsi="Times New Roman"/>
          <w:sz w:val="18"/>
          <w:szCs w:val="18"/>
          <w:color w:val="auto"/>
        </w:rPr>
        <w:t xml:space="preserve">We used the entire net proceeds from this offering to pay down a portion of our outstanding Senior Credit Facility balance during 2015. The foregoing represents our best estimate of our use of proceeds for the period indicated. </w:t>
      </w:r>
      <w:r>
        <w:rPr>
          <w:rFonts w:ascii="Times New Roman" w:cs="Times New Roman" w:eastAsia="Times New Roman" w:hAnsi="Times New Roman"/>
          <w:sz w:val="18"/>
          <w:szCs w:val="18"/>
          <w:b w:val="1"/>
          <w:bCs w:val="1"/>
          <w:color w:val="auto"/>
        </w:rPr>
        <w:t>Issuer Purchases of Equity Securities</w:t>
      </w:r>
    </w:p>
    <w:p>
      <w:pPr>
        <w:sectPr>
          <w:pgSz w:w="11900" w:h="16838" w:orient="portrait"/>
          <w:cols w:equalWidth="0" w:num="1">
            <w:col w:w="11420"/>
          </w:cols>
          <w:pgMar w:left="240" w:top="364"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64" w:right="239" w:bottom="1440" w:gutter="0" w:footer="0" w:header="0"/>
          <w:type w:val="continuous"/>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25, 2016, the Board of Directors terminated the previous share repurchase plan dated October 28, 2014, of up to $75 .0 million of outstanding common stock set to expire at the end of 2016 and authorized a new repurchase of up to $150.0 million outstanding common stock through December 2018. Shares may be repurchased either in the open market or in privately negotiated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shares of common stock repurchased by the Company under any of these authorizations in the year ended December 31, 2016 or 2015.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Treasury Stock</w:t>
      </w:r>
      <w:r>
        <w:rPr>
          <w:rFonts w:ascii="Times New Roman" w:cs="Times New Roman" w:eastAsia="Times New Roman" w:hAnsi="Times New Roman"/>
          <w:sz w:val="18"/>
          <w:szCs w:val="18"/>
          <w:color w:val="auto"/>
        </w:rPr>
        <w:t>, in our consolidated financial statements for further details.</w:t>
      </w:r>
    </w:p>
    <w:p>
      <w:pPr>
        <w:spacing w:after="0" w:line="358"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SELECTED FINANCIAL DATA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information set forth below should be read in conjunction with “Item 7. Management’s Discussion and Analysis of Financial Condition and Results of Operations” and our consolidated financial statements and related notes included elsewhere in this report. All results and data in the tables below reflect continuing operations, unless otherwise noted. As a result, the data presented below will not necessarily agree to previously issued financial statements.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 Consolidated Financial Statements in Item 15 of this Form 10-K for additional information on discontinued operations and Note 4,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additional information regarding the impact of 2016, 2015 and 2014 acquisitions.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59"/>
        </w:trPr>
        <w:tc>
          <w:tcPr>
            <w:tcW w:w="5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75"/>
        </w:trPr>
        <w:tc>
          <w:tcPr>
            <w:tcW w:w="5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8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55"/>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Results: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 net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992,075</w:t>
            </w:r>
          </w:p>
        </w:tc>
        <w:tc>
          <w:tcPr>
            <w:tcW w:w="1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882,734</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796,717</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696,832</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691,895</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876,735</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803,147</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728,860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661,459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614,110</w:t>
            </w:r>
          </w:p>
        </w:tc>
      </w:tr>
      <w:tr>
        <w:trPr>
          <w:trHeight w:val="318"/>
        </w:trPr>
        <w:tc>
          <w:tcPr>
            <w:tcW w:w="58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 (4)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115,340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79,587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67,857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35,373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77,785</w:t>
            </w: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 (expense), net (1) (2)</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(13,236)</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845</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4,588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90,406</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60,671</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45,566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18,786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64,231</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 (4)</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15,842</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53,820</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16,024</w:t>
            </w:r>
          </w:p>
        </w:tc>
      </w:tr>
      <w:tr>
        <w:trPr>
          <w:trHeight w:val="21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74,564</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6,851</w:t>
            </w: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36,295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22,027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48,207</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 (net of tax benefit)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(10,370)</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(7,003)</w:t>
            </w:r>
          </w:p>
        </w:tc>
      </w:tr>
      <w:tr>
        <w:trPr>
          <w:trHeight w:val="284"/>
        </w:trPr>
        <w:tc>
          <w:tcPr>
            <w:tcW w:w="5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74,564</w:t>
            </w: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34,004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41,204</w:t>
            </w:r>
          </w:p>
        </w:tc>
      </w:tr>
      <w:tr>
        <w:trPr>
          <w:trHeight w:val="311"/>
        </w:trPr>
        <w:tc>
          <w:tcPr>
            <w:tcW w:w="58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net income per common share from continuing operations</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0.94</w:t>
            </w:r>
          </w:p>
        </w:tc>
        <w:tc>
          <w:tcPr>
            <w:tcW w:w="1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0.10</w:t>
            </w:r>
          </w:p>
        </w:tc>
        <w:tc>
          <w:tcPr>
            <w:tcW w:w="14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0.38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0.85</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net loss per common share from discontinued operations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7"/>
        </w:trPr>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0.94</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0.73</w:t>
            </w:r>
          </w:p>
        </w:tc>
      </w:tr>
      <w:tr>
        <w:trPr>
          <w:trHeight w:val="33"/>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5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for diluted net income per share</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79,194</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71,354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65,920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57,604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57,032</w:t>
            </w:r>
          </w:p>
        </w:tc>
      </w:tr>
      <w:tr>
        <w:trPr>
          <w:trHeight w:val="33"/>
        </w:trPr>
        <w:tc>
          <w:tcPr>
            <w:tcW w:w="5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4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5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5"/>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Position: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102,055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71,734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120,692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99,768</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(5)</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1,807,954</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1,774,224</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1,413,900</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1,009,796</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1,064,172</w:t>
            </w:r>
          </w:p>
        </w:tc>
      </w:tr>
      <w:tr>
        <w:trPr>
          <w:trHeight w:val="225"/>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borrowings under the term loan of the senior credit</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facility (5)</w:t>
            </w: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3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3,750</w:t>
            </w:r>
          </w:p>
        </w:tc>
        <w:tc>
          <w:tcPr>
            <w:tcW w:w="32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borrowings under the revolving portion of the senior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 (1), (5)</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665,000</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481,875</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413,125</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186,875</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321,875</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(2), (5)</w:t>
            </w: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218,240</w:t>
            </w:r>
          </w:p>
        </w:tc>
        <w:tc>
          <w:tcPr>
            <w:tcW w:w="3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213,121</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205,182</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197,672</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earnings (4)</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220,443</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145,879</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314,960</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280,956</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302,023</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 (3)</w:t>
            </w: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839,667</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751,443</w:t>
            </w:r>
          </w:p>
        </w:tc>
        <w:tc>
          <w:tcPr>
            <w:tcW w:w="3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704,322</w:t>
            </w:r>
          </w:p>
        </w:tc>
        <w:tc>
          <w:tcPr>
            <w:tcW w:w="3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666,090</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517,775</w:t>
            </w:r>
          </w:p>
        </w:tc>
      </w:tr>
    </w:tbl>
    <w:p>
      <w:pPr>
        <w:spacing w:after="0" w:line="387" w:lineRule="exact"/>
        <w:rPr>
          <w:sz w:val="20"/>
          <w:szCs w:val="20"/>
          <w:color w:val="auto"/>
        </w:rPr>
      </w:pPr>
    </w:p>
    <w:p>
      <w:pPr>
        <w:jc w:val="both"/>
        <w:ind w:left="500" w:right="60" w:hanging="367"/>
        <w:spacing w:after="0" w:line="258"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periods presented, we report the borrowings outstanding under the revolving portion of our Senior Credit Facility as long-term debt as well as the 1.625% convertible senior notes due in 2016 ("2016 Convertible Notes") based on our current intent and ability to repay the borrowings outside of the following twelve-month periods. We also report the term loan as long-term debt with the exception of current principal payments due within 12 months, which are classified as short-term. At December 31, 2016, we have a total of $665.0 million outstanding under our Senior Credit Facility and $835.0 million available for future borrowings.</w:t>
      </w:r>
    </w:p>
    <w:p>
      <w:pPr>
        <w:spacing w:after="0" w:line="156" w:lineRule="exact"/>
        <w:rPr>
          <w:rFonts w:ascii="Times New Roman" w:cs="Times New Roman" w:eastAsia="Times New Roman" w:hAnsi="Times New Roman"/>
          <w:sz w:val="18"/>
          <w:szCs w:val="18"/>
          <w:color w:val="auto"/>
        </w:rPr>
      </w:pPr>
    </w:p>
    <w:p>
      <w:pPr>
        <w:ind w:left="500" w:right="40" w:hanging="291"/>
        <w:spacing w:after="0" w:line="282" w:lineRule="auto"/>
        <w:tabs>
          <w:tab w:leader="none" w:pos="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2011, we issued $230.0 million of the 2016 Convertible Notes. The 2016 Convertible Notes were repaid in December 2016 in accordance with their terms.</w:t>
      </w:r>
    </w:p>
    <w:p>
      <w:pPr>
        <w:spacing w:after="0" w:line="229" w:lineRule="exact"/>
        <w:rPr>
          <w:rFonts w:ascii="Times New Roman" w:cs="Times New Roman" w:eastAsia="Times New Roman" w:hAnsi="Times New Roman"/>
          <w:sz w:val="18"/>
          <w:szCs w:val="18"/>
          <w:color w:val="auto"/>
        </w:rPr>
      </w:pPr>
    </w:p>
    <w:p>
      <w:pPr>
        <w:jc w:val="both"/>
        <w:ind w:left="500" w:right="20" w:hanging="291"/>
        <w:spacing w:after="0" w:line="266" w:lineRule="auto"/>
        <w:tabs>
          <w:tab w:leader="none" w:pos="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2015, we sold 7.590 million shares of our common stock at a price of $30.50 per share. The aggregate offering proceeds were $231.5 million. The net proceeds of the offering were $219.7 million after deducting the underwriters' discounts and commissions and all other estimated offering expenses.</w:t>
      </w:r>
    </w:p>
    <w:p>
      <w:pPr>
        <w:spacing w:after="0" w:line="176" w:lineRule="exact"/>
        <w:rPr>
          <w:rFonts w:ascii="Times New Roman" w:cs="Times New Roman" w:eastAsia="Times New Roman" w:hAnsi="Times New Roman"/>
          <w:sz w:val="18"/>
          <w:szCs w:val="18"/>
          <w:color w:val="auto"/>
        </w:rPr>
      </w:pPr>
    </w:p>
    <w:p>
      <w:pPr>
        <w:jc w:val="both"/>
        <w:ind w:left="50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we sold 8.050 million shares of our common stock at a price of $20.00 per share. The aggregate gross offering proceeds were $161.0 million. The net proceeds of the offering were $152.5 million after deducting the underwriters' discounts and commissions and all other estimated offering expenses.</w:t>
      </w:r>
    </w:p>
    <w:p>
      <w:pPr>
        <w:spacing w:after="0" w:line="241" w:lineRule="exact"/>
        <w:rPr>
          <w:rFonts w:ascii="Times New Roman" w:cs="Times New Roman" w:eastAsia="Times New Roman" w:hAnsi="Times New Roman"/>
          <w:sz w:val="18"/>
          <w:szCs w:val="18"/>
          <w:color w:val="auto"/>
        </w:rPr>
      </w:pPr>
    </w:p>
    <w:p>
      <w:pPr>
        <w:jc w:val="both"/>
        <w:ind w:left="500" w:right="20" w:hanging="291"/>
        <w:spacing w:after="0" w:line="261" w:lineRule="auto"/>
        <w:tabs>
          <w:tab w:leader="none" w:pos="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the Company elected to adopt Accounting Standard Update 2016-09</w:t>
      </w:r>
      <w:r>
        <w:rPr>
          <w:rFonts w:ascii="Times New Roman" w:cs="Times New Roman" w:eastAsia="Times New Roman" w:hAnsi="Times New Roman"/>
          <w:sz w:val="18"/>
          <w:szCs w:val="18"/>
          <w:i w:val="1"/>
          <w:iCs w:val="1"/>
          <w:color w:val="auto"/>
        </w:rPr>
        <w:t>, Improvements to Employee Share-Based Payment Accounting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718). </w:t>
      </w:r>
      <w:r>
        <w:rPr>
          <w:rFonts w:ascii="Times New Roman" w:cs="Times New Roman" w:eastAsia="Times New Roman" w:hAnsi="Times New Roman"/>
          <w:sz w:val="18"/>
          <w:szCs w:val="18"/>
          <w:color w:val="auto"/>
        </w:rPr>
        <w:t>The Company elected to account for forfeitures as they occur. The impact in retained earnings as of December 31, 2015 from this provision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significant. Amendments related to accounting for excess tax benefits have been adopted prospectively, resulting in recognition of excess tax benefits against income tax expenses rather than additional paid-in capital of $3.8 million for the year ended December 31, 2016.</w:t>
      </w:r>
    </w:p>
    <w:p>
      <w:pPr>
        <w:spacing w:after="0" w:line="344" w:lineRule="exact"/>
        <w:rPr>
          <w:rFonts w:ascii="Times New Roman" w:cs="Times New Roman" w:eastAsia="Times New Roman" w:hAnsi="Times New Roman"/>
          <w:sz w:val="18"/>
          <w:szCs w:val="18"/>
          <w:color w:val="auto"/>
        </w:rPr>
      </w:pPr>
    </w:p>
    <w:p>
      <w:pPr>
        <w:ind w:left="500" w:hanging="291"/>
        <w:spacing w:after="0"/>
        <w:tabs>
          <w:tab w:leader="none" w:pos="5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for continuing operations only.</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Integra is a world leader in medical technology focused on limiting uncertainty for surgeons so they can concentrate on providing the best care for their patients. Integra provides customers with clinically relevant, innovative and cost-effective products that improve the quality of life for patients. We focus on cranial procedures, small bone and joint reconstruction, the repair and reconstruction of soft tissue, and instruments for use in surgery.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7" w:right="2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We manufacture and sell our products in two reportable business segments: Specialty Surgical Solutions, and Orthopedics and Tissue Technologies. Our Specialty Surgical Solutions products offer specialty surgical implants and instrumentation for a broad range of specialties. This product category includes products and solutions for dural repair, precision tools and instruments, tissue ablation, and neuro critical care including market-leading product portfolios used in neurosurgery operation suites and critical care units. Our Orthopedics and Tissue Technologies products offer a unique combination of differentiated regenerative technology products for soft tissue repair and tissue regeneration products, alongside small bone fixation and joint replacement hardware products for both upper extremities and lower extremities. This product category also includes private-label sales of a broad set of our regenerative medicine technologies.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manufacture many of our products in plants located in the United States, Puerto Rico, France, Germany, Ireland, and Mexico. We also source most of our handheld surgical instruments, specialty metal and pyrocarbon implants, and dural sealant products through specialized third-party vendors.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we have several sales channels. Specialty Surgical Solutions products are sold through a combination of directly employed sales representatives, distributors and wholesalers, depending on the customer call point. Orthopedics and Tissue Technologies products are sold through directly employed sales representatives and specialty distributors focused on their respective surgical specialties. We sell in the international markets through a combination of direct sales organizations and distributors.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 is to become a multi-billion dollar diversified global medical technology company that helps patients by limiting uncertainty for medical professionals, and is a high-quality investment for shareholders. We will achieve these goals by delivering on our Brand Promises to our customers so they can concentrate on providing the best care for their patients and by becoming a company recognized by our customers as a leader in specialty surgical applications, regenerative technologies and extremities orthopedics worldwide. Our strategy is built around three pillars - execute, optimize, and accelerate growth. These three pillars support our strategic initiatives to deliver on our commitments through improved planning and communication, optimize our infrastructure, and grow by introducing new products to the market through internal development, geographic expansion, and strategic acquisitions.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through acquisitions), (2) gross margins on total revenues, (3) operating margins (which we aim to continually expand as we leverage our existing infrastructure), (4) earnings before interest, taxes, depreciation, and amortization, and (5) earnings per diluted share of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particularly effective in the following aspects of our business:</w:t>
      </w:r>
    </w:p>
    <w:p>
      <w:pPr>
        <w:spacing w:after="0" w:line="169" w:lineRule="exact"/>
        <w:rPr>
          <w:sz w:val="20"/>
          <w:szCs w:val="20"/>
          <w:color w:val="auto"/>
        </w:rPr>
      </w:pPr>
    </w:p>
    <w:p>
      <w:pPr>
        <w:ind w:left="640" w:hanging="321"/>
        <w:spacing w:after="0" w:line="28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Regenerative Technology Platform</w:t>
      </w:r>
      <w:r>
        <w:rPr>
          <w:rFonts w:ascii="Times New Roman" w:cs="Times New Roman" w:eastAsia="Times New Roman" w:hAnsi="Times New Roman"/>
          <w:sz w:val="18"/>
          <w:szCs w:val="18"/>
          <w:color w:val="auto"/>
        </w:rPr>
        <w:t>. We have developed numerous product lines through our proprietary collagen and polyethylene glycol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that are sold through every one of our sales channels.</w:t>
      </w:r>
    </w:p>
    <w:p>
      <w:pPr>
        <w:spacing w:after="0" w:line="104" w:lineRule="exact"/>
        <w:rPr>
          <w:rFonts w:ascii="Times New Roman" w:cs="Times New Roman" w:eastAsia="Times New Roman" w:hAnsi="Times New Roman"/>
          <w:sz w:val="18"/>
          <w:szCs w:val="18"/>
          <w:color w:val="auto"/>
        </w:rPr>
      </w:pPr>
    </w:p>
    <w:p>
      <w:pPr>
        <w:jc w:val="both"/>
        <w:ind w:left="640" w:hanging="321"/>
        <w:spacing w:after="0" w:line="25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Diversification and Platform Synergies</w:t>
      </w:r>
      <w:r>
        <w:rPr>
          <w:rFonts w:ascii="Times New Roman" w:cs="Times New Roman" w:eastAsia="Times New Roman" w:hAnsi="Times New Roman"/>
          <w:sz w:val="18"/>
          <w:szCs w:val="18"/>
          <w:color w:val="auto"/>
        </w:rPr>
        <w:t>. The selling platforms of Specialty Surgical Solutions, and Orthopedics and Tissue Technologies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 a different strength to our core business. Specialty Surgical Solutions provides us with a strong presence in the hospital, with market-leading products and comprehensive solutions for surgical specialties, such as neurosurgery, as well as a strong capacity to generate cash flows. Orthopedics and Tissue Technologies enables us to grow our top line by continuing to introduce new, differentiated products in fast-growing markets, such as small joint replacement and advanced wound care, as well as to increase gross margins. We have unique synergies between these platforms, such as our regenerative technology, instrument sourcing capabilities, and enterprise contract management.</w:t>
      </w:r>
    </w:p>
    <w:p>
      <w:pPr>
        <w:spacing w:after="0" w:line="128" w:lineRule="exact"/>
        <w:rPr>
          <w:rFonts w:ascii="Times New Roman" w:cs="Times New Roman" w:eastAsia="Times New Roman" w:hAnsi="Times New Roman"/>
          <w:sz w:val="18"/>
          <w:szCs w:val="18"/>
          <w:color w:val="auto"/>
        </w:rPr>
      </w:pPr>
    </w:p>
    <w:p>
      <w:pPr>
        <w:jc w:val="both"/>
        <w:ind w:left="640" w:hanging="321"/>
        <w:spacing w:after="0" w:line="25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Specialized Sales Footprint</w:t>
      </w:r>
      <w:r>
        <w:rPr>
          <w:rFonts w:ascii="Times New Roman" w:cs="Times New Roman" w:eastAsia="Times New Roman" w:hAnsi="Times New Roman"/>
          <w:sz w:val="18"/>
          <w:szCs w:val="18"/>
          <w:color w:val="auto"/>
        </w:rPr>
        <w:t>. Our medical technology investment and manufacturing strategy provides us with a specialized set of customer call-points and synergies. We have market-leading products across our portfolio providing both scale and depth in solutions for a broad set of clinical needs across many departments in the healthcare system. We also have clinical expertise across all of our channels in the United States, and an opportunity to expand and leverage this expertise in markets worldwide. In response to our customers’ needs for clinical and technical solutions across multiple departments and clinical areas, we have developed and deployed our Enterprise Selling initiative to bring unique clinical solutions to even the most difficult healthcare issues in our key accounts across multiple clinical sites and multi-hospital integrated delivery networks.</w:t>
      </w:r>
    </w:p>
    <w:p>
      <w:pPr>
        <w:spacing w:after="0" w:line="128" w:lineRule="exact"/>
        <w:rPr>
          <w:rFonts w:ascii="Times New Roman" w:cs="Times New Roman" w:eastAsia="Times New Roman" w:hAnsi="Times New Roman"/>
          <w:sz w:val="18"/>
          <w:szCs w:val="18"/>
          <w:color w:val="auto"/>
        </w:rPr>
      </w:pPr>
    </w:p>
    <w:p>
      <w:pPr>
        <w:jc w:val="both"/>
        <w:ind w:left="640" w:hanging="321"/>
        <w:spacing w:after="0" w:line="267" w:lineRule="auto"/>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Ability to Change and Adapt</w:t>
      </w:r>
      <w:r>
        <w:rPr>
          <w:rFonts w:ascii="Times New Roman" w:cs="Times New Roman" w:eastAsia="Times New Roman" w:hAnsi="Times New Roman"/>
          <w:sz w:val="18"/>
          <w:szCs w:val="18"/>
          <w:color w:val="auto"/>
        </w:rPr>
        <w:t>. Our corporate culture is what enables us to adapt and evolve. We have demonstrated that we can quickly and profitably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 new products and businesses. This core strength has made it possible for us to grow over the years, and is key to our ability to grow into a multi-billion dollar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26" w:right="2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July 1, 2015, we completed the separation of SeaSpine from Integra through the pro rata distribution of 100% of the common stock of SeaSpine to Integra's stockholders of record as of the close of business on June 19, 2015. The distribution was structured to be tax-free to Integra and its shareholders for U.S. federal income tax purposes. Unless indicated otherwise, the information in the management discussion and analysis of financial condition and results of operations relates to the Company’s continuing operations. Further information regarding the SeaSpine separation and discontinued operations reporting may be found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Product Development Activities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finalizing our multi-center clinical trial evaluating the safety and effectiveness of the INTEGRA Dermal Regeneration Template for the Treatment of DFU in 2015, we filed this data with the FDA and received PMA approval on January 7, 2016. The Company started commercializing the resulting DFU product, Omnigraft, late in 2016. Additionally, we finalized patient follow-up in a Post Approval Study for our DuraSeal Exact Spine Sealant System, and submitted the study results on-time to the FDA in October 2016. The study showed the continued safety and effectiveness of this approved medical device, and we expect that this study will satisfy the post-approval commitment related to this product. We continue to invest in additional clinical studies to support market access and promotion of existing products, and to pursue new product indications, such as breast reconstruction. From a product development perspective, we are also investing in next generation nerve products, and longer term research programs to evaluate combination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strategy includes the acquisition of complementary product lines and companies in order to increase the breadth and reach of our product portfolios. As a result of our recent acquisitions of businesses, assets and product lines, our financial results for the year ended December 31, 2016 may not be directly comparable to those of the corresponding prior-year periods. See Note 4, </w:t>
      </w:r>
      <w:r>
        <w:rPr>
          <w:rFonts w:ascii="Times New Roman" w:cs="Times New Roman" w:eastAsia="Times New Roman" w:hAnsi="Times New Roman"/>
          <w:sz w:val="18"/>
          <w:szCs w:val="18"/>
          <w:i w:val="1"/>
          <w:iCs w:val="1"/>
          <w:color w:val="auto"/>
        </w:rPr>
        <w:t>Acquisitions and Pro Forma Results</w:t>
      </w:r>
      <w:r>
        <w:rPr>
          <w:rFonts w:ascii="Times New Roman" w:cs="Times New Roman" w:eastAsia="Times New Roman" w:hAnsi="Times New Roman"/>
          <w:sz w:val="18"/>
          <w:szCs w:val="18"/>
          <w:color w:val="auto"/>
        </w:rPr>
        <w:t xml:space="preserve"> to our consolidated financial statements for a further discussion.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January 2014 through December 2016, we acquired the following businesses, assets and product lines: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2015, we acquired the assets of Tekmed Instruments S.p.A ("Tekmed") for $14.1 million in cash, after minimal amount of working capital and purchase adjustment, which was recorded as an adjustment to assumed liabilities. Tekmed was a distributor of our products in Italy and has a specialty focus on neurosurgery and neurotrauma, along with representation in plastic and reconstructive surgery, cardiovascular surgery, image diagnostics, general surgery, anesthesia and intensive care, interventional radiology, and proton therapy. This acquisition enables us to support Specialty Surgical Solutions growth in Italy along with other key Integra franchises.</w:t>
      </w:r>
    </w:p>
    <w:p>
      <w:pPr>
        <w:spacing w:after="0" w:line="1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October 2015, we acquired the United States rights to Tornier's Salto Talaris and Salto Talaris XT ankle replacement products and Tornier's Futura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silastic toe replacement products for $6.0 million in cash. The acquired toe and ankle products ("Salto and Futura") enhances our lower extremities product offering and accelerates our entry into the U.S. total ankle replacement market. Under the agreement, Integra acquired the U.S. rights to the Salto Talaris Total Ankle Prosthesis, Salto Talaris XT Revision Total Ankle Prosthesis, Futura Primus Flexible Great Toe system, Futura Classic Flexible Great Toe system, and Futura Lesser Metatarsal Phalangeal system. The agreement also includes an option to purchase, in the future, the rights to the Salto Talaris, Salto Talaris XT, Salto Mobile, and Futura silastic toe replacement products outside the United States.</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2015, we executed the two merger agreements (collectively, the "Agreements") under which we acquired TEI Biosciences, Inc., a Delaware corporation ("TEI Bio"), and TEI Medical Inc., a Delaware corporation ("TEI Med") for an aggregate purchase price of approximately $312.2 million ($210.9 million for TEI Bio and $101.3 million for TEI Med) including a working capital adjustment of $0.2 million ($0.5 million for TEI Bio offset by $0.7 million cash received for TEI Med), which was recorded as a reduction from goodwill. The purchase price consists of a cash payment to the former shareholders of TEI Bio and TEI Med of approximately $312.4 million upon the closing of the transaction, net of $1.2 million of acquired cash. 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2014, we acquired certain assets of Koby Ventures II, L.P. dba Metasurg ("Metasurg") for an aggregate purchase price of $27.2 million. The purchase price consisted of an initial cash payment to Metasurg of $26.5 million and contingent consideration with an acquisition date fair value of $0.7 million. The potential maximum undiscounted contingent consideration of $38.5 million is based on reaching certain sales of acquired products. Metasurg develops intuitive implant systems for the foot and ankle market and sells almost entirely in the U.S. market. During the fourth quarter of 2015, we adjusted the fair value of the contingent consideration to zero as we no longer believe the achievement of the sales targets is probable. The contingency period lapsed in 2016 and no payments were made.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2014, we acquired all outstanding shares of Medtronic Xomed Instrumentation, SAS ("MicroFrance") from Medtronic, Inc. ("Medtronic") as well as certain assets of Medtronic for $61.6 million in cash. MicroFrance specializes in manual ear, nose,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26"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and throat instruments and designs, manufactures, and sells reusable handheld instruments to ENT and laparoscopic surgical specialists around the world.</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2014, we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Confluent Surgical is a developer and supplier of polymer-based biosurgery technology used in surgical sealants and anti-adhesion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OPTIMIZATION ACTIVITIES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ongoing acquisition strategy and significant growth in recent years, we have undertaken cost-saving initiatives to consolidate manufacturing operations, distribution facilities and transfer activities, implement a common ERP system, eliminate duplicative positions, realign various sales and marketing activities, and expand and upgrade production capacity for our regenerative technology products. Over the past five years, we have reduced the number of manufacturing and distribution facilities that we operate by ten and have largely completed plans to consolidate operational activities into existing sites with greater utilization and efficiency as a result. We expect the benefits of these efforts will contribute to our financial results in 2017 and beyond.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we expect a positive impact from ongoing restructuring, integration, and manufacturing transfer and expansion activities, such results remain uncertain.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3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net income from continuing operations in 2016 was $74.6 million, or $0.94 per diluted share, as compared to $6.9 million, or $0.10 per diluted share in 2015 and $36.3 million, or $0.55 per diluted share in 2014.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2014 to 2016 increased $195.4 million, generating $149.2 million of additional gross margin over that time period resulting primarily from the businesses that we acquired and strong organic growth. Costs and expenses increased sequentially as new employees, especially in selling general and administrative functions, joined the Company, and from the higher operating expenses associated with the businesses we acquired.</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income before taxes resulted from the operating items described above and changes in interest expense, which increased in 2015 and 2016 resulting from higher borrowings under our Senior Credit Facility. Additionally, we saw Other income decrease in 2016, primarily as a result of lower income associated with the transition services agreement entered into with SeaSpine in conjunction with the July 2015 spin-off.</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decreased in 2016 primarily driven by a $37.2 million of expense recorded in 2015 relating to a non-cash tax valuation allowance from the spin-off of the spine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45"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Special Charges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 includes the following special charges: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02"/>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ERP implementation charges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15,585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16,375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23,063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13,716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employee termination charges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9,094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product lines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charges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Spine spin-off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Manufacturing facility remediation costs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debt non-cash interest (1)</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7,140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51,798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63,144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65,093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left="500" w:right="20" w:hanging="465"/>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have been reduced by $0.3 million, $0.6 million, and $0.8 million in 2016, 2015, and 2014, respectively, representing the non-cash interest that was capitalized as a component of the historical cost of assets constructed for the Company's own use. See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of our consolidated financial statements for more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reported above are reflected in the consolidated statements of operations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18,869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17,094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40,359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51,798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63,144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65,093</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 In 2010, we began investing significant resources in the global implementation of a single enterprise resource planning system. We began capitalizing certain costs for the project starting in 2011 and continued to do so during 2016. We expect the additional capital and integration expenses associated with our ERP system to decrease in 2017 as the project is substantially complete.</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41"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gross margin on product revenues were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2"/>
        </w:trPr>
        <w:tc>
          <w:tcPr>
            <w:tcW w:w="65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2"/>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5"/>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Surgical Solutions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632,524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586,918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554,872</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Orthopedics and Tissue Technologies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359,551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295,816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241,845</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992,075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882,734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796,717</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349,089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326,542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302,946</w:t>
            </w: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 on 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642,986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556,192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493,771</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as a percentage of total revenues</w:t>
            </w:r>
          </w:p>
        </w:tc>
        <w:tc>
          <w:tcPr>
            <w:tcW w:w="31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64.8%</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63.0%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2016 Compared with Year Ended December 31, 2015.</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2016, total revenues increased by $109.3 million or 12%, to $992.1 million from $882.7 million during the prior year. Domestic revenues increased $84.8 million, or 12%, to $765.6 million and were 77% of total revenues for the year ended December 31, 2016. International revenues increased to $226.5 million compared to $201.9 million during 2015. Foreign exchange fluctuations had a negative impact of $2.7 million on revenues for the year.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Specialty Surgical Solutions revenues were $632.5 million, an increase of 8% from the prior year. The increase resulted from growth across all franchises, with the majority of the increases in our dural repair, domestic precision tools and instruments and international tissue ablation franchises.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Orthopedics and Tissue Technologies revenues were $359.6 million, an increase of 22% from the prior year. The increase largely resulted from the impact of the 2015 acquisitions of TEI and Salto and Futura, which added $37.5 million incremental revenue in the period due to the inclusion of a full year's activity. We also saw increases in our regenerative products, upper extremities and private label portfolios driven by strong demand for our skin and new relationships with existing private label customers.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our global reach, we generate revenues in multiple foreign currencies, including Euros, British pounds, Swiss francs, Canadian dollars, Japanese yen and Australian dollars. Accordingly, we will experience currency exchange risk with respect to those foreign currencies denominated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2015 Compared with Year Ended December 31, 2014.</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2015, total revenues increased by $86.0 million or 11% to $882.7 million from $796.7 million during 2014. Domestic revenues increased 14% to $680.8 million and were 77% of total revenues for the year ended December 31, 2015. International revenues were relatively flat at $201.9 million as compared to 2014. Foreign exchange fluctuations had a negative impact of $22.2 million on revenues for the year.</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Specialty Surgical Solutions revenues were $586.9 million, an increase of 6% from the prior year. The increase resulted in part from the impact of the MicroFrance acquisition, which added $24.8 million in the period. Increases in our dural repair and precision tools and instruments franchises contributed to the majority of the rest of the growth, partially offset by declines in both neuro critical care and tissue ablation product lines, both of which had benefited from strong sales of capital equipment in the prior year.</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Orthopedics and Tissue Technologies revenues were $295.8 million, an increase of 22% from prior year. The increase largely resulted from the impact of the acquisitions of TEI, Metasurg, and Salto and Futura, which combined to add $38.5 million in the period. We also saw increases in our regenerative products, upper extremities and private label portfolios driven by strong demand for our skin and shoulder lines.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our global reach, we generate revenues in multiple foreign currencies, including euros, British pounds, Swiss francs, Canadian dollars, Japanese yen and Australian dollars. Accordingly, we experience currency exchange risk with respect to those foreign currencies denominated revenues.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4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as a percentage of revenues was 64.8% in 2016, 63.0% in 2015, and 62.0% in 2014. Cost of product revenues in 2016, 2015, and 2014 included $13.9 million, $10.0 million, and $1.1 million, respectively, in fair value inventory purchase accounting adjustments recorded in connection with acquisitions, and $27.6 million, $22.3 million, and $15.9 million, respectively, of amortization for technology-based intangible assets inclusive of impairments.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gross margin percentage from 2015 to 2016 resulted primarily from an increase in sales of higher margin products such as DuraSeal, DuraGen, skin and wound products, higher private label royalties, the leveraging of our existing manufacturing infrastructure, and the addition of higher margin products from the TEI acquisition.</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gross margin percentage from 2014 to 2015 resulted primarily from an increase in sales of higher margin products such as DuraSeal, DuraGen, skin and wound products.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our consolidated gross margin percentage for the full year 2017 to be approximately 65% to 66%. We expect the increase in gross margin as the result of lower impact of inventory purchase accounting adjustments in connections with acquisitions, and continued favorable product mix.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other operating expenses as a percent of total revenues:</w:t>
      </w:r>
    </w:p>
    <w:p>
      <w:pPr>
        <w:spacing w:after="0" w:line="38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24765</wp:posOffset>
            </wp:positionV>
            <wp:extent cx="3070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which consist of research and development expenses, selling, general and administrative expenses, intangible asset amortization expense, and goodwill impairment charge, increased $51.0 million or 11% to $527.6 million in 2016, compared to $476.6 million in the same period in the prior year.</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totaled $58.2 million in 2016, compared to $50.9 million in 2015 and $43.6 million in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to the prior year, the increase in research and development costs from 2015 to 2016 primarily resulted from additional spending on new product development and clinical studies on currently marketed products and the acquisition of TEI. The increase in research and development from 2014 to 2015 primarily resulted from additional spending on new product development and clinical studies as well as the acquisition of TEI.</w:t>
      </w:r>
    </w:p>
    <w:p>
      <w:pPr>
        <w:spacing w:after="0" w:line="1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continuing to invest in clinical work and product development, and expect an increase in our research and development expenses in 2017 to be approximately 6.0% of total revenues.</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in the year ended December 31, 2016 increased by $39.9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9.6% to $455.6 million compared to $415.8 million in the same period in the prior year. Selling and marketing expenses increased by $54.4 million, primarily resulting from the full-year impact of the TEI acquisition, higher headcount in our sales force compared to the prior year, and commission costs, which were higher as a result of increases in revenue. General and administrative costs decreased by $14.5 million, primarily due to the suspension of the Medical Device Excise Tax and reduction in transaction-related costs both to effect the spin-off of our Spine business, and to close the TEI and Salto, acquisitions more than offsetting higher incentive compensation costs due to improved business performance.</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year ended December 31, 2015 increased by $40.2 million or 10.7% to $415.8 million compared to $375.5 million in 2014. Selling and marketing expenses increased by $32.7 million, primarily resulting from the impact of the TEI acquisition, higher headcount in our sales force compared to last year, and commission costs, which were higher as a result of increases in revenue. General and administrative costs increased $7.5 million, primarily due to facility optimization activities and higher transaction related costs both to effect the spin-off of our Spine business and to close the TEI and Salto acquisitions. In addition, we experienced higher incentive compensation costs due to improved business performance.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2017, we expect our reported selling, general, and administrative expenses to be approximately 51% to 52% of revenue in 2017.</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Amortization expense (excluding amounts reported in cost of product revenues for technology-based intangible assets) in the year ended December 31, 2016 was $13.9 million compared to $10.0 million in 2015. The increase primarily resulted from a full year of amortization on the intangible assets added as part of our TEI, Salto, and Tekmed acquisitions in 2015.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41" w:right="239" w:bottom="1440" w:gutter="0" w:footer="0" w:header="0"/>
        </w:sectPr>
      </w:pPr>
    </w:p>
    <w:bookmarkStart w:id="37" w:name="page38"/>
    <w:bookmarkEnd w:id="37"/>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2015, amortization expense (excluding amounts reported in cost of product revenues for technology-based intangible assets) in the year ended December 31, 2015 was $10.0 million compared to $6.8 million in 2014. The increase primarily resulted from a full year of amortization on the intangible assets added as part of our MicroFrance and Metasurg acquisitions in 2014 as well as partial year amortization of the intangible assets added as part of TEI, Salto, and Tekmed acquisitions in 2015.</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discontinue certain products in the future as we continue to assess the profitability of our product lines. As our profitability assessment evolves, we may make further decisions about our trade names and incur additional impairment charges or accelerated amortization. We expect total annual amortization expense (including amounts reported in cost of product revenues, but excluding any possible future amortization associated with acquired in-process research and development ("IPR&amp;D")) to be approximately $40.7 million in 2017, $40.3 million in 2018, $40.2 million in 2019, $40.1 million in 2020 and $39.1 million in 2021.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5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(21,967)</w:t>
            </w: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7"/>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non-operating income and expense</w:t>
            </w:r>
          </w:p>
        </w:tc>
        <w:tc>
          <w:tcPr>
            <w:tcW w:w="1100" w:type="dxa"/>
            <w:vAlign w:val="bottom"/>
            <w:tcBorders>
              <w:top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(22,291)</w:t>
            </w:r>
          </w:p>
        </w:tc>
      </w:tr>
      <w:tr>
        <w:trPr>
          <w:trHeight w:val="27"/>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on our invested cash was minimal in 2016 and 2015 and $0.2 million in 2014.</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$25.8 million, $23.5 million and $22.0 million in 2016, 2015 and 2014, respectively. Interest expense increased in 2016 as compared to 2015 and 2014 primarily because of increased borrowings on our Senior Credit facility compared to prior years. In December 2016, we expensed $0.5 million of previously capitalized deferred financing costs in connection with the refinancing of our Senior Credit Facility.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reported interest expense for the years ended December 31, 2016, 2015 and 2014 includes non-cash interest related to the accounting for convertible securities of $8.1 million, $7.9 million and $7.1 million, respectively. The expense was associated primarily with the principal amount of the outstanding 2016 Convertible Notes, and interest and fees related to our Senior Credit Facility. In 2016, 2015, and 2014, we capitalized a total of $0.4 million, $0.8 million and $1.2 million of non-cash interest, respectively, and included it in the historical cost of assets constructed for the Company's own use.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reported interest expense for the years ended December 31, 2016, 2015 and 2014 included $2.5 million, $2.3 million and $2.6 million, respectively, of non-cash amortization of debt issuance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of $0.8 million in 2016 was primarily attributable to the impact of transactional foreign exchange gains and losses and income from the transition services agreement entered into with SeaSpine.</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2015, Other income of $4.6 million was primarily attributable to the transition services agreement entered into with SeaSpine in conjunction with the spin-off and the $1.1 million bargain purchase gain recorded in connection with the Salto acquisition. Other expenses of $0.5 million in 2014 were attributable to foreign exchange losses.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17.5%, 88.7% and 20.3% of income before income taxes in 2016, 2015 and 2014, respectively. See Note 11, “Income Taxes,” in our consolidated financial statements for a reconciliation of the United States federal statutory rate to our effective tax rate.</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our lower worldwide effective tax rate was primarily attributable to an excess tax benefit of $3.8 million as a result of early adoption of the new share-based compensation accounting guidance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a favorable jurisdictional income mix, significantly lower non-deductible acquisition costs versus the prior year, and a benefit of $0.5 million for a Federal research credit study.</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2015, our worldwide effective tax rate increase was primarily attributable to the Company's recognizing income tax expense of $37.2 million relating to a tax valuation allowance recorded in continuing operations as a result of the spin-off of the spine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45" w:right="2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business. The Company determined that upon spin-off, the deferred tax assets of the spine business would be unrealizable. The increase was also due to shift in the jurisdictional mix of earnings in the current year.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could vary from year to year depending on, among other factors, tax law changes, the geographic and business mix and taxable earnings and losses. We consider these factors and other, including our history of generating taxable earnings, in assessing our ability to realize deferred tax assets. We estimate the range of our worldwide effective income tax rate for 2017 to be approximately 20% to 22%.</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 cumulative valuation allowance of $3.6 million against the remaining $79.2 million of gross deferred tax assets recorded at December 31, 2016. Our deferred tax asset valuation allowance decreased by $1.3 million in 2016 and $1.9 million in 2015. This valuation allowance relates to deferred tax assets for which the Company does not believe it has satisfied the more likely than not threshold for realization. If we determine that we would be able to realize more or less than the recorded amount of net deferred tax assets, we will record an adjustment to the deferred tax asset valuation allowance in the period such a determination is made.</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2016, we had net operating loss carryforwards of $28.5 million for federal income tax purposes, $24.2 million for foreign income tax purposes and $14.0 million for state income tax purposes to offset future taxable income. The federal net operating loss carryforwards expire through 2032, $2.5 million of the foreign net operating loss carryforwards expire through 2025 with the remaining $21.7 million having an indefinite carry forward period. The state net operating loss carryforwards expire through 2036.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2016, we have not provided deferred U.S. income taxes or foreign withholding taxes on temporary differences of approximately $301.3 million resulting from earnings for certain non-U.S. subsidiaries which are permanently reinvested outside the U.S. The unrecognized deferred tax liability associated with these temporary differences was estimated to be $42.5 million at December 31, 2016. Events that could trigger a need to repatriate foreign cash to the U.S. and generate a tax might include U.S. acquisitions, loans from a foreign subsidiary, or anticipated tax law changes that are considered unfavorable and would result in higher taxes on repatriations that occur after the change in tax law goes into effect.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PRODUCT REVENUES AND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revenues to geographic areas based on the location of the customer. Total revenue by major geographic area consisted of the following:</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6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765,608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680,824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596,303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103,057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99,207</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105,879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98,853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101,207</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992,075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882,734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796,717</w:t>
            </w:r>
          </w:p>
        </w:tc>
      </w:tr>
      <w:tr>
        <w:trPr>
          <w:trHeight w:val="27"/>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2016, sales to our U.S. customers increased 12% from the prior year. We saw increases in our lower extremities, regenerative technologies, precision tools and instruments, private label and dural repair businesses, which benefited from organic growth as well as the full year contribution of the TEI and Salto Talaris acquisitions. These gains were offset by decreases in upper extremities hardware and neuro critical care. European sales increased 17% in 2016 compared to the prior year, resulting primarily from increases in sales in our neurosurgery portfolio, led by tissue ablation, as well as revenue related to our TEI and Tekmed acquisitions. Increases in revenue were offset by foreign exchange losses due to the declining value of the euro against the U.S. dollar. Sales to customers in the Rest of the World region increased approximately 7% for the year ended December 31, 2016, primarily driven by neurosurgery sales, led by tissue ablation.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2015, sales to our U.S. customers increased 14.2% from the prior year. We saw increases in our reconstructive, precision tools and instruments, and dural repair businesses, which benefited from organic growth as well as the TEI and MicroFrance acquisitions. These gains were offset by decreases in tissue ablation and neuro critical care. European sales increased approximately 3.9% in 2015 compared to the prior year, resulting primarily from increases in sales in our neurosurgery portfolio, led by dural repair and tissue ablation, as well as revenue related to our MicroFrance acquisition. Increases in revenue were offset by foreign exchange losses due to the declining value of the euro against the U.S. dollar. Sales to customers in the Rest of the World region decreased approximately 2.3% for the year ended December 31, 2015, primarily driven by weaker neurosurgery sales of dural repair and tissue ablation products.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45" w:right="2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With our global reach, we generate revenues and incur operating expenses in multiple foreign currencies, including euros, British pounds, Swiss francs, Canadian dollars, Japanese yen, Australian dollars, Mexican pesos, Brazilian reais and Chinese yuan. Accordingly, we will experience currencies exchange risk with respect to those foreign currency denominated revenues and operating expenses. The Company generated revenues denominated in foreign currencies of $163.3 million, $144.5 million and $151.6 million during the years ended December 31, 2016, 2015 and 2014,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assess the potential effects that changes in foreign currency exchange rates could have on our business. However, either a strengthening or a weakening of the dollar against individual foreign currencies could reduce future revenues and gross margins. If we believe this potential impact presents a significant risk to our business, we may enter into derivative financial instruments to mitigate this risk.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Local economic conditions, regulatory, legal or political considerations, the effectiveness of our sales representatives and distributors, local competition and changes in local medical practice all could combine to affect our sales into markets outside the United States.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Relationships with customers and effective terms of sale frequently vary by country, often with longer-term receivables than are typical in the United States.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Marketable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cash and cash equivalents totaling approximately $102.1 million and $48.1 million at December 31, 2016 and 2015, respectively.</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determined that our existing cash, future cash to be generated from operations, and our remaining $835.0 million of borrowing capacity under our senior secured revolving credit facility at December 31, 2016, if needed, will satisfy our foreseeable working capital, debt repayment and capital expenditure requirements for at least the next twelve months after the date the financial statements are issued or are available to be issued.</w:t>
      </w:r>
    </w:p>
    <w:p>
      <w:pPr>
        <w:spacing w:after="0" w:line="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2017, we anticipate that our principal uses of cash will include between $50.0 million and $55.0 million on capital expenditures primarily for support and maintenance in our existing plants for facility automation and additions to our instrument kits used in sales of orthopedic products.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2016, our non-U.S. subsidiaries held approximately $84.6 million of cash and cash equivalents that are available for use by all of our operations around the world. However, if these funds were repatriated to the United States or used for United States operations, certain amounts could be subject to United States tax for the incremental amount in excess of the foreign tax paid.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w w:val="99"/>
              </w:rPr>
              <w:t>2015</w:t>
            </w:r>
          </w:p>
        </w:tc>
      </w:tr>
      <w:tr>
        <w:trPr>
          <w:trHeight w:val="196"/>
        </w:trPr>
        <w:tc>
          <w:tcPr>
            <w:tcW w:w="7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2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7"/>
                <w:szCs w:val="17"/>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116,405</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117,063</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(364,950)</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248,142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fluctuations on cash</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r>
      <w:tr>
        <w:trPr>
          <w:trHeight w:val="27"/>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53,923</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generated operating cash flows of $116.4 million, $117.1 million and $62.9 million for years ended December 31, 2016, 2015 and 2014, respectively.</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cash flows in 2016 decreased compared to the same period in 2015. Net income increased compared to 2015 due to an increase in income from continuing operations before income taxes and because of the impact of the tax valuation allowance recorded in 2015 in conjunction with the SeaSpine spin-off, which was a non-cash adjustment. In 2016, we also made payments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45" w:right="2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of accreted interest of $42.8 million compared to $0.4 million paid in 2015, which are included in operating activities. Net income for the year adjusted for items included in net income which did not result in a change to our cash balance amounted to cash inflows of $170.4 million compared to $127.8 million in 2015. Changes in working capital in 2016 decreased cash flows by approximately $11.3 million. Among the changes in working capital, accounts receivable used $17.5 million of cash, inventory used $9.6 million of cash, prepaid expenses and other current assets provided $14.9 million of cash, and accounts payable, accrued expenses and other current liabilities used $0.4 million of cash.</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cash flows in 2015 increased compared to the same period in 2014. Net income decreased compared to 2014 primarily because of the impact of the tax valuation allowance recorded in conjunction with the SeaSpine spin-off, which was a non-cash adjustment. Net income for the year adjusted for items included in net income which did not result in a change to our cash balance amounted to cash inflows of $127.8 million, compared to $101.0 million in 2014. Changes in working capital in 2015 decreased cash flows by approximately $11.9 million. Among the changes in working capital, accounts receivable used $16.2 million of cash, inventory used $3.8 million of cash, prepaid expenses and other current assets used $0.2 million of cash, and accounts payable, accrued expenses and other current liabilities provided $8.2 million of cash.</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cash flows for 2014 benefited from an increase in net income of $14.3 million compared to 2013. Net income for the year adjusted for items included in net income which did not result in a change to our cash balance amounted to cash inflows of $101.0 million compared to $72.6 million in 2013. Changes in working capital decreased cash flows by approximately $22.8 million. Among the changes in working capital, accounts receivable used $17.1 million of cash, inventory used $24.1 million of cash, prepaid expenses and other current assets provided $16.5 million of cash, and accounts payable, accrued expenses and other current liabilities provided $0.8 million of cash.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2016, we paid $47.3 million in cash for capital expenditures, most of which was directed to the expansion of our collagen manufacturing center, new instruments for several product launches, facility improvements and ERP implementation. We also released $4.1 million from a restricted cash account that supported our European cash pool activities.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2015, we paid $33.4 million in cash for capital expenditures, most of which was directed to the expansion of our collagen manufacturing center and ERP implementation. We also paid an aggregate of $328.9 million for the acquisition of TEI, Salto and Futura product lines, and Tekmed. We transferred $4.1 million to a restricted cash account to support our European cash pool activities.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we paid $38.3 million in cash for capital expenditures, most of which was directed to the expansion of our collagen manufacturing center and our ERP system implementation. We also paid $320.9 million in cash for the acquisition of Confluent Surgical, MicroFrance, and Metasurg.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cash from financing activities in the year ended December 31, 2016 were $500.0 million under the term loan component of our Senior Credit Facility in accordance with December 2016 amendment, $180.0 million of borrowings under revolver component of our Senior Credit Facility, $184.3 million repayment of the 2016 Convertible Notes, and $10.5 million in proceeds from stock option exercises, net of cash paid to cover employee taxes, offset by $511.3 million in repayments under our Senior Credit Facility, $4.9 million cash taxes paid in net equity settlements and $4.5 million in debt issuance costs related to our Amended and Restated Senior Credit Facility entered into in December 2016.</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sources of cash from financing activities in the year ended December 31, 2015 were from $219.7 million of net proceeds from the issuance of 7.590 million shares of common stock in the third quarter, $545.0 million of borrowings under our Senior Credit Facility, and $7.3 million in proceeds from stock option exercises, net of cash paid to cover employee taxes, offset by $465.6 million in repayments under our Senior Credit Facility, $47.0 million distribution to SeaSpine, $2.5 million repayment of 2016 Convertible Notes and $6.6 million cash taxes paid in net equity settlement.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cash from financing activities in the year ended December 31, 2014 were from $425.0 million of borrowings under our Senior Credit Facility primarily to fund the Confluent Surgical acquisition, borrowing $150.0 million under the term loan portion of our Senior Credit Facility in connection with the July 2014 refinancing, and $15.2 million in proceeds from stock option exercises, net of cash paid to cover employee taxes, offset by $195.0 million of repayments under our Senior Credit Facility and $3.2 million in debt issuance costs related to our Amended and Restated Senior Credit Facility entered into in July 2014.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2016 and December 31, 2015, working capital was $371.6 million and $299.4 million, respectively. Working capital consists of total current assets less total current liabilities as presented in the consolidated balance sheets.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2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Upcoming Debt Maturities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debt matures in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Credit Agreement</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7, 2016, the Company entered into the fourth amended and restated Senior Credit Facility (the "Fourth Amendment and Restatement") with a syndicate of lending banks, Bank of America, N.A., as Administrative Agent, Swing Line Lender and an L/C Issuer, Wells Fargo Bank, N.A., as Syndication Agent, and Citizens Bank, N.A., DNB Capital LLC, HSBC Bank PLC, HSBC Bank USA, N.A., The Bank of Tokyo-Mitsubishi UFJ, Ltd., PNC Bank, N.A., Royal Bank of Canada, Suntrust Bank, TD Bank, N.A., JPMogran Chase Bank, N.A., Mizuho Bank, Ltd. and Bank of Nova Scotia, as Co-Documentation Agents. The Fourth Amendment and Restatement creates an aggregate principal amount of up to $1.5 billion available to the Company. Below are the significant amendments:</w:t>
      </w:r>
    </w:p>
    <w:p>
      <w:pPr>
        <w:spacing w:after="0" w:line="53"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revolving credit component from $750.0 million to $1.0 billion which includes a $60.0 million sublimit for the issuance of standby letters of credit and a $60.0 million sublimit for swingline loans,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increased the term loan component from $350.0 million to $500.0 million;</w:t>
      </w:r>
    </w:p>
    <w:p>
      <w:pPr>
        <w:spacing w:after="0" w:line="9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changed the maximum net leverage ratio in financial covenants;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formula for the Company to incur incremental loans in the future;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the repayment schedule of the term loan component;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maturity from July 2, 2019 to December 7,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Credit Facility bear interest, at the Company's option, at a rate equal to:</w:t>
      </w:r>
    </w:p>
    <w:p>
      <w:pPr>
        <w:spacing w:after="0" w:line="171" w:lineRule="exact"/>
        <w:rPr>
          <w:sz w:val="20"/>
          <w:szCs w:val="20"/>
          <w:color w:val="auto"/>
        </w:rPr>
      </w:pPr>
    </w:p>
    <w:p>
      <w:pPr>
        <w:ind w:left="660" w:right="5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Eurodollar Rate (as defined in the amendment and restatement) in effect from time to time plus the applicable rate (ranging from 1.00% to 1.75%),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of:</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overnight Federal funds rate, as published by the Federal Reserve Bank of New York, plus 0.50%, or</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lending rate of Bank of America, N.A., or</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one-month Eurodollar Rate plus 1.00%.</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2016 the Company was in compliance with all such covenants. The Company capitalized $4.5 million and $1.4 million of incremental financing costs in 2016 and 2015, respectively, in connection with the modifications of the Senior Credit Facility and expensed $0.5 million in 2016 of previously capitalized financing costs related to the modification. No previously capitalized financing costs were expensed in 2015 related to the modification.</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utilize the Senior Credit Facility for working capital, capital expenditures, acquisitions, debt repayments and other general corporate purposes. At December 31, 2016 and 2015, there was $165.0 million and $150.0 million outstanding, respectively, under the revolving portion of the Senior Credit Facility at a weighted average interest rate of 2.2% and 1.9%, respectively. The Company considers the balance to be long-term in nature based on its current intent and ability to repay the borrowing outside the next twelve-month period. At December 31, 2016 and 2015 there was $500.0 million and $346.2 million, respectively, outstanding under the term loan component of the Senior Credit Facility at a weighted average interest rate of 2.2% and 1.8%, respectively. Contractual repayments of the term loan under the Fourth Amendment and Restatement will begin in March 2018. We classify as short-term those repayments that are due within twelve months.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2016, there was approximately $835.0 million available for borrowing under the Senior Credit Facility.</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Letters of credit outstanding as of December 31, 2016 totaled $0.5 million and none as of December 31, 2015. There were no amounts drawn as of December 31,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603"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 and Related Hedging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15, 2016, the Company settled the 1.625% Convertible Senior Notes due in 2016 ("2016 Convertible Notes") by paying the principal amount of $227.1 million and issued 2.9 million shares of common stock with fair value of $122.0 million related to excess conversion value. No gain or loss on extinguishment was recognized as a result of the conversion. The Company also received 2.9 million shares of common stock from the exercise of call option with hedge participants. The shares of common stock received from exercise of the call option with hedge participants are held as treasury stock as of December 31, 2016 at weighted average price of $41.78 per share for a total of $123.1 million.</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2016 Convertible Notes were issued on June 15, 2011 with the aggregate principal of $230.0 million and maturity date of December 15, 2016. The 2016 Convertible Notes bore interest at a rate of 1.625% per annum payable semi-annually in arrears on December 15 and June 15 of each year. The 2016 Convertible Notes were senior, unsecured obligations and were convertible into cash and, if applicable, shares of its common stock based on a conversion rate defined within the note agreement.</w:t>
      </w:r>
    </w:p>
    <w:p>
      <w:pPr>
        <w:spacing w:after="0" w:line="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2015, the carrying amount of the liability component was $218.7 million, the remaining unamortized discount was $8.4 million and the principal amount outstanding was $227.1 million.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2016 Convertible Notes, we entered into call transactions and warrant transactions, primarily with affiliates of the initial purchasers of the 2016 Convertible Notes (the “hedge participants”). The cost of the call transactions to us was approximately $42.9 million for the 2016 Convertible Notes. We received approximately $28.5 million of proceeds from the warrant transactions for 2016 Convertible Notes.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was approximately $28.72, subject to anti-dilution adjustments substantially similar to those in the 2016 Convertible Notes. The initial strike price of the warrant transactions was approximately $35.03 for the 2016 Convertible Notes, subject to customary anti-dilution adjustments. The strike price of the call transactions and warrant transactions has been adjusted similarly to the 2016 Convertible Notes as a result of the spin-off to $26.42 per share and $32.22 per share, respectively. The warrants will expire on a series of expiration dates from March 2017 to August 2017.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Plan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25, 2016, our Board of Directors terminated the previous share repurchase plan dated October 28, 2014, of up to $75.0 million of outstanding common stock set to expire at the end of 2016 and authorized a new repurchase of up to $150.0 million of outstanding common stock through December 2018. Shares may be repurchased either in the open market or in privately negotiated transactions.</w:t>
      </w:r>
    </w:p>
    <w:p>
      <w:pPr>
        <w:spacing w:after="0" w:line="122" w:lineRule="exact"/>
        <w:rPr>
          <w:sz w:val="20"/>
          <w:szCs w:val="20"/>
          <w:color w:val="auto"/>
        </w:rPr>
      </w:pPr>
    </w:p>
    <w:p>
      <w:pPr>
        <w:ind w:right="240"/>
        <w:spacing w:after="0" w:line="391" w:lineRule="auto"/>
        <w:rPr>
          <w:sz w:val="20"/>
          <w:szCs w:val="20"/>
          <w:color w:val="auto"/>
        </w:rPr>
      </w:pPr>
      <w:r>
        <w:rPr>
          <w:rFonts w:ascii="Times New Roman" w:cs="Times New Roman" w:eastAsia="Times New Roman" w:hAnsi="Times New Roman"/>
          <w:sz w:val="18"/>
          <w:szCs w:val="18"/>
          <w:color w:val="auto"/>
        </w:rPr>
        <w:t xml:space="preserve">There have been no shares of common stock repurchased by the Company under any of these authorizations in the year ended December 31, 2016 or 2015. </w:t>
      </w:r>
      <w:r>
        <w:rPr>
          <w:rFonts w:ascii="Times New Roman" w:cs="Times New Roman" w:eastAsia="Times New Roman" w:hAnsi="Times New Roman"/>
          <w:sz w:val="18"/>
          <w:szCs w:val="18"/>
          <w:b w:val="1"/>
          <w:bCs w:val="1"/>
          <w:i w:val="1"/>
          <w:iCs w:val="1"/>
          <w:color w:val="auto"/>
        </w:rPr>
        <w:t>Dividend Policy</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we were obligated to pay the following amounts under the following agreements: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250"/>
        </w:trPr>
        <w:tc>
          <w:tcPr>
            <w:tcW w:w="4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Credit Facility(1) - Revolver</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165.0</w:t>
            </w:r>
          </w:p>
        </w:tc>
        <w:tc>
          <w:tcPr>
            <w:tcW w:w="2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Credit Facility - Term Loan</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Interest(2)</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Agreements(3)</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780.4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638.8</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603" w:right="239" w:bottom="1440" w:gutter="0" w:footer="0" w:header="0"/>
        </w:sectPr>
      </w:pPr>
    </w:p>
    <w:bookmarkStart w:id="43" w:name="page44"/>
    <w:bookmarkEnd w:id="43"/>
    <w:p>
      <w:pPr>
        <w:ind w:left="500" w:right="40" w:hanging="465"/>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borrow and make payments against the credit facility from time to time and considers all of the outstanding amounts to be long term based on its current intent and ability to repay the borrowing outside the next twelve-month period.</w:t>
      </w:r>
    </w:p>
    <w:p>
      <w:pPr>
        <w:spacing w:after="0" w:line="134"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revolving credit facility can be repaid at any time, no interest has been included in the calculation.</w:t>
      </w:r>
    </w:p>
    <w:p>
      <w:pPr>
        <w:spacing w:after="0" w:line="198" w:lineRule="exact"/>
        <w:rPr>
          <w:rFonts w:ascii="Times New Roman" w:cs="Times New Roman" w:eastAsia="Times New Roman" w:hAnsi="Times New Roman"/>
          <w:sz w:val="18"/>
          <w:szCs w:val="18"/>
          <w:color w:val="auto"/>
        </w:rPr>
      </w:pPr>
    </w:p>
    <w:p>
      <w:pPr>
        <w:ind w:left="500" w:hanging="465"/>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under Employment Agreements do not include compensation resulting from a change in control.</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Excluded from the contractual obligations table is the liability for uncertain tax benefits, including interest and penalties, totaling $0.8 million. The Company has excluded its contingent consideration obligation, supply agreement liability and above market supply agreement liability related to prior acquisitions from the contractual obligations table above; these liabilities had a total fair value of $24.9 million at December 31, 2016. The liabilities for uncertain tax benefits, contingent consideration, supply agreement liability and above market supply agreement liability have been excluded because we cannot make a reliable estimate of the period in which the uncertain tax benefits or contingent consideration may be realized.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off-balance sheet arrangements during the year ended December 31, 2016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estimates of projected cash flows and discount rates used to value intangible assets and test goodwill and intangible assets for impairment, estimates of projected cash flows and depreciation and amortization periods for long-lived assets, computation of taxes, computation of valuation allowances recorded against deferred tax assets, valuation of stock-based compensation, valuation of pension assets and liabilities, valuation of derivative instruments, valuation of the equity component of convertible debt instruments,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Allowances For Doubtful Accounts Receivable and Sales Returns and Allowances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sales returns and allowances provision in the future through an increase or decrease in revenues.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Inventories, consisting of purchased materials, direct labor and manufacturing overhead, are stated at the lower of cost (determined by the first-in, first-out method) or market.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26" w:right="2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Results of operations of acquired companies are included in the Company’s results of operations as of the respective acquisition dates. The purchase price of each acquisition is allocated to the net assets acquired based on estimates of their fair values at the date of the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Contingent consideration is recognized at the estimated fair value on the acquisition date. Subsequent changes to the fair value of contingent payments are recognized in earnings.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Our assessment of the recoverability of goodwill is based upon a comparison of the carrying value of goodwill with its estimated fair value. We review goodwill for impairment annually as of July 31 and whenever events or changes in circumstances indicate the carrying value of goodwill may not be recoverable.</w:t>
      </w:r>
    </w:p>
    <w:p>
      <w:pPr>
        <w:spacing w:after="0" w:line="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the first quarter of 2015, we revised our reportable segments in connection with the realignment of our portfolio. The change in reportable segments resulted in three reportable segments with four underlying reporting units: Specialty Surgical Solutions Instruments, Specialty Surgical Solutions Neurosurgery, Spine, and Orthopedics and Tissue Technologies. Refer to Note 15 </w:t>
      </w:r>
      <w:r>
        <w:rPr>
          <w:rFonts w:ascii="Times New Roman" w:cs="Times New Roman" w:eastAsia="Times New Roman" w:hAnsi="Times New Roman"/>
          <w:sz w:val="18"/>
          <w:szCs w:val="18"/>
          <w:i w:val="1"/>
          <w:iCs w:val="1"/>
          <w:color w:val="auto"/>
        </w:rPr>
        <w:t>- Segment and Geographic Information</w:t>
      </w:r>
      <w:r>
        <w:rPr>
          <w:rFonts w:ascii="Times New Roman" w:cs="Times New Roman" w:eastAsia="Times New Roman" w:hAnsi="Times New Roman"/>
          <w:sz w:val="18"/>
          <w:szCs w:val="18"/>
          <w:color w:val="auto"/>
        </w:rPr>
        <w:t xml:space="preserve"> for more information on the change in reportable segments. On July 1, 2015, the Company completed the separation of its spine business, which also represented a reporting unit. See Note 3 - </w:t>
      </w: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for additional information. Following the separation, the Company has three remaining underlying reporting units.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estimated the fair value of the remaining three reporting units using a discounted cash flow model, which incorporates significant estimates and assumptions made by management which, by their nature, are characterized by uncertainty. Inputs used to fair value our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4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unit's financial projections, which are based on management's assessment of regional and macroeconomic variables, industry trends and market opportunities, and our strategic objectives and future growth plans.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terminal value for the reporting unit, which represents the present value of projected cash flows beyond the last period in the discounted cash flow analysis. The terminal value reflects our assumptions related to long-term growth rates and profitability, which are based on several factors, including local and macroeconomic variables, market opportunities, and future growth plans.</w:t>
      </w:r>
    </w:p>
    <w:p>
      <w:pPr>
        <w:spacing w:after="0" w:line="4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used to measure the present value of the projected future cash flows is set using a weighted-average cost of capital method that considers market and industry data as well as our specific risk factors that are likely to be considered by a market participant. The weighted-average cost of capital is our estimate of the overall after-tax rate of return required by equity and debt holders of a business enterprise.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excess of the Specialty Surgical Solutions Instruments, Specialty Surgical Solutions Neurosurgery, and Orthopedics and Tissue Technologies estimated fair values over their carrying values after the reallocation of goodwill, no impairment was recognized. The goodwill assigned to the Spine reporting unit was impaired during the first quarter of 2015 and the impairment has been presented in the Company's discontinued operations.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goodwill impairment testing performed in conjunction with the change in reportable segments, we performed our annual goodwill impairment test as of July 31, 2016. In reviewing goodwill for impairment, we have the option - for any or all of our reporting units that carry goodwill - to first assess qualitative factors to determine whether the existence of events 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45" w:right="2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circumstances leads to a determination that it is more likely than not (i.e. greater than 50%) that the estimated fair value of a reporting unit is less than its carrying amount. If we elect to perform a qualitative assessment and determine that an impairment is more likely than not, we are then required to perform the two-step quantitative impairment test, otherwise no further analysis is required. We also may elect not to perform the qualitative assessment and, instead, proceed directly to step one of the two-step quantitative impairment test. The ultimate outcome of the goodwill impairment review for a reporting unit should be the same whether we choose to perform the qualitative assessment or proceeds directly to the two-step quantitative impairment test.</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elected to perform a qualitative analysis for our three reporting units as of July 31, 2016. We determined, after performing the qualitative analysis that there was no evidence that it is more likely than not that the fair value of any identified reporting unit is than their carrying value; therefore, it was not necessary to proceed to perform the 2-Step goodwill impairment test.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Identifiable Intangible Assets and In-Process Research and Development Charges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the Company acquires a business, the assets acquired, including IPR&amp;D, and liabilities assumed are recorded at their respective fair values as of the acquisition date. The Company's policy defines IPR&amp;D as the fair value of those projects for which the related products have not received regulatory approval and have no alternative future use. Determining the fair value of intangible assets, including IPR&amp;D,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including IPR&amp;D,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R&amp;D project is subsequently abandoned, the indefinite-lived intangible asset is charged to expense. IPR&amp;D acquired outside of a business combination is expensed immediately.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uncertainty associated with R&amp;D projects, there is risk that actual results will differ materially from the original cash flow projections and that the R&amp;D project will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and all of our derivatives are designated as hedges.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derivative instruments are recognized at their fair values as either assets or liabilities on the balance sheet. We determine the fair value of our derivative instruments, using the framework prescribed by the authoritative guidance, by considering the 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 As of December 31, 2016, the Company had outstanding interest rate swaps, designated as cash flow hedges, with three different financial institutions with a total notional amount of $150.0 million and the total fair value was an asset of $1.9 million.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45"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and our foreign earnings are taxed at rates that are generally lower than in the United States.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our consolidated financial statements for disclosures related to foreign and domestic pretax income, foreign and domestic income tax expense (benefit) and the effect foreign taxes have on our overall effective tax rate.</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have identified all reasonably identifiable exposures and that the reserve we have established for identifiable exposures is appropriate under the circumstances; however, it is possible that additional exposures exist and that exposures will be settled at amounts different from the amounts reserved. It is also possible that changes in facts and circumstances could cause us to either materially increase or reduce the carrying amount of our tax reserves.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deferred income taxes reflect the net tax effects of temporary differences between the carrying amounts of assets and liabilities for financial reporting purposes and their basis for income tax purposes, and also the temporary differences created by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130" w:lineRule="exact"/>
        <w:rPr>
          <w:sz w:val="20"/>
          <w:szCs w:val="20"/>
          <w:color w:val="auto"/>
        </w:rPr>
      </w:pPr>
    </w:p>
    <w:p>
      <w:pPr>
        <w:ind w:right="200"/>
        <w:spacing w:after="0" w:line="438" w:lineRule="auto"/>
        <w:rPr>
          <w:sz w:val="20"/>
          <w:szCs w:val="20"/>
          <w:color w:val="auto"/>
        </w:rPr>
      </w:pPr>
      <w:r>
        <w:rPr>
          <w:rFonts w:ascii="Times New Roman" w:cs="Times New Roman" w:eastAsia="Times New Roman" w:hAnsi="Times New Roman"/>
          <w:sz w:val="18"/>
          <w:szCs w:val="18"/>
          <w:color w:val="auto"/>
        </w:rPr>
        <w:t xml:space="preserve">Our policy is to provide income taxes on earnings of certain foreign subsidiaries only to the extent those earnings are taxable or are expected to be remitted. </w:t>
      </w:r>
      <w:r>
        <w:rPr>
          <w:rFonts w:ascii="Times New Roman" w:cs="Times New Roman" w:eastAsia="Times New Roman" w:hAnsi="Times New Roman"/>
          <w:sz w:val="18"/>
          <w:szCs w:val="18"/>
          <w:b w:val="1"/>
          <w:bCs w:val="1"/>
          <w:i w:val="1"/>
          <w:iCs w:val="1"/>
          <w:color w:val="auto"/>
        </w:rPr>
        <w:t>Loss Contingencies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claims and lawsuits in the ordinary course of our business, including claims by employees or former employees,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Standards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Update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will become effective for all annual and interim reporting periods beginning after December 15, 2017. Early adoption as of January 1, 2017 is permitted. The Company will adopt this standard on January 1, 2018. We expect to apply full retrospective method of adoption. The Company has developed a project plan to assess the potential impact of the standard and has evaluated a sampling of significant contracts. The Company has not yet reached a conclusion as to how the adoption of the standard will impact the Company's financial position, results of operations and cash flows.</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June 2014, the FASB issued Update No. 2014-12, </w:t>
      </w:r>
      <w:r>
        <w:rPr>
          <w:rFonts w:ascii="Times New Roman" w:cs="Times New Roman" w:eastAsia="Times New Roman" w:hAnsi="Times New Roman"/>
          <w:sz w:val="18"/>
          <w:szCs w:val="18"/>
          <w:i w:val="1"/>
          <w:iCs w:val="1"/>
          <w:color w:val="auto"/>
        </w:rPr>
        <w:t>Accounting for Share-Based Payments When the Terms of an Award Provide That a Performance 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Be Achieved after the Requisite Service Period (Topic 718)</w:t>
      </w:r>
      <w:r>
        <w:rPr>
          <w:rFonts w:ascii="Times New Roman" w:cs="Times New Roman" w:eastAsia="Times New Roman" w:hAnsi="Times New Roman"/>
          <w:sz w:val="18"/>
          <w:szCs w:val="18"/>
          <w:color w:val="auto"/>
        </w:rPr>
        <w:t>. The amendments require that a performance target that affects vesting and that could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achieved after the requisite service period be treated as a performance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41" w:right="2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is effective for annual reporting periods beginning after December 15, 2015. The Company adopted this guidance effective January 1, 2016 on prospective basis. The implementation of the amended guidance did not have a material impact on the Company's consolidated financial position or results of operations.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August 2014, the FASB issued Update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The amendment requires management to evaluate, for each annual and interim reporting period, whether there are conditions and events, considered in the aggregate, that raise substantial doubt about an entity’s ability to continue as a going concern within one year after the date the financial statements are issued or are available to be issued. If substantial doubt is raised, additional disclosures around management’s plan to alleviate these doubts are required. This update will become effective for all annual periods and interim reporting periods ending after December 15, 2016. The Company adopted the new guidance for the year ended December 31, 2016. The Company performed the evaluation required by the standard and did not identify any conditions or events that raise a substantial doubt about the Company's ability to continue as a going concern within one year from the issuance of these financial statements.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Update No.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The amendment requires that all costs incurred to issue certain debt be presented in the balance sheet as a direct deduction from the carrying value of the debt. The new standard is limited to the presentation of debt issuance costs and does not affect the recognition or measurement of debt issuance costs. This update will become effective for all annual periods and interim reporting periods beginning after December 15, 2015. The Company adopted this guidance effective January 1, 2016 on a retrospective basis. The implementation of the amended guidance did not have a material impact on the consolidated results of operations and resulted in a reclassification of a portion of the debt issuance costs from other long-term assets to long-term debt.</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Update No.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The amendment requires an entity to measure inventory that is within the scope of this amendment at the lower of cost and net realizable value. Existing impairment models will continue to be used for inventories that are accounted for using the last-in first-out (“LIFO”) method. The ASU requires prospective adoption for inventory measurements for fiscal years beginning after December 15, 2016 and interim periods within those fiscal years for public business entities. Early adoption is permitted. The implementation of the amended guidance is not expected to have a material impact on the consolidated financial position or results of operations.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2015, the FASB issued Update No. 2015-15,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The amendment requires entities to present debt issuance costs related to a recognized debt liability as a direct deduction from the carrying amount of that debt liability. The guidance in ASU No. 2015-03 does not address presentation or subsequent measurement of debt issuance costs related to line-of-credit arrangements. Given the absence of authoritative guidance within ASU No. 2015-03 for debt issuance costs related to line-of-credit arrangements, the SEC staff indicated that it would not object to an entity's deferring and presenting debt issuance costs as an asset and subsequently amortizing the deferred debt issuance costs ratably over the term of the line-of-credit arrangement, regardless of whether there are any outstanding borrowings on the line-of-credit arrangement. This update became effective for all annual periods and interim reporting periods beginning after December 15, 2015. The Company adopted this guidance effective January 1, 2016 on retrospective basis. The implementation of the amended guidance did not have a material impact on the consolidated financial position or results of operations.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2015, the FASB issued Update No. 2015-16, </w:t>
      </w:r>
      <w:r>
        <w:rPr>
          <w:rFonts w:ascii="Times New Roman" w:cs="Times New Roman" w:eastAsia="Times New Roman" w:hAnsi="Times New Roman"/>
          <w:sz w:val="18"/>
          <w:szCs w:val="18"/>
          <w:i w:val="1"/>
          <w:iCs w:val="1"/>
          <w:color w:val="auto"/>
        </w:rPr>
        <w:t>Simplifying the Accounting for Measurement-Period Adjustments</w:t>
      </w:r>
      <w:r>
        <w:rPr>
          <w:rFonts w:ascii="Times New Roman" w:cs="Times New Roman" w:eastAsia="Times New Roman" w:hAnsi="Times New Roman"/>
          <w:sz w:val="18"/>
          <w:szCs w:val="18"/>
          <w:color w:val="auto"/>
        </w:rPr>
        <w:t>. The amendment requires that an acquirer recognize adjustments to provisional amounts that are identified during the measurement period in the reporting period in which the adjustment amounts are determined. This update also requires an entity to present separately in the income statement or disclose in the notes, the portion of the amount recorded in current-period earnings by line item that would have been recorded in previous reporting periods if the adjustment to the provisional amounts had been recognized as of the acquisition date. This update will become effective for all annual periods and interim reporting periods beginning after December 15, 2015. The new standard must be applied prospectively to adjustments to provisional amounts that occur after the effective date. The Company adopted this guidance effective January 1, 2016. The implementation of the amended guidance did not have a material impact on the consolidated results of operations or disclosures in the financial statements.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current accounting guidance an entity is not required to report operating leases on the balance sheet. The amendment requires that lessees recognize virtually all of their leases on the balance sheet, by recording a right-of-use asset and lease liability (other than leases that meet the definition of a "short-term lease"). This update will become effective for all annual periods and interim reporting periods beginning after December 15,</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45" w:right="2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2018. The new standard must be adopted using a modified retrospective transition. Early adoption is permitted. The Company is in the process of evaluating the impact of this standard on its financial statements.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2016, the FASB issued Update No. 2016-09, </w:t>
      </w:r>
      <w:r>
        <w:rPr>
          <w:rFonts w:ascii="Times New Roman" w:cs="Times New Roman" w:eastAsia="Times New Roman" w:hAnsi="Times New Roman"/>
          <w:sz w:val="18"/>
          <w:szCs w:val="18"/>
          <w:i w:val="1"/>
          <w:iCs w:val="1"/>
          <w:color w:val="auto"/>
        </w:rPr>
        <w:t>Improvements to Employee Share-Based Payment Accounting (Topic 718) (ASU 2016-09)</w:t>
      </w:r>
      <w:r>
        <w:rPr>
          <w:rFonts w:ascii="Times New Roman" w:cs="Times New Roman" w:eastAsia="Times New Roman" w:hAnsi="Times New Roman"/>
          <w:sz w:val="18"/>
          <w:szCs w:val="18"/>
          <w:color w:val="auto"/>
        </w:rPr>
        <w:t xml:space="preserve">, which simplifies several aspects of the accounting for share-based payment. Under current accounting guidance an entity is required to report excess tax benefits and tax deficiencies, to the extent of previous windfalls, in equity when an award is settled. A tax benefit currently only is recognized when it is realized. Excess tax benefits at settlements were reported as cash inflows from financing activities. The amendment requires that an entity present all excess tax benefits and all tax deficiencies as income tax expense or benefit in the statement of operations to be applied using a prospective transition method. Related tax effects of share-based payment settlements are to be presented as cash inflows from operating activities with a transition method of either a prospective or retrospective transition method. The amendment also removes the requirement to delay recognition of an excess tax benefit until the tax benefit is realized. A modified retrospective transition method must be applied for this provision of amendment.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allows the Company to elect to account for forfeitures either based on an estimate of the number of awards for which the requisite service period is not expected to be rendered with a true-up for actual forfeitures or to account for forfeitures as they occur. The amendment also requires cash outflows attributable to tax withholdings on the net settlement of equity-classified awards to be classified in financing cash flows, with any changes to be applied retrospectively.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is effective for all annual periods and interim reporting periods beginning after December 15, 2016. Early adoption is permitted.</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elected to early adopt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during 2016, which requires any adjustments to be reflected as of January 1, 2016, the beginning of the annual period that includes the interim period of adoption. The Company elected to account for forfeitures as they occur. The impact in retained earnings as of December 31, 2015 from this provision was not significant. Amendments related to accounting for excess tax benefits have been adopted prospectively, resulting in recognition of excess tax benefits against income tax expenses rather than additional paid-in capital of $3.8 million for the years ended December 31, 2016. Amendments related to the condensed consolidated statement of cash flows have been adopted retrospectively. As a result of this adoption, net cash provided by operating activities increased by 8.8, $10.4 million and $4.1 million for the years ended December 31, 2016, 2015 and 2014, respectively. Net cash provided by financing activities decreased by $8.8 million, $10.4 million and $4.1 million for the years ended December 31, 2016, 2015 and 2014, respectively.</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Update No.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The guidance addresses the classification of cash flows related to debt repayment or extinguishment costs, settlement of zero-coupon debt instruments or debt instruments with coupon rate that are insignificant in relation to the effective interest rate of the borrowing, contingent consideration payments made after business combination, proceeds from the settlement of insurance claims and corporate-owned life insurance, distribution received from equity method investees and beneficial interest in securitization transaction. This update will become effective for all annual periods and interim reporting periods beginning after December 15, 2017. Early adoption is permitted. The Company is in the process of evaluating the impact of this standard on its financial statements.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October 2016, the FASB issued Update No. 2016-16,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xml:space="preserve"> The guidance requires the income tax consequences of intra-entity transfers of assets other than inventory to be recognized as current period income tax expense or benefit and removes the requirement to defer and amortize the consolidated tax consequences of intra-entity transfers. The new standard will be effective for all annual periods beginning after December 15, 2017. Early adoption is permitted. The Company is in the process of evaluating impact of this standard on its financial statements.</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Update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The standard eliminates the second step in the goodwill impairment test which requires an entity to determine the implied fair value of the reporting unit’s goodwill. Instead, an entity should recognize an impairment loss if the carrying value of the net assets assigned to the reporting unit exceeds the fair value of the reporting unit, with the impairment loss not to exceed the amount of goodwill allocated to the reporting unit. The standard is effective for annual and interim goodwill impairment tests conducted in fiscal years beginning after December 15, 2019. Early adoption is permitted. The Company is in the process of evaluating impact of this standard on its financial statements.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Update No. 2017-01,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standard provides guidance for evaluating whether transactions should be accounted for as acquisitions (or disposals) of assets or businesses. The guidance provides a screen to determine when an integrated set of assets and activities (a “set”) does not qualify to be a business. The screen requires that when substantially all of the fair value of the gross assets acquired (or disposed of) is concentrated in an identifiable asset or a group of similar identifiable assets, the set of assets and activities is not a business. If the screen is not met, the guidance requires a set of assets and activities to be considered a business to include, at a minimum, an input and a substantive process that together significantly contribute to the ability to create outputs and removes the evaluation as to whether a market participant could replace the missing elements. The new standard will be effective for all annual periods beginning after December 15, 2017. Early adoption is permitted. The Company is in the process of evaluating impact of this standard on its financial statements.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45" w:right="2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are expected to have a material effect on the Company's financial position,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and Other Rate Risks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At December 31, 2016 and 2015, the Company had no foreign currency forward contracts outstanding.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We are exposed to the risk of interest rate fluctuations on the interest income earned on our cash and cash equivalents.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hypothetical 100 basis point movement in interest rates applicable to our cash and cash equivalents outstanding at December 31, 2016 would increase interest income by approximately $1.0 million on an annual basis. No significant decrease in interest income would be expected as our cash balances are earning interest at rates of approximately 2 basis points. We are subject to foreign currency exchange risk with respect to cash balances maintained in foreign currencies.</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Senior Credit Facility </w:t>
      </w:r>
      <w:r>
        <w:rPr>
          <w:rFonts w:ascii="Times New Roman" w:cs="Times New Roman" w:eastAsia="Times New Roman" w:hAnsi="Times New Roman"/>
          <w:sz w:val="18"/>
          <w:szCs w:val="18"/>
          <w:color w:val="auto"/>
        </w:rPr>
        <w:t>- Our interest rate risk relates primarily to U.S. dollar LIBOR-indexed borrowings. We use interest rate swap derivative instruments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 our earnings and cash flow exposure to changes in interest rates. These interest rate swaps fixed interest rate on a portion of our expected LIBOR-indexed floating-rate borrowings. On June 22, 2016, we entered into two $50.0 million interest rate swaps with separate financial institution, each with and effective date of December 31, 2016 and expires on June 30, 2019. At December 31, 2016, these two interest rate swaps had a total notional amount of $100.0 million outstanding and the fair value was an asset of $1.2 million.</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12, 2016, the Company entered into an additional $50.0 million interest rate swap derivative instruments with a separate financial institution with an effective date of December 31, 2016 to manage its earnings and cash flow exposure to changes in interest rates covering a portion of its floating-rate debt. This interest rate swap was also designated as a cash flow hedge and expires on June 30, 2019. At December 31, 2016, this interest rate swap had a total notional amount of $50.0 million outstanding and the fair value was an asset of $0.7 million.</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an interest rate swap fixed the interest rate on a portion of our expected LIBOR-indexed floating-rate borrowings beginning on December 31, 2010. The interest rate swap expired in August 2015. The interest rate swap was used to manage the Company's earnings and cash flow exposure to changes in interest rates by converting a portion of its floating-rate debt into fixed-rate debt. We recognized $0.9 million of additional interest expense related to this derivative during the year-ended December 31, 2015.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45" w:right="239" w:bottom="1440" w:gutter="0" w:footer="0" w:header="0"/>
        </w:sectPr>
      </w:pPr>
    </w:p>
    <w:bookmarkStart w:id="50" w:name="page51"/>
    <w:bookmarkEnd w:id="50"/>
    <w:p>
      <w:pPr>
        <w:ind w:right="20"/>
        <w:spacing w:after="0" w:line="282" w:lineRule="auto"/>
        <w:rPr>
          <w:sz w:val="20"/>
          <w:szCs w:val="20"/>
          <w:color w:val="auto"/>
        </w:rPr>
      </w:pPr>
      <w:r>
        <w:rPr>
          <w:rFonts w:ascii="Times New Roman" w:cs="Times New Roman" w:eastAsia="Times New Roman" w:hAnsi="Times New Roman"/>
          <w:sz w:val="18"/>
          <w:szCs w:val="18"/>
          <w:color w:val="auto"/>
        </w:rPr>
        <w:t>Based on our outstanding borrowings at December 31, 2016, a one-percentage point change in interest rates would have impacted interest expense on the unhedged portion of the debt by $5.2 million on an annualized basis.</w:t>
      </w: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statements and the financial statement schedules specified by this Item, together with the report thereon of PricewaterhouseCoopers LLP, are presented following Item 15 of this report.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on quarterly results of operations is set forth in our financial statements under Note 15, “Selected Quarterly Information — Unaudited,” to our consolidated financial statements.</w:t>
      </w:r>
    </w:p>
    <w:p>
      <w:pPr>
        <w:spacing w:after="0" w:line="293" w:lineRule="exact"/>
        <w:rPr>
          <w:sz w:val="20"/>
          <w:szCs w:val="20"/>
          <w:color w:val="auto"/>
        </w:rPr>
      </w:pPr>
    </w:p>
    <w:p>
      <w:pPr>
        <w:ind w:right="1080" w:firstLine="27"/>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26" w:right="239" w:bottom="1440" w:gutter="0" w:footer="0" w:header="0"/>
        </w:sectPr>
      </w:pPr>
    </w:p>
    <w:bookmarkStart w:id="51" w:name="page52"/>
    <w:bookmarkEnd w:id="51"/>
    <w:p>
      <w:pPr>
        <w:ind w:left="4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2016. Based upon this evaluation, our principal executive officer and principal financial officer concluded that our disclosure controls and procedures were effective as of December 31, 2016 to provide such reasonable assurance.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To evaluate the effectiveness of our internal control over financial reporting, management used the criteria described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 Based upon this evaluation,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our internal control over financial reporting was effective as of December 31, 2016.</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2016 has been audited by PricewaterhouseCoopers LLP, an independent registered public accounting firm, as stated in their report which appears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quarter ended December 31, 2016 that have materially affected, or are reasonably likely to materially affect, our internal control over financial reporting.</w:t>
      </w:r>
    </w:p>
    <w:p>
      <w:pPr>
        <w:spacing w:after="0" w:line="18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24, 2017, which definitive proxy statement is expected to be filed with the Commission not later than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ind w:left="1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21" w:lineRule="exact"/>
        <w:rPr>
          <w:sz w:val="20"/>
          <w:szCs w:val="20"/>
          <w:color w:val="auto"/>
        </w:rPr>
      </w:pPr>
    </w:p>
    <w:p>
      <w:pPr>
        <w:ind w:right="8300" w:firstLine="8"/>
        <w:spacing w:after="0" w:line="438" w:lineRule="auto"/>
        <w:tabs>
          <w:tab w:leader="none" w:pos="2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Documents filed as a part of this report. 1. </w:t>
      </w:r>
      <w:r>
        <w:rPr>
          <w:rFonts w:ascii="Times New Roman" w:cs="Times New Roman" w:eastAsia="Times New Roman" w:hAnsi="Times New Roman"/>
          <w:sz w:val="18"/>
          <w:szCs w:val="18"/>
          <w:b w:val="1"/>
          <w:bCs w:val="1"/>
          <w:i w:val="1"/>
          <w:iCs w:val="1"/>
          <w:color w:val="auto"/>
        </w:rPr>
        <w:t>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and financial statement schedules are filed as a part of this report:</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0000FF"/>
                <w:w w:val="87"/>
              </w:rPr>
              <w:t>F-1</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2016, 2015 and 2014</w:t>
            </w: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0000FF"/>
                <w:w w:val="87"/>
              </w:rPr>
              <w:t>F-2</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2016, 2015 and 2014</w:t>
            </w: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0000FF"/>
                <w:w w:val="87"/>
              </w:rPr>
              <w:t>F-3</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2016 and 2015</w:t>
            </w: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0000FF"/>
                <w:w w:val="87"/>
              </w:rPr>
              <w:t>F-4</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2016, 2015 and 2014</w:t>
            </w: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0000FF"/>
                <w:w w:val="87"/>
              </w:rPr>
              <w:t>F-5</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2016, 2015 and 2014</w:t>
            </w: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0000FF"/>
                <w:w w:val="87"/>
              </w:rPr>
              <w:t>F-6</w:t>
            </w:r>
          </w:p>
        </w:tc>
      </w:tr>
      <w:tr>
        <w:trPr>
          <w:trHeight w:val="270"/>
        </w:trPr>
        <w:tc>
          <w:tcPr>
            <w:tcW w:w="9580" w:type="dxa"/>
            <w:vAlign w:val="bottom"/>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0000FF"/>
                <w:w w:val="87"/>
              </w:rPr>
              <w:t>F-7</w:t>
            </w:r>
          </w:p>
        </w:tc>
      </w:tr>
    </w:tbl>
    <w:p>
      <w:pPr>
        <w:sectPr>
          <w:pgSz w:w="11900" w:h="16838" w:orient="portrait"/>
          <w:cols w:equalWidth="0" w:num="1">
            <w:col w:w="11420"/>
          </w:cols>
          <w:pgMar w:left="240" w:top="630" w:right="239" w:bottom="9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 Financial Statement Schedules.</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3900" w:type="dxa"/>
            <w:vAlign w:val="bottom"/>
          </w:tcPr>
          <w:p>
            <w:pPr>
              <w:ind w:left="3560"/>
              <w:spacing w:after="0"/>
              <w:rPr>
                <w:rFonts w:ascii="Times New Roman" w:cs="Times New Roman" w:eastAsia="Times New Roman" w:hAnsi="Times New Roman"/>
                <w:sz w:val="18"/>
                <w:szCs w:val="18"/>
                <w:color w:val="0000FF"/>
                <w:w w:val="93"/>
              </w:rPr>
            </w:pPr>
            <w:r>
              <w:rPr>
                <w:rFonts w:ascii="Times New Roman" w:cs="Times New Roman" w:eastAsia="Times New Roman" w:hAnsi="Times New Roman"/>
                <w:sz w:val="18"/>
                <w:szCs w:val="18"/>
                <w:color w:val="0000FF"/>
                <w:w w:val="93"/>
              </w:rPr>
              <w:t>F-</w:t>
            </w:r>
            <w:hyperlink w:anchor="page108">
              <w:r>
                <w:rPr>
                  <w:rFonts w:ascii="Times New Roman" w:cs="Times New Roman" w:eastAsia="Times New Roman" w:hAnsi="Times New Roman"/>
                  <w:sz w:val="18"/>
                  <w:szCs w:val="18"/>
                  <w:color w:val="0000FF"/>
                  <w:w w:val="93"/>
                </w:rPr>
                <w:t>42</w:t>
              </w:r>
            </w:hyperlink>
          </w:p>
        </w:tc>
      </w:tr>
    </w:tbl>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Exhibits required to be filed by Item 601 of Regulation S-K.</w:t>
      </w: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Purchase Agreement, dated as of October 25, 2013, by and between Covidien Group S.A.R.L. and Integra LifeSciences</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Corporation (Incorporated by Reference to Exhibit 10.1 to the Company’s Current Report on Form 8-K filed on January 15, 2014)</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and Asset Purchase Agreement by and among Medtronic, Inc., Medtronic Xomed Instrumentation, SAS, and Integra LifeSciences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Corporation, dated as of September 12, 2014 (Incorporated by reference to Exhibit 2.1 to the Company's Current Report on Form 8-K</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filed on October 27, 2014)</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Separation and Distribution Agreement between Integra LifeSciences Holdings Corporation and SeaSpine Holdings Corporation, dated as</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 June 30, 2015 (Incorporated by reference to Exhibit 2.1 to the Company’s Current Report on Form 8-K filed on July 7, 2015)</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Agreement and Plan of Merger by and among Integra LifeSciences Corporation, Patriot S1, Inc., TEI Biosciences Inc. and Dr. Yiannis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Monovoukas, dated as of June 26, 2015 (Incorporated by reference to Exhibit 2.1 to the Company's Current Report on Form 8-K filed on</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July 20, 2015)</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Agreement and Plan of Merger by and among Integra LifeSciences Corporation, Patriot S2, Inc., TEI Medical Inc. and Dr. Yiannis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Monovoukas, dated as of June 26, 2015 (Incorporated by reference to Exhibit 2.2 to the Company's Current Report on Form 8-K filed on</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July 20, 2015)</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Agreement and Plan of Merger by and among Integra LifeSciences Holdings Corporation, Integra Derma, Inc., and Derma Sciences, Inc.</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dated as of January 10, 2017 (Incorporated by reference to Exhibit 2.1 to the Company’s Current Report on Form 8-K filed on January 11,</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2017)</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Company dated February 16, 1993 (Incorporated by reference to Exhibit 3.1(a)</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 the Company’s Annual Report on Form 10-K for the year ended December 31, 2005)</w:t>
            </w:r>
          </w:p>
        </w:tc>
      </w:tr>
      <w:tr>
        <w:trPr>
          <w:trHeight w:val="648"/>
        </w:trPr>
        <w:tc>
          <w:tcPr>
            <w:tcW w:w="90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52</w:t>
            </w:r>
          </w:p>
        </w:tc>
      </w:tr>
    </w:tbl>
    <w:p>
      <w:pPr>
        <w:sectPr>
          <w:pgSz w:w="11900" w:h="16838" w:orient="portrait"/>
          <w:cols w:equalWidth="0" w:num="1">
            <w:col w:w="11420"/>
          </w:cols>
          <w:pgMar w:left="240" w:top="117"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 of Amendment to Amended and Restated Certificate of Incorporation of the Company dated May 22, 1998 (Incorporated by</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3.1(b) to the Company’s Annual Report on Form 10-K for the year ended December 31, 1998)</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3.1(c)</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 of Amendment to Amended and Restated Certificate of Incorporation of the Company dated May 17, 1999 (Incorporated by</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to Exhibit 3.1(c) to the Company’s Annual Report on Form 10-K for the year ended December 31, 2004)</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3.1(d)</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 of Amendment to Amended and Restated Certificate of Incorporation of the Company dated December 21, 2016 (Incorporated</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 reference to Exhibit 3.1 to the Company’s Current Report on Form 8-K filed on December 22, 2016)</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 and Restated Bylaws of the Company, effective as of May 17, 2012 (Incorporated by reference to Exhibit 3.2 to the Company’s</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Current Report on Form 8-K filed on April 13, 2012)</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Purchase Agreement, dated June 9, 2011, by and between Integra LifeSciences Holdings Corporation and J.P. Morgan Securities LLC,</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Merrill Lynch, Pierce, Fenner &amp; Smith Incorporated, Morgan Stanley &amp; Co. LLC, Deutsche Bank Securities Inc., RBC Capital Markets,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LLC and Wells Fargo Securities, LLC (Incorporated by reference to Exhibit 4.1 to the Company’s Current Report on Form 8-K filed on</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June 15, 2011)</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Indenture, dated June 15, 2011, by and between Integra LifeSciences Holdings Corporation and Wells Fargo Bank, National Association,</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 trustee (Incorporated by reference to Exhibit 4.2 to the Company’s Current Report on Form 8-K filed on June 15, 2011)</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4.3(a)</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Credit Agreement, dated as of December 22, 2005,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Agents, and Royal Bank of Canada and Wachovia Bank, National Association, as Co-Documentation Agents (Incorporated by reference</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 Exhibit 10.1 to the Company’s Current Report on Form 8-K filed on December 29, 2005)</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4.3(b)</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First Amendment, dated as of February 15, 2006,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Agents, and Royal Bank of Canada and Wachovia Bank, National Association, as Co-Documentation Agents (Incorporated by reference</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 Exhibit 4.3(b) to the Company’s Annual Report on Form 10-K for the year ended December 31, 2005)</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4.3(c)</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Second Amendment, dated as of February 23,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Agents, and Royal Bank of Canada and Wachovia Bank, National Association, as Co-Documentation Agents (Incorporated by reference</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 Exhibit 4.1 to the Company’s Current Report on Form 8-K filed on February 27, 2007)</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4.3(d)</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Third Amendment, dated as of June 4,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 N.A., as Administrative Agent, Swing Line Lender and L/C Issuer, Citibank, N.A., successor by merger to Citibank, FSB,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Syndication Agent and JPMorgan Chase Bank, N.A., Deutsche Bank Trust Company Americas and Royal Bank of Canada, as Co-</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Documentation Agents (Incorporated by reference to Exhibit 4.1 to the Company’s Current Report on Form 8-K filed on June 6, 2007)</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4.3(e)</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Fourth Amendment, dated as of September 5,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 N.A., as Administrative Agent, Swing Line Lender and L/C Issuer, Citibank, N.A., successor by merger to Citibank FSB,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Syndication Agent and JPMorgan Chase Bank, N.A., Deutsche Bank Trust Company Americas and Royal Bank of Canada, as Co-</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Documentation Agents (Incorporated by reference to Exhibit 4.1 to the Company’s Current Report on Form 8-K filed on September 6,</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2007)</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4.3(f)</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 and Restated Credit Agreement, dated as of August 10, 2010, among Integra LifeSciences Holdings Corporation, the lenders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party thereto, Bank of America, N.A., as Administrative Agent, Swing Line Lender and L/C Issuer, JP Morgan Chase Bank,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Syndication Agent, and HSBC Bank USA, NA, RBC Capital Markets, Wells Fargo Bank, N.A., Fifth Third Bank, DNB NOR Bank ASA</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TD Bank, N.A., as Co-Documentation Agents (Incorporated by reference to Exhibit 10.1 to the Company’s Current Report on Form</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8-K filed on August 10, 2010)</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4.3(g)</w:t>
            </w: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 June 8, 2011, among Integra LifeSciences Holdings Corporation, the</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lenders party thereto, Bank of America, N.A. as Administrative Agent, Swing Line Lender and L/C Issuer, JPMorgan Chase Bank N.A. as</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Syndication Agent, and, HSBC Bank USA, NA, Royal Bank of Canada, Wells Fargo Bank, N.A., Fifth Third Bank, DNB NOR Bank</w:t>
            </w:r>
          </w:p>
        </w:tc>
      </w:tr>
      <w:tr>
        <w:trPr>
          <w:trHeight w:val="216"/>
        </w:trPr>
        <w:tc>
          <w:tcPr>
            <w:tcW w:w="900" w:type="dxa"/>
            <w:vAlign w:val="bottom"/>
          </w:tcPr>
          <w:p>
            <w:pPr>
              <w:spacing w:after="0"/>
              <w:rPr>
                <w:sz w:val="18"/>
                <w:szCs w:val="18"/>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ASA, and TD Bank, N.A., as Co-Documentation Agents (Incorporated by reference to Exhibit 4.3 to the Company’s Quarterly Report on</w:t>
            </w:r>
          </w:p>
        </w:tc>
      </w:tr>
      <w:tr>
        <w:trPr>
          <w:trHeight w:val="234"/>
        </w:trPr>
        <w:tc>
          <w:tcPr>
            <w:tcW w:w="900" w:type="dxa"/>
            <w:vAlign w:val="bottom"/>
          </w:tcPr>
          <w:p>
            <w:pPr>
              <w:spacing w:after="0"/>
              <w:rPr>
                <w:sz w:val="20"/>
                <w:szCs w:val="20"/>
                <w:color w:val="auto"/>
              </w:rPr>
            </w:pPr>
          </w:p>
        </w:tc>
        <w:tc>
          <w:tcPr>
            <w:tcW w:w="10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10-Q filed on July 29, 2011)</w:t>
            </w:r>
          </w:p>
        </w:tc>
      </w:tr>
      <w:tr>
        <w:trPr>
          <w:trHeight w:val="648"/>
        </w:trPr>
        <w:tc>
          <w:tcPr>
            <w:tcW w:w="90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53</w:t>
            </w:r>
          </w:p>
        </w:tc>
      </w:tr>
    </w:tbl>
    <w:p>
      <w:pPr>
        <w:sectPr>
          <w:pgSz w:w="11900" w:h="16838" w:orient="portrait"/>
          <w:cols w:equalWidth="0" w:num="1">
            <w:col w:w="11360"/>
          </w:cols>
          <w:pgMar w:left="280" w:top="526" w:right="25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4.3(h)</w:t>
            </w: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First Amendment, dated as of May 11, 2012, to Second Amended and Restated Credit Agreement dated as of June 8, 2011, among Integra</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LifeSciences Holdings Corporation, the lenders party thereto, Bank of America, N.A., as Administrative Agent, Swing Line Lender and</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L/C Issuer, JPMorgan Chase Bank, N.A., as Syndication Agent, and HSBC Bank, NA, Royal Bank of Canada, Wells Fargo Bank, NA,</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Fifth Third Bank, DNB Nor Bank ASA and TD Bank, N.A., as Co-Documentation Agents (Incorporated by reference to Exhibit 4.1 to the</w:t>
            </w:r>
          </w:p>
        </w:tc>
      </w:tr>
      <w:tr>
        <w:trPr>
          <w:trHeight w:val="234"/>
        </w:trPr>
        <w:tc>
          <w:tcPr>
            <w:tcW w:w="920" w:type="dxa"/>
            <w:vAlign w:val="bottom"/>
          </w:tcPr>
          <w:p>
            <w:pPr>
              <w:spacing w:after="0"/>
              <w:rPr>
                <w:sz w:val="20"/>
                <w:szCs w:val="20"/>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Company’s Current Report on Form 8-K filed on May 14, 2012)</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4.3(i)</w:t>
            </w: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Second Amendment, dated as of June 21, 2013, to Second Amended and Restated Credit Agreement dated as of June 8, 2011, among</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Integra LifeSciences Holdings Corporation, the lenders party thereto, Bank of America, N.A., as Administrative Agent, Swing Line</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Lender and L/C Issuer, JPMorgan Chase Bank, N.A., as Syndication Agent, and HSBC Bank USA, National Association, Royal Bank of</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Canada, Wells Fargo Bank, National Association, Fifth Third Bank, DNB Bank ASA and TD Bank, N.A., as Co-Documentation Agents</w:t>
            </w:r>
          </w:p>
        </w:tc>
      </w:tr>
      <w:tr>
        <w:trPr>
          <w:trHeight w:val="234"/>
        </w:trPr>
        <w:tc>
          <w:tcPr>
            <w:tcW w:w="920" w:type="dxa"/>
            <w:vAlign w:val="bottom"/>
          </w:tcPr>
          <w:p>
            <w:pPr>
              <w:spacing w:after="0"/>
              <w:rPr>
                <w:sz w:val="20"/>
                <w:szCs w:val="20"/>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(Incorporated by reference to Exhibit 4.1 to the Company's Current Report on Form 8-K filed on June 24, 2013)</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4.3(j)</w:t>
            </w: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Third Amended and Restated Credit Agreement, dated as of July 2, 2014, among Integra LifeSciences Holdings Corporation, the other</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lenders party hereto, Bank of America, N.A., as Administrative Agent, Swing Line Lender and L/C Issuer, Wells Fargo Bank, National</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Association, as Syndication Agent and HSBC Bank USA, National Association, Royal Bank of Canada, Citizens Bank, National</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Association, DNB Capital LLC, Credit Agricole-Corporate and Investment Bank and TD Bank, N.A., as Co-Documentation Agents</w:t>
            </w:r>
          </w:p>
        </w:tc>
      </w:tr>
      <w:tr>
        <w:trPr>
          <w:trHeight w:val="234"/>
        </w:trPr>
        <w:tc>
          <w:tcPr>
            <w:tcW w:w="920" w:type="dxa"/>
            <w:vAlign w:val="bottom"/>
          </w:tcPr>
          <w:p>
            <w:pPr>
              <w:spacing w:after="0"/>
              <w:rPr>
                <w:sz w:val="20"/>
                <w:szCs w:val="20"/>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(Incorporated by reference to Exhibit 4.1 to the Company's Current Report on Form 8-K filed on July 9, 2014)</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4.3(k)</w:t>
            </w: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First Amendment, dated as of December 19, 2014, to that Third Amended and Restated Credit Agreement, among Integra LifeSciences</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Holdings Corporation, a syndicate of lending banks, Bank of America, N.A., as Administrative Agent, Swing Line Lender and L/C Issuer,</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Wells Fargo Bank, National Association, as Syndication Agent, and HSBC Bank USA, National Association, Royal Bank of Canada,</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Citizens Bank, National Association, DNB Capital LLC, Crédit Agricole-Corporate and Investment Bank, and TD Bank, N.A., as Co-</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Documentation Agents (Incorporated by reference to Exhibit 4.1 to the Company's Current Report on Form 8-K filed on December 29,</w:t>
            </w:r>
          </w:p>
        </w:tc>
      </w:tr>
      <w:tr>
        <w:trPr>
          <w:trHeight w:val="234"/>
        </w:trPr>
        <w:tc>
          <w:tcPr>
            <w:tcW w:w="920" w:type="dxa"/>
            <w:vAlign w:val="bottom"/>
          </w:tcPr>
          <w:p>
            <w:pPr>
              <w:spacing w:after="0"/>
              <w:rPr>
                <w:sz w:val="20"/>
                <w:szCs w:val="20"/>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2014)</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4.3(l)</w:t>
            </w: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Second Amendment, dated August 28, 2015, to that Third Amended and Restated Credit Agreement, among Integra LifeSciences</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Holdings Corporation, a syndicate of lending banks, Bank of America, N.A., as Administrative Agent, Swing Line Lender and L/C Issuer,</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Wells Fargo Bank, National Association, as Syndication Agent, and HSBC Bank USA, National Association, Royal Bank of Canada,</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Citizens Bank, National Association, DNB Capital LLC, Crédit Agricole-Corporate and Investment Bank and TD Bank, N.A., as Co-</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Documentation Agents (Incorporated by reference to Exhibit 4.1 to the Company’s Current Report on Form 8-K filed on September 1,</w:t>
            </w:r>
          </w:p>
        </w:tc>
      </w:tr>
      <w:tr>
        <w:trPr>
          <w:trHeight w:val="234"/>
        </w:trPr>
        <w:tc>
          <w:tcPr>
            <w:tcW w:w="920" w:type="dxa"/>
            <w:vAlign w:val="bottom"/>
          </w:tcPr>
          <w:p>
            <w:pPr>
              <w:spacing w:after="0"/>
              <w:rPr>
                <w:sz w:val="20"/>
                <w:szCs w:val="20"/>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2015)</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4.3(m)</w:t>
            </w: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Fourth Amended and Restated Credit Agreement, dated as of December 7, 2016, among Integra LifeSciences Holdings Corporation, the</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lenders party hereto, Bank of America, N.A., as Administrative Agent, Swing Line Lender and L/C Issuer, Securities, LLC, Citizens</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Bank, N.A., DNB Capital LLC, HSBC Bank PLC, HSBC Bank USA. N.A., The Bank of Tokyo-Mitsubishi UFJ, LTD., PNC Bank, N.A.,</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Royal Bank of Canada, SunTrust Bank, TD Bank, N.A., JPMorgan and Chase Bank, N.A., Mizuho Bank, LTD., and Bank of Nova Scotia,</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Co-Documentation Agents (Incorporated by reference to Exhibit 4.1 to the Company’s Current Report on Form 8-K filed on December</w:t>
            </w:r>
          </w:p>
        </w:tc>
      </w:tr>
      <w:tr>
        <w:trPr>
          <w:trHeight w:val="234"/>
        </w:trPr>
        <w:tc>
          <w:tcPr>
            <w:tcW w:w="920" w:type="dxa"/>
            <w:vAlign w:val="bottom"/>
          </w:tcPr>
          <w:p>
            <w:pPr>
              <w:spacing w:after="0"/>
              <w:rPr>
                <w:sz w:val="20"/>
                <w:szCs w:val="20"/>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7, 2016)</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Security Agreement, dated as of December 22, 2005, among Integra LifeSciences Holdings Corporation and the additional grantors party</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thereto in favor of Bank of America, N.A., as administrative and collateral agent (Incorporated by reference to Exhibit 4.4 to the</w:t>
            </w:r>
          </w:p>
        </w:tc>
      </w:tr>
      <w:tr>
        <w:trPr>
          <w:trHeight w:val="234"/>
        </w:trPr>
        <w:tc>
          <w:tcPr>
            <w:tcW w:w="920" w:type="dxa"/>
            <w:vAlign w:val="bottom"/>
          </w:tcPr>
          <w:p>
            <w:pPr>
              <w:spacing w:after="0"/>
              <w:rPr>
                <w:sz w:val="20"/>
                <w:szCs w:val="20"/>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2005)</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Pledge Agreement, dated as of December 22, 2005, among Integra LifeSciences Holdings Corporation and the additional grantors party</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thereto in favor of Bank of America, N.A., as administrative and collateral agent (Incorporated by reference to Exhibit 4.5 to the</w:t>
            </w:r>
          </w:p>
        </w:tc>
      </w:tr>
      <w:tr>
        <w:trPr>
          <w:trHeight w:val="234"/>
        </w:trPr>
        <w:tc>
          <w:tcPr>
            <w:tcW w:w="920" w:type="dxa"/>
            <w:vAlign w:val="bottom"/>
          </w:tcPr>
          <w:p>
            <w:pPr>
              <w:spacing w:after="0"/>
              <w:rPr>
                <w:sz w:val="20"/>
                <w:szCs w:val="20"/>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2005)</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Subsidiary Guaranty Agreement, dated as of December 22, 2005, among the guarantors party thereto and individually as a “Guarantor”),</w:t>
            </w:r>
          </w:p>
        </w:tc>
      </w:tr>
      <w:tr>
        <w:trPr>
          <w:trHeight w:val="216"/>
        </w:trPr>
        <w:tc>
          <w:tcPr>
            <w:tcW w:w="920" w:type="dxa"/>
            <w:vAlign w:val="bottom"/>
          </w:tcPr>
          <w:p>
            <w:pPr>
              <w:spacing w:after="0"/>
              <w:rPr>
                <w:sz w:val="18"/>
                <w:szCs w:val="18"/>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 favor of Bank of America, N.A., as administrative and collateral agent (Incorporated by reference to Exhibit 4.6 to the Company’s</w:t>
            </w:r>
          </w:p>
        </w:tc>
      </w:tr>
      <w:tr>
        <w:trPr>
          <w:trHeight w:val="234"/>
        </w:trPr>
        <w:tc>
          <w:tcPr>
            <w:tcW w:w="920" w:type="dxa"/>
            <w:vAlign w:val="bottom"/>
          </w:tcPr>
          <w:p>
            <w:pPr>
              <w:spacing w:after="0"/>
              <w:rPr>
                <w:sz w:val="20"/>
                <w:szCs w:val="20"/>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2005)</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Indenture, dated June 11, 2007, among Integra LifeSciences Holdings Corporation, Integra LifeSciences Corporation and Wells Fargo</w:t>
            </w:r>
          </w:p>
        </w:tc>
      </w:tr>
      <w:tr>
        <w:trPr>
          <w:trHeight w:val="234"/>
        </w:trPr>
        <w:tc>
          <w:tcPr>
            <w:tcW w:w="920" w:type="dxa"/>
            <w:vAlign w:val="bottom"/>
          </w:tcPr>
          <w:p>
            <w:pPr>
              <w:spacing w:after="0"/>
              <w:rPr>
                <w:sz w:val="20"/>
                <w:szCs w:val="20"/>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Bank, N.A., as trustee (Incorporated by reference to Exhibit 4.1 to the Company’s Current Report on Form 8-K filed on June 12, 2007)</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of 2.75% Senior Convertible Note due 2010 (included in Exhibit 4.8) (Incorporated by reference to Exhibit B to Exhibit 4.1 to the</w:t>
            </w:r>
          </w:p>
        </w:tc>
      </w:tr>
      <w:tr>
        <w:trPr>
          <w:trHeight w:val="234"/>
        </w:trPr>
        <w:tc>
          <w:tcPr>
            <w:tcW w:w="920" w:type="dxa"/>
            <w:vAlign w:val="bottom"/>
          </w:tcPr>
          <w:p>
            <w:pPr>
              <w:spacing w:after="0"/>
              <w:rPr>
                <w:sz w:val="20"/>
                <w:szCs w:val="20"/>
                <w:color w:val="auto"/>
              </w:rPr>
            </w:pPr>
          </w:p>
        </w:tc>
        <w:tc>
          <w:tcPr>
            <w:tcW w:w="10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Company’s Current Report on Form 8-K filed on June 12, 2007)</w:t>
            </w:r>
          </w:p>
        </w:tc>
      </w:tr>
      <w:tr>
        <w:trPr>
          <w:trHeight w:val="648"/>
        </w:trPr>
        <w:tc>
          <w:tcPr>
            <w:tcW w:w="920" w:type="dxa"/>
            <w:vAlign w:val="bottom"/>
          </w:tcPr>
          <w:p>
            <w:pPr>
              <w:spacing w:after="0"/>
              <w:rPr>
                <w:sz w:val="24"/>
                <w:szCs w:val="24"/>
                <w:color w:val="auto"/>
              </w:rPr>
            </w:pPr>
          </w:p>
        </w:tc>
        <w:tc>
          <w:tcPr>
            <w:tcW w:w="1044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54</w:t>
            </w:r>
          </w:p>
        </w:tc>
      </w:tr>
    </w:tbl>
    <w:p>
      <w:pPr>
        <w:sectPr>
          <w:pgSz w:w="11900" w:h="16838" w:orient="portrait"/>
          <w:cols w:equalWidth="0" w:num="1">
            <w:col w:w="11360"/>
          </w:cols>
          <w:pgMar w:left="280" w:top="526" w:right="25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Indenture, dated June 11, 2007, among Integra LifeSciences Holdings Corporation, Integra LifeSciences Corporation and Wells Fargo</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Bank, N.A., as trustee (Incorporated by reference to Exhibit 4.3 to the Company’s Current Report on Form 8-K filed on June 12, 2007)</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Form of 2.375% Senior Convertible Note due 2012 (included in Exhibit 4.10) (Incorporated by reference to Exhibit B to Exhibit 4.3 to the</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Company’s Current Report on Form 8-K filed on June 12, 2007)</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Registration Rights Agreement, dated June 11, 2007, among Integra LifeSciences Holdings Corporation, Banc of America Securities</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LLC, J.P. Morgan Securities Inc. and Morgan Stanley &amp; Co., Incorporated, as representatives of the several initial purchasers</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(Incorporated by reference to Exhibit 4.5 to the Company’s Current Report on Form 8-K filed on June 12, 2007)</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Registration Rights Agreement, dated June 11, 2007, among Integra LifeSciences Holdings Corporation, Banc of America Securities</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LLC, J.P. Morgan Securities Inc. and Morgan Stanley &amp; Co., Incorporated, as representatives of the several initial purchasers</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(Incorporated by reference to Exhibit 4.6 to the Company’s Current Report on Form 8-K filed on June 12, 2007)</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10.1(a)</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 between Plainsboro Associates and American Biomaterials Corporation dated as of April 16, 1985, as assigned to Colla-Tec, Inc.</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on September 30, 1988 and as amended on November 1, 1992 as Lease Modification #1 (Incorporated by reference to Exhibit 10.30 to the</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Company’s Registration Statement on Form 10/A (File No. 0-26224) which became effective on August 8, 1995)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10.1(b)</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 Modification #2 entered into as of October 28, 2005, by and between Plainsboro Associates and Integra LifeSciences Corporation</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 on November 2, 2005)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 Modification #3 entered into as of March 2, 2011, by and between Plainsboro Associates and Integra LifeSciences Corporation</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 on March 3, 2011)</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 (a)</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Equipment Lease Agreement between Medicus Corporation and the Company, dated as of June 1, 2000 (Incorporated by reference to</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Exhibit 10.1 to the Company’s Quarterly Report on Form 10-Q for the quarter ended June 30, 2000)</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10.2(b)</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First Amendment to Equipment Lease Agreement between Medicus Corporation and the Company, dated as of June 29, 2010</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(Incorporated by reference to Exhibit 10.2 to the Company’s Quarterly Report on Form 10-Q for the quarter ended June 30, 2010)</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10.3(a)</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Indemnification Agreement between the Company and [ ] dated August 16, 1995, including a schedule identifying the</w:t>
            </w:r>
          </w:p>
        </w:tc>
      </w:tr>
      <w:tr>
        <w:trPr>
          <w:trHeight w:val="216"/>
        </w:trPr>
        <w:tc>
          <w:tcPr>
            <w:tcW w:w="960" w:type="dxa"/>
            <w:vAlign w:val="bottom"/>
          </w:tcPr>
          <w:p>
            <w:pPr>
              <w:spacing w:after="0"/>
              <w:rPr>
                <w:sz w:val="18"/>
                <w:szCs w:val="18"/>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individuals that are a party to such Indemnification Agreements (Incorporated by reference to Exhibit 10.37 to the Company’s</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Registration Statement on Form S-1 (File No. 33-98698) which became effective on January 24, 1996)*</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10.3(b)</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Indemnification Agreement for Non-Employee Directors and Officers (Incorporated by reference to Exhibit 10.1 to the</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Company’s Current Report on Form 8-K filed on December 24, 2008)*</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1996 Incentive Stock Option and Non-Qualified Stock Option Plan (as amended through December 27, 1997) (Incorporated by reference</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 Exhibit 10.4 to the Company’s Current Report on Form 8-K filed on February 3, 1998)*</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1998 Stock Option Plan (amended and restated as of July 26, 2005) (Incorporated by reference to Exhibit 10.3 to the Company’s</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2005)*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1999 Stock Option Plan (amended and restated as of July 26, 2005) (Incorporated by reference to Exhibit 10.4 to the Company’s</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2005)*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10.7(a)</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Stock Purchase Plan (as amended on May 17, 2004) (Incorporated by reference to Exhibit 4.1 to the Company’s Registration</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Statement on Form S-8 (Registration No. 333-127488) filed on August 12, 2005)*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10.7(b)</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First Amendment to Employee Stock Purchase Plan, dated October 26, 2005 (Incorporated by reference to Exhibit 10.1 to the Company’s</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Report on Form 8-K filed on November 1, 2005)*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10.8(a)</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2000 Equity Incentive Plan (amended and restated as of July 26, 2005) (Incorporated by reference to Exhibit 10.5 to the Company’s</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2005)*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10.8(b)</w:t>
            </w: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Amendment to 2000 Equity Incentive Plan (effective as of May 17, 2012) (Incorporated by reference to Exhibit 10.7 to the Company’s</w:t>
            </w:r>
          </w:p>
        </w:tc>
      </w:tr>
      <w:tr>
        <w:trPr>
          <w:trHeight w:val="234"/>
        </w:trPr>
        <w:tc>
          <w:tcPr>
            <w:tcW w:w="960" w:type="dxa"/>
            <w:vAlign w:val="bottom"/>
          </w:tcPr>
          <w:p>
            <w:pPr>
              <w:spacing w:after="0"/>
              <w:rPr>
                <w:sz w:val="20"/>
                <w:szCs w:val="20"/>
                <w:color w:val="auto"/>
              </w:rPr>
            </w:pPr>
          </w:p>
        </w:tc>
        <w:tc>
          <w:tcPr>
            <w:tcW w:w="10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2012)*</w:t>
            </w:r>
          </w:p>
        </w:tc>
      </w:tr>
      <w:tr>
        <w:trPr>
          <w:trHeight w:val="648"/>
        </w:trPr>
        <w:tc>
          <w:tcPr>
            <w:tcW w:w="960" w:type="dxa"/>
            <w:vAlign w:val="bottom"/>
          </w:tcPr>
          <w:p>
            <w:pPr>
              <w:spacing w:after="0"/>
              <w:rPr>
                <w:sz w:val="24"/>
                <w:szCs w:val="24"/>
                <w:color w:val="auto"/>
              </w:rPr>
            </w:pPr>
          </w:p>
        </w:tc>
        <w:tc>
          <w:tcPr>
            <w:tcW w:w="1040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55</w:t>
            </w:r>
          </w:p>
        </w:tc>
      </w:tr>
    </w:tbl>
    <w:p>
      <w:pPr>
        <w:sectPr>
          <w:pgSz w:w="11900" w:h="16838" w:orient="portrait"/>
          <w:cols w:equalWidth="0" w:num="1">
            <w:col w:w="11360"/>
          </w:cols>
          <w:pgMar w:left="280" w:top="526" w:right="25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to 2000 Equity Incentive Plan (effective as of January 1, 2013) (Incorporated by reference to Exhibit 10.8(c)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2001 Equity Incentive Plan (amended and restated as of July 26, 2005) (Incorporated by reference to Exhibit 10.6 to the Company’s</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2005)*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to 2001 Equity Incentive Plan (effective as of May 17, 2012) (Incorporated by reference to Exhibit 10.8 to the Company’s</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to 2001 Equity Incentive Plan (effective as of January 1, 2013) (Incorporated by reference to Exhibit 10.9(c)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Second Amended and Restated 2003 Equity Incentive Plan effective May 19, 2010 (Incorporated by reference to Exhibit 10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May 21,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to the Second Amended and Restated 2003 Equity Incentive Plan effective May 17, 2012 (Incorporated by reference to</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10.9 to the Company’s Quarterly Report on Form 10-Q for the quarter ended June 30,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to the Second Amended and Restated 2003 Equity Incentive Plan effective January 1, 2013 (Incorporated by reference to</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10.4 to the Company’s Quarterly Report on Form 10-Q for the quarter ended March 31,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10.10(d)</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Third Amended and Restated 2003 Equity Incentive Plan effective May 22, 2015 (Incorporated by reference to Exhibit 10.1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on May 29, 2015)*</w:t>
            </w:r>
          </w:p>
        </w:tc>
      </w:tr>
      <w:tr>
        <w:trPr>
          <w:trHeight w:val="6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Second Amended and Restated Employment Agreement dated July 27, 2004 between the Company and Stuart M. Essig (Incorporated by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10.1 to the Company’s Quarterly Report on Form 10-Q for the quarter ended September 30,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2006-1, dated as of December 19, 2006, to the Second Amended and Restated Employment Agreement, between the</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and Stuart M. Essig (Incorporated by reference to Exhibit 10.1 to the Company’s Current Report on Form 8-K filed on</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22, 2006)*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2008-1, dated as of March 6, 2008, to the Second Amended and Restated Employment Agreement, between the Company</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Stuart M. Essig (Incorporated by reference to Exhibit 10.12(c) to the Company’s Annual Report on Form 10-K for the year ended</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2007)*</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10.11(d)</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2008-2, dated as of August 6, 2008, to the Second Amended and Restated Employment Agreement between Stuart M. Essig</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the Company (Incorporated by reference to Exhibit 10.7 to the Company’s Quarterly Report on Form 10-Q for the quarter ended June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30,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10.11(e)</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2009-1, dated as of April 13, 2009, to the Second Amended and Restated Employment Agreement between Stuart M. Essig</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the Company (Incorporated by reference to Exhibit 10.2 to the Company’s Current Report on Form 8-K filed on April 13, 2009)*</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10.11(f)</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Agreement dated May 17, 2011 between the Company and Stuart M. Essig (Incorporated by reference to Exhibit 10.1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May 23,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10.11(g)</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dated December 20, 2011 from Stuart M. Essig to the Company (Incorporated by reference to Exhibit 10.3 to the Company’s</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Report on Form 8-K filed December 23,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10.11(h)</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Agreement dated June 7, 2012 between Stuart M. Essig and the Company (Incorporated by reference to Exhibit 10.1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on June 7,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Indemnity letter agreement dated December 27, 1997 from the Company to Stuart M. Essig (Incorporated by reference to Exhibit 10.5 to</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Company’s Current Report on Form 8-K filed on February 3, 1998)*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Registration Rights Provisions for Stuart M. Essig (Incorporated by reference to Exhibit B of Exhibit 10.1 to the Company’s Current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Report on Form 8-K filed on February 3, 1998)*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Registration Rights Provisions for Stuart M. Essig (Incorporated by reference to Exhibit 10.2 to the Company’s Current Report on Form</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8-K filed on January 8, 2001)*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Registration Rights Provisions for Stuart M. Essig (Incorporated by reference to Exhibit B of Exhibit 10.1 to the Company’s Quarterly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Report on Form 10-Q for the quarter ended September 30, 2004)*</w:t>
            </w:r>
          </w:p>
        </w:tc>
      </w:tr>
    </w:tbl>
    <w:p>
      <w:pPr>
        <w:spacing w:after="0" w:line="200" w:lineRule="exact"/>
        <w:rPr>
          <w:sz w:val="20"/>
          <w:szCs w:val="20"/>
          <w:color w:val="auto"/>
        </w:rPr>
      </w:pPr>
    </w:p>
    <w:p>
      <w:pPr>
        <w:sectPr>
          <w:pgSz w:w="11900" w:h="16838" w:orient="portrait"/>
          <w:cols w:equalWidth="0" w:num="1">
            <w:col w:w="11360"/>
          </w:cols>
          <w:pgMar w:left="280" w:top="526" w:right="259" w:bottom="1440" w:gutter="0" w:footer="0" w:header="0"/>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60"/>
          </w:cols>
          <w:pgMar w:left="280" w:top="526" w:right="25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Amended and Restated 2005 Employment Agreement between John B. Henneman, III and the Company dated December 19, 2005</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10.16 to the Company’s Annual Report on Form 10-K for the year ended December 31, 2005)*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2008-1, dated as of January 2, 2008,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Henneman, III and the Company (Incorporated by reference to Exhibit 10.15(b) to the Company’s Annual Report on Form 10-K for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year ended December 31, 2007)*</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2008-2, dated as of December 18, 2008,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Henneman, III and the Company (Incorporated by reference to Exhibit 10.2 to the Company’s Current Report on Form 8-K filed on</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24,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10.14(d)</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2009-1, dated as of April 13, 2009,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Henneman, III and the Company (Incorporated by reference to Exhibit 10.5 to the Company’s Current Report on Form 8-K filed on April</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 2009)*</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10.14(e)</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2010-1, dated as of October 12, 2010,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Henneman, III and the Company (Incorporated by reference to Exhibit 10.3 to the Company’s Current Report on Form 8-K filed October</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12,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10.14(f)</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dated as of February 22, 2012 from John B. Henneman, III to the Company (Incorporated by reference to Exhibit 10.1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February 22,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10.14(g)</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Second Amended and Restated 2005 Employment Agreement between the Company and John B. Henneman, III (Incorporated by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May 23, 2014)*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Consulting Agreement, dated October 12, 2010, between the Company and Inception Surgical (Incorporated by reference to Exhibit 10.1</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the Company’s Current Report on Form 8-K filed on October 12,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Severance Agreement between Richard D. Gorelick and the Company dated as of January 3, 2012 (Incorporated by reference to Exhibit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10.10 to the Company’s Quarterly Report on Form 10-Q for the quarter ended March 31,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Severance Agreement between Judith O’Grady and the Company dated as of January 4, 2010 (Incorporated by reference to Exhibit 10.17</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the Company’s Annual Report on Form 10-K for the year ended December 31, 2009)*</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Severance Agreement between Judith O’Grady and the Company dated as of January 3, 2011 (Incorporated by reference to Exhibit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10.17(a) to the Company’s Annual Report on Form 10-K for the year ended December 31,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Severance Agreement between Judith O’Grady and the Company dated as of January 3, 2012 (Incorporated by reference to Exhibit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10.16(c) to the Company’s Annual Report on Form 10-K for the year ended December 31,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10.18(a)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Employment Agreement, dated as of October 12, 2010, between Peter J. Arduini and the Company (Incorporated by reference to Exhibit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10.2 to the Company’s Current Report on Form 8-K filed October 12,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10.18(b)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Amended and Restated Employment Agreement dated December 20, 2011 between Peter J. Arduini and the Company (Incorporated by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December 23,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10.18(c)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Second Amended and Restated Employment Agreement between the Company and Peter J. Arduini (Incorporated by reference to Exhibit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 to the Company's Current Report on Form 8-K filed on June 20, 2014)*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Notice of Stock Option Grant with Eight-Year Term for Peter J. Arduini (Incorporated by reference to Exhibit 10.2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December 23,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Agreement dated February 19, 2013 between Peter J. Arduini and Integra LifeSciences Holdings Corporation (Incorporated by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February 25,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 Contract, dated April 1, 2005, between the Puerto Rico Industrial Development Company and Integra CI, Inc. (executed 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September 15, 2006) (Incorporated by reference to Exhibit 10.3 to the Company’s Quarterly Report on Form 10-Q for the quarter ended</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September 30, 2006)</w:t>
            </w:r>
          </w:p>
        </w:tc>
      </w:tr>
    </w:tbl>
    <w:p>
      <w:pPr>
        <w:spacing w:after="0" w:line="200" w:lineRule="exact"/>
        <w:rPr>
          <w:sz w:val="20"/>
          <w:szCs w:val="20"/>
          <w:color w:val="auto"/>
        </w:rPr>
      </w:pPr>
    </w:p>
    <w:p>
      <w:pPr>
        <w:sectPr>
          <w:pgSz w:w="11900" w:h="16838" w:orient="portrait"/>
          <w:cols w:equalWidth="0" w:num="1">
            <w:col w:w="11360"/>
          </w:cols>
          <w:pgMar w:left="280" w:top="526" w:right="259" w:bottom="1440" w:gutter="0" w:footer="0" w:header="0"/>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60"/>
          </w:cols>
          <w:pgMar w:left="280" w:top="526" w:right="25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to Lease Contract dated as of November 2, 2011, between Integra CI, Inc. and Puerto Rico Industrial Development Company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 on November 7,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Termination of Amendment to Lease Contract, dated as of April 2, 2012, between Integra CI, Inc. and Puerto Rico Industrial</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Development Company (Incorporated by reference to Exhibit 10.2 to the Company’s Quarterly Report on Form 10-Q for the quarter</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ended March 31,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Units Agreement dated December 27, 1997 between the Company and Stuart M. Essig (Incorporated by reference to Exhibit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10.3 to the Company’s Current Report on Form 8-K filed on February 3, 1998)*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 Grant and Agreement pursuant to 1999 Stock Option Plan dated December 22, 2000 between the Company and Stuart M.</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Essig (Incorporated by reference to Exhibit 4.1 to the Company’s Current Report on Form 8-K filed on January 8, 2001)*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 Grant and Agreement pursuant to 2000 Equity Incentive Plan dated December 22, 2000 between the Company and Stuart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 Essig (Incorporated by reference to Exhibit 4.2 to the Company’s Current Report on Form 8-K filed on January 8, 2001)*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10.25(a)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Units Agreement dated December 22, 2000 between the Company and Stuart M. Essig (Incorporated by reference to Exhibit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4.3 to the Company’s Current Report on Form 8-K filed on January 8, 2001)*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10.25(b)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2006-1, dated as of October 30, 2006, to the Stuart M. Essig Restricted Units Agreement dated as of December 22, 2000</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 on November 3, 2006)*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 Grant and Agreement pursuant to 2003 Equity Incentive Plan dated July 27, 2004 between the Company and Stuart M.</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Essig (Incorporated by reference to Exhibit 10.30 to the Company’s Annual Report on Form 10-K for the year ended December 31,</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 Stock/Restricted Units Agreement pursuant to 2003 Equity Incentive Plan dated July 27, 2004 between the Company and Stuart</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 Essig (Incorporated by reference to Exhibit 10.31 to the Company’s Annual Report on Form 10-K for the year ended December 31,</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2006-1, dated as of October 30, 2006, to the Stuart M. Essig Contract Stock/Restricted Units Agreement dated as of July 27,</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2004 (Incorporated by reference to Exhibit 10.2 to the Company’s Current Report on Form 8-K filed on November 3, 2006)*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2008-1, dated as of March 6, 2008, to the Stuart M. Essig Contract Stock/Restricted Units Agreement dated as of July 27,</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2004 (Incorporated by reference to Exhibit 10.25(c) to the Company’s Annual Report on Form 10-K for the year ended December 31,</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2007)*</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10.27(d)</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2011-1, dated as of May 17, 2011, to the Stuart M. Essig Contract Stock/Restricted Units Agreement dated as of July 24,</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2004 (Incorporated by reference to Exhibit 10.6 to the Company’s Quarterly Report on Form 10-Q for the quarter ended June 30,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 Stock/Units Agreement dated as of May 17, 2011 between the Company and Stuart M. Essig (Incorporated by reference to</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10.2 to the Company’s Current Report on Form 8-K filed on</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23,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Amendment 2011-1 to Contract Stock/Restricted Units Agreements between the Company and Mr. Essig (Incorporated by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10.5 to the Company’s Quarterly Report on Form 10-Q for the quarter ended June 30,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Stock Option Grant and Agreement between the Company and Stuart M. Essig (Incorporated by reference to Exhibit 10.32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10.31(a)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Contract Stock/Restricted Units Agreement for Stuart M. Essig (Incorporated by reference to Exhibit 10.8 to the Company’s</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10.31(b)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Form of Contract Stock/Restricted Units Agreement (for Annual Equity Awards) for Stuart M. Essig (Incorporated by reference to</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10.28(b) to the Company’s Annual Report on Form 10-K for the year ended December 31,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10.31(c)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Amendment 2011-1 to Contract Stock/Restricted Units Agreement between the Company and Mr. Essig (Incorporated by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10.4 to the Company’s Quarterly Report on Form 10-Q for the quarter ended June 30, 2011)*</w:t>
            </w:r>
          </w:p>
        </w:tc>
      </w:tr>
    </w:tbl>
    <w:p>
      <w:pPr>
        <w:spacing w:after="0" w:line="200" w:lineRule="exact"/>
        <w:rPr>
          <w:sz w:val="20"/>
          <w:szCs w:val="20"/>
          <w:color w:val="auto"/>
        </w:rPr>
      </w:pPr>
    </w:p>
    <w:p>
      <w:pPr>
        <w:sectPr>
          <w:pgSz w:w="11900" w:h="16838" w:orient="portrait"/>
          <w:cols w:equalWidth="0" w:num="1">
            <w:col w:w="11360"/>
          </w:cols>
          <w:pgMar w:left="280" w:top="526" w:right="259" w:bottom="1440" w:gutter="0" w:footer="0" w:header="0"/>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60"/>
          </w:cols>
          <w:pgMar w:left="280" w:top="526" w:right="25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Performance Stock Agreement for Stuart M. Essig (Incorporated by reference to Exhibit 10.9 to the Company’s Quarterly Report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Form 10-Q for the quarter ended June 30,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Restricted Stock Agreement for Stuart M. Essig for 2009 (Incorporated by reference to Exhibit 10.3 to the Company’s Current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Report on Form 8-K filed April 13, 2009)*</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10.34(a)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Performance Stock Agreement (Executive Officers) (Incorporated by reference to Exhibit 10.2 to the Company's Current Report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Form 8-K filed on February 25,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10.34(b)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Performance Stock Agreement (Executive Officers) (Incorporated by reference to Exhibit 10.1 to the Company’s Current Report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Form 8-K filed on February 29, 2016)*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10.34(c)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Performance Stock Agreement for Peter J. Arduini (Incorporated by reference to Exhibit 10.2 to the Company’s Report on Form</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8-K filed on February 29, 2016)*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Performance Incentive Compensation Plan effective January 1, 2013 (Incorporated by reference to Exhibit 10.3 to the Company’s</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Form of Contract Stock/Restricted Units Agreement pursuant to 2003 Equity Incentive Plan (for 2011) Annual Equity Award for</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Stuart M. Essig) (Incorporated by reference to Exhibit 10.3 to the Company’s Quarterly Report on Form 10-Q for the quarter ended June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30,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Notice of Grant of Stock Option and Stock Option Agreement (Incorporated by reference to Exhibit 10.1 to the Company’s</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Report on Form 8-K filed on July 29, 2005)*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Non-Qualified Stock Option Agreement (Non-Directors) (Incorporated by reference to Exhibit 10.35 to the Company’s Annual</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Report on Form 10-K for the year ended December 31,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Incentive Stock Option Agreement (Incorporated by reference to Exhibit 10.36 to the Company’s Annual Report on Form 10-K</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the year ended December 31,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Form of Non-Qualified Stock Option Agreement (Directors) (Incorporated by reference to Exhibit 10.37 to the Company’s Annual Report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Form 10-K for the year ended December 31,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Stock Option Agreement (Executive Officers) (Incorporated by reference to Exhibit 10.1 to the Company’s Quarterly Report on</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10-Q for the quarter ended March 31, 2015)*</w:t>
            </w:r>
          </w:p>
        </w:tc>
      </w:tr>
      <w:tr>
        <w:trPr>
          <w:trHeight w:val="6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Stock Option Agreement for Glenn Coleman (Incorporated by reference to Exhibit 10.2 to the Company’s Quarterly Report on</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10-Q for the quarter ended March 31, 2015)*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 and General Release by and between Robert Paltridge and Integra LifeSciences Corporation (Incorporated by reference to</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10.1 to the Company’s Quarterly Report on Form 10-Q for the quarter ended March 31, 2015)*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10.44(a)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Change in Control Severance Agreement (Incorporated by reference to Exhibit 10.1 to the Company's Current Report on Form 8-</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 filed on May 1, 2014)*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10.44(b)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Change in Control Severance Agreement (Incorporated by reference to Exhibit 10.1 to the Company's Current Report on Form 8-</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 filed on January 30, 2015)*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10.44(c)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Form of Change in Control Severance Agreement (Incorporated by reference to Exhibit 10.1 to the Company’s Current Report on Form 8-</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 filed on February 3, 2016)*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10.45(a)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of Directors of the Company effective May 17, 2011 (Incorporated by reference to Exhibit 10.1 to the Company’s Current</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Report on Form 8-K filed on December 16,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10.45(b)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of Non-Employee Directors of the Company effective May 17, 2012 (Incorporated by reference to Exhibit 10.1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on April 13,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10.45(c)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of Non-Employee Directors of the Company effective May 22, 2013 (Incorporated by reference to Exhibit 10.1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on December 14,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10.45(d)</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of Non-Employee Directors of the Company effective July 24, 2013 (Incorporated by reference to Exhibit 10.1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on July 29,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10.45(e)</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of Non-Employee Directors of the Company effective May 22, 2015 (Incorporated by reference to Exhibit 10.1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on December 18, 2014)*</w:t>
            </w:r>
          </w:p>
        </w:tc>
      </w:tr>
    </w:tbl>
    <w:p>
      <w:pPr>
        <w:spacing w:after="0" w:line="200" w:lineRule="exact"/>
        <w:rPr>
          <w:sz w:val="20"/>
          <w:szCs w:val="20"/>
          <w:color w:val="auto"/>
        </w:rPr>
      </w:pPr>
    </w:p>
    <w:p>
      <w:pPr>
        <w:sectPr>
          <w:pgSz w:w="11900" w:h="16838" w:orient="portrait"/>
          <w:cols w:equalWidth="0" w:num="1">
            <w:col w:w="11360"/>
          </w:cols>
          <w:pgMar w:left="280" w:top="526" w:right="259" w:bottom="630" w:gutter="0" w:footer="0" w:header="0"/>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60"/>
          </w:cols>
          <w:pgMar w:left="280" w:top="526" w:right="259" w:bottom="63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10.45(f)</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of Non-Employee Directors of the Company effective May 24, 2016 (Incorporated by reference to Exhibit 10.1 to the</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December 17, 2015)*</w:t>
            </w:r>
          </w:p>
        </w:tc>
      </w:tr>
      <w:tr>
        <w:trPr>
          <w:trHeight w:val="6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10.46(a)</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Non-Employee Directors under the 2003 Equity Incentive Plan (Incorporated by reference to</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10.4 to the Company’s Quarterly Report on Form 10-Q for the quarter ended June 30, 2012)*</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10.46(b)</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Form of Restricted Stock Agreement for Non-Employee Directors under the 2003 Equity Incentive Plan (Incorporated by reference</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Exhibit 10.38(b) to the Company’s Annual Report on Form 10-K for the year ended December 31, 2012)*</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10.46(c)</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Form of Restricted Stock Agreement for Executive Officers - Annual Vesting (Incorporated by reference to Exhibit 10.1 to the Company’s</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Report on Form 8-K filed on February 25, 2009)*</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10.46(d)</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Form of Restricted Stock Agreement for Executive Officers - Annual Vesting (Incorporated by reference to Exhibit 10.5 to the Company’s</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2012)*</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10.46(e)</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Form of Restricted Stock Agreement for Executive Officers - Annual Vesting (Incorporated by reference to Exhibit 10.38(e) to the</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2012)*</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10.46(f)</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Executive Officers - Cliff Vesting (Incorporated by reference to Exhibit 10.8 to the Company’s</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 Report on Form 10-Q for the quarter ended March 31, 2009)*</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10.46(g)</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Executive Officers - Cliff Vesting (Incorporated by reference to Exhibit 10.6 to the Company’s</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2012)*</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10.46(h)</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Form of Restricted Stock Agreement for Executive Officers - Cliff Vesting (Incorporated by reference to Exhibit 10.38(h) to the</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2012)*</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10.46(i)</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Mr. Henneman for 2008 and 2009 (Incorporated by reference to Exhibit 10.6 to the Company’s</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Report on Form 8-K filed on April 13, 2009)*</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10.46(j)</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Form of Contract Stock/Restricted Units Agreement pursuant to 2003 Equity Incentive Plan for Mr. Henneman (Incorporated by reference</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Exhibit 10.4 to the Company’s Current Report on Form 8-K filed on December 24, 2008)*</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10.46(k)</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Option Agreement for John B. Henneman, III (Incorporated by reference to Exhibit 10.1 to the Company’s Current Report on</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8-K filed on June 6, 2008)*</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10.46(l)</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Performance Stock Agreement for John B. Henneman, III (Incorporated by reference to Exhibit 10.37(b) to the Company’s</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2007)*</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10.46(m)</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Contract Stock/Restricted Units Agreement (for Signing Grant) for Mr. Arduini (Incorporated by reference to Exhibit 10.4 to the</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October 12, 2010)*</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10.46(n)</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Contract Stock/Restricted Units Agreement (for Annual Equity Awards) for Mr. Arduini (Incorporated by reference to Exhibit</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 to the Company’s Current Report on Form 8-K filed on October 12, 2010)*</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10.46(o)</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Non-Qualified Stock Option Agreement for Mr. Arduini (Incorporated by reference to Exhibit 10.6 to the Company’s Current</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 on Form 8-K filed on October 12, 2010)*</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10.46(p)</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Mr. Henneman (Incorporated by reference to Exhibit 10.7 to the Company’s Current Report on</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8-K filed on October 12, 2010)*</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10.46(q)</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(Annual Vesting) for Mr. Henneman (Incorporated by reference to Exhibit 10.39(n) to the</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2011)*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10.47(a)</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Coleman Promotion Summary, effective December 1, 2016 (Incorporated by reference to Exhibit 10.1 to the Company’s Current Report</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Form 8-K filed on December 5, 2016)*</w:t>
            </w:r>
          </w:p>
        </w:tc>
      </w:tr>
      <w:tr>
        <w:trPr>
          <w:trHeight w:val="6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10.47(b)</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Davis Promotion Summary, effective December 1, 2016 (Incorporated by reference to Exhibit 10.2 to the Company’s Current Report on</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8-K filed on December 5, 2016)*</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Executive Physical Medical Exam Arrangement (Incorporated by reference to the Exhibit 10.2 to the Company’s Current Report</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Form 8-K filed on July 29, 2013)*</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Reimbursement of Legal Fees Arrangement for CFO (Incorporated by reference to Exhibit 10.3 to the Company’s Current Report on</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8-K filed on July 29, 2013)*</w:t>
            </w:r>
          </w:p>
        </w:tc>
      </w:tr>
    </w:tbl>
    <w:p>
      <w:pPr>
        <w:spacing w:after="0" w:line="200" w:lineRule="exact"/>
        <w:rPr>
          <w:sz w:val="20"/>
          <w:szCs w:val="20"/>
          <w:color w:val="auto"/>
        </w:rPr>
      </w:pPr>
    </w:p>
    <w:p>
      <w:pPr>
        <w:sectPr>
          <w:pgSz w:w="11900" w:h="16838" w:orient="portrait"/>
          <w:cols w:equalWidth="0" w:num="1">
            <w:col w:w="11360"/>
          </w:cols>
          <w:pgMar w:left="280" w:top="526" w:right="259" w:bottom="617" w:gutter="0" w:footer="0" w:header="0"/>
        </w:sect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60"/>
          </w:cols>
          <w:pgMar w:left="280" w:top="526" w:right="259" w:bottom="617"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10.50</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Amended and Restated Management Incentive Compensation Plan, as of January 1, 2008 (Incorporated by reference to Exhibit 10.43(c)</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 the Company’s Annual Report on Form 10-K for the year ended December 31, 2007)*</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10.51</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of 2010 Convertible Bond Hedge Transaction Confirmation, dated June 6, 2007, between Integra LifeSciences Holdings</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Corporation and dealer (Incorporated by reference to Exhibit 10.1 to the Company’s Current Report on Form 8-K filed on June 12, 2007)</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10.52</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of 2012 Convertible Bond Hedge Transaction Confirmation, dated June 6, 2007, between Integra LifeSciences Holdings</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Corporation and dealer (Incorporated by reference to Exhibit 10.2 to the Company’s Current Report on Form 8-K filed on June 12, 2007)</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10.53</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of 2010 Amended and Restated Issuer Warrant Transaction Confirmation, dated June 6, 2007, between Integra LifeSciences</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Corporation and dealer (Incorporated by reference to Exhibit 10.3 to the Company’s Current Report on Form 8-K filed on June</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12, 2007)</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10.54</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of 2012 Amended and Restated Issuer Warrant Transaction Confirmation, dated June 6, 2007, between Integra LifeSciences</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Corporation and dealer (Incorporated by reference to Exhibit 10.4 to the Company’s Current Report on Form 8-K filed on June</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12, 2007)</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10.55</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 Agreement, dated June 9,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regarding the Base Call Option Transaction (Incorporated by reference to Exhibit 10.4 to the Company’s Form 8-K filed on June 15,</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10.56</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Letter Agreement, dated June 9, 2011, between Royal Bank of Canada and Integra LifeSciences Holdings Corporation, regarding the Base</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Call Option Transaction (Incorporated by reference to Exhibit 10.8 to the Company’s Form 8-K filed on June 15, 2011)</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10.57</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 Agreement, dated June 9, 2011, between The Royal Bank of Scotland plc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regarding the Base Call Option Transaction (Incorporated by reference to Exhibit 10.6 to the Company’s Form 8-K filed on June 15,</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10.58</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 Agreement, dated June 9,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regarding the Base Call Option Transaction (Incorporated by reference to Exhibit 10.2 to the Company’s Form 8-K filed on June 15,</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10.59</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 Agreement, dated June 9, 2011, between Deutsche Bank AG, London Branch and Integra LifeSciences Holdings Corporation,</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regarding the Base Warrant Transaction (Incorporated by reference to Exhibit 10.3 to the Company’s Form 8-K filed on June 15, 2011)</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10.60</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Letter Agreement, dated June 9, 2011, between Royal Bank of Canada and Integra LifeSciences Holdings Corporation, regarding the Base</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Warrant Transaction (Incorporated by reference to Exhibit 10.7 to the Company’s Form 8-K filed on June 15, 2011)</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10.61</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 Agreement, dated June 9, 2011, between The Royal Bank of Scotland plc and Integra LifeSciences Holdings Corporation,</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regarding the Base Warrant Transaction (Incorporated by reference to Exhibit 10.5 to the Company’s Form 8-K filed on June 15, 2011)</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10.62</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 Agreement, dated June 9, 2011, between Wells Fargo Bank, National Association and Integra LifeSciences Holdings Corporation,</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regarding the Base Warrant Transaction (Incorporated by reference to Exhibit 10.1 to the Company’s Form 8-K filed on June 15, 2011)</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10.63</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 Agreement, dated June 14, 2011, between Deutsche Bank AG, London Branch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regarding the Additional Call Option Transaction (Incorporated by reference to Exhibit 10.9 to the Company’s Form 8-K filed on June 15,</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10.64</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 Agreement, dated June 14, 2011, between Royal Bank of Canada and Integra LifeSciences Holdings Corporation, regarding the</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Additional Call Option Transaction (Incorporated by reference to Exhibit 10.10 to the Company’s Form 8-K filed on June 15, 2011)</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10.65</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 Agreement, dated June 14, 2011, between The Royal Bank of Scotland plc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regarding the Additional Call Option Transaction (Incorporated by reference to Exhibit 10.11 to the Company’s Form 8-K filed on June</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15, 2011)</w:t>
            </w:r>
          </w:p>
        </w:tc>
      </w:tr>
      <w:tr>
        <w:trPr>
          <w:trHeight w:val="41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10.66</w:t>
            </w: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 Agreement, dated June 14, 2011, between Wells Fargo Bank, National Association and Integra LifeSciences Holdings Corporation,</w:t>
            </w:r>
          </w:p>
        </w:tc>
      </w:tr>
      <w:tr>
        <w:trPr>
          <w:trHeight w:val="216"/>
        </w:trPr>
        <w:tc>
          <w:tcPr>
            <w:tcW w:w="880" w:type="dxa"/>
            <w:vAlign w:val="bottom"/>
          </w:tcPr>
          <w:p>
            <w:pPr>
              <w:spacing w:after="0"/>
              <w:rPr>
                <w:sz w:val="18"/>
                <w:szCs w:val="18"/>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regarding the Additional Call Option Transaction (Incorporated by reference to Exhibit 10.12 to the Company’s Form 8-K filed on June</w:t>
            </w:r>
          </w:p>
        </w:tc>
      </w:tr>
      <w:tr>
        <w:trPr>
          <w:trHeight w:val="234"/>
        </w:trPr>
        <w:tc>
          <w:tcPr>
            <w:tcW w:w="880" w:type="dxa"/>
            <w:vAlign w:val="bottom"/>
          </w:tcPr>
          <w:p>
            <w:pPr>
              <w:spacing w:after="0"/>
              <w:rPr>
                <w:sz w:val="20"/>
                <w:szCs w:val="20"/>
                <w:color w:val="auto"/>
              </w:rPr>
            </w:pPr>
          </w:p>
        </w:tc>
        <w:tc>
          <w:tcPr>
            <w:tcW w:w="10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15, 2011)</w:t>
            </w:r>
          </w:p>
        </w:tc>
      </w:tr>
    </w:tbl>
    <w:p>
      <w:pPr>
        <w:spacing w:after="0" w:line="200" w:lineRule="exact"/>
        <w:rPr>
          <w:sz w:val="20"/>
          <w:szCs w:val="20"/>
          <w:color w:val="auto"/>
        </w:rPr>
      </w:pPr>
    </w:p>
    <w:p>
      <w:pPr>
        <w:sectPr>
          <w:pgSz w:w="11900" w:h="16838" w:orient="portrait"/>
          <w:cols w:equalWidth="0" w:num="1">
            <w:col w:w="11360"/>
          </w:cols>
          <w:pgMar w:left="280" w:top="526" w:right="259" w:bottom="1440" w:gutter="0" w:footer="0" w:header="0"/>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60"/>
          </w:cols>
          <w:pgMar w:left="280" w:top="526" w:right="25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Agreement, dated June 14, 2011, between Deutsche Bank AG, London Branch and Integra LifeSciences Holdings Corporation,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regarding the Additional Warrant Transaction (Incorporated by reference to Exhibit 10.13 to the Company’s Form 8-K filed on June 15,</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Agreement, dated June 14, 2011, between Royal Bank of Canada and Integra LifeSciences Holdings Corporation, regarding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Warrant Transaction (Incorporated by reference to Exhibit 10.14 to the Company’s Form 8-K filed on June 15,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Agreement, dated June 14, 2011, between The Royal Bank of Scotland plc and Integra LifeSciences Holdings Corporation,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regarding the Additional Warrant Transaction (Incorporated by reference to Exhibit 10.15 to the Company’s Form 8-K filed on June 15,</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10.70</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Agreement, dated June 14, 2011, between Wells Fargo Bank, National Association and Integra LifeSciences Holdings Corporation,</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regarding the Additional Warrant Transaction (Incorporated by reference to Exhibit 10.16 to the Company’s Form 8-K filed on June 15,</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Piggyback Registration Rights Agreement dated December 22, 2008 between Integra LifeSciences Holdings Corporation and George</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Heenan, Thomas Gilliam and Michael Evers, as trustees of The Bruce A. LeVahn 2008 Trust and Steven M. LeVahn (Incorporated by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December 29,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10.72(a)</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 Agreement between 109 Morgan Lane, LLC and Integra LifeSciences Corporation, dated May 15, 2008 (Incorporated by reference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Exhibit 10.10 to the Company’s Quarterly Report on Form 10-Q for the quarter ended June 30,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10.72(b)</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First Amendment to Lease Agreement between 109 Morgan Lane, LLC and Integra LifeSciences Corporation, dated March 9, 2009</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10.9 to the Company’s Quarterly Report on Form 10-Q for the quarter ended March 31, 2009)</w:t>
            </w:r>
          </w:p>
        </w:tc>
      </w:tr>
      <w:tr>
        <w:trPr>
          <w:trHeight w:val="25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10.72(c)</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 Agreement dated as of July 1, 2013, between 109 Morgan Lane, LLC and Integra LifeSciences Corporation (Incorporated by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July 1,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Offer Letter between Glenn Coleman and the Company (Incorporated by reference to Exhibit 10.1 to the Company's Current Report on</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8-K filed on April 29, 2014)*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Statement Regarding the Computation of Ratio of Earnings to Fixed Charges and Preferred Share Dividends for the Years Ended 2015,</w:t>
            </w:r>
          </w:p>
        </w:tc>
      </w:tr>
      <w:tr>
        <w:trPr>
          <w:trHeight w:val="216"/>
        </w:trPr>
        <w:tc>
          <w:tcPr>
            <w:tcW w:w="1000" w:type="dxa"/>
            <w:vAlign w:val="bottom"/>
          </w:tcPr>
          <w:p>
            <w:pPr>
              <w:spacing w:after="0"/>
              <w:rPr>
                <w:sz w:val="18"/>
                <w:szCs w:val="18"/>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2014, 2013, 2012 and 2011, and the Nine Months Ended September 30, 2016 (Incorporated by reference to Exhibit 12.1 to the Company’s</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Registration Statement on Form S-3 ASR filed November 4, 2016)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18.1</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Preferability letter of Independent Public Accounting Firm dated May 1, 2014 (Incorporated by reference to Exhibit 18 to the Company's</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2014)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18.2</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Preferability Letter of Independent Public Accounting Firm dated July 31, 2012 (Incorporated by reference to Exhibit 18.1 to the</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Quarterly Report on Form 10-Q for the quarter ended June 30, 2012)</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Consent of PricewaterhouseCoopers LLP+</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906 of the Sarbanes-Oxley Act of 2002+</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dated December 21, 2011, from the United States Food and Drug Administration to Integra LifeSciences Corporation</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99.1 to the Company’s Current Report on Form 8-K filed on January 5,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Drug Administration Form FDA-483, dated July 30, 2012, relating to inspection of Plainsboro, NJ manufacturing facility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99.1 to the Company’s Quarterly Report on Form 10-Q for the quarter ended June 30,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Letter, dated November 1, 2012, from the United States Food and Drug Administration to Integra NeuroSciences Ltd. (Incorporated by</w:t>
            </w:r>
          </w:p>
        </w:tc>
      </w:tr>
      <w:tr>
        <w:trPr>
          <w:trHeight w:val="234"/>
        </w:trPr>
        <w:tc>
          <w:tcPr>
            <w:tcW w:w="1000" w:type="dxa"/>
            <w:vAlign w:val="bottom"/>
          </w:tcPr>
          <w:p>
            <w:pPr>
              <w:spacing w:after="0"/>
              <w:rPr>
                <w:sz w:val="20"/>
                <w:szCs w:val="20"/>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reference to Exhibit 99.1 to the Company’s Current Report on Form 8-K filed on November 13, 2012)</w:t>
            </w:r>
          </w:p>
        </w:tc>
      </w:tr>
    </w:tbl>
    <w:p>
      <w:pPr>
        <w:spacing w:after="0" w:line="200" w:lineRule="exact"/>
        <w:rPr>
          <w:sz w:val="20"/>
          <w:szCs w:val="20"/>
          <w:color w:val="auto"/>
        </w:rPr>
      </w:pPr>
    </w:p>
    <w:p>
      <w:pPr>
        <w:sectPr>
          <w:pgSz w:w="11900" w:h="16838" w:orient="portrait"/>
          <w:cols w:equalWidth="0" w:num="1">
            <w:col w:w="11360"/>
          </w:cols>
          <w:pgMar w:left="280" w:top="526" w:right="259" w:bottom="1440" w:gutter="0" w:footer="0" w:header="0"/>
        </w:sectPr>
      </w:pP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60"/>
          </w:cols>
          <w:pgMar w:left="280" w:top="526" w:right="259" w:bottom="1440" w:gutter="0" w:footer="0" w:header="0"/>
          <w:type w:val="continuous"/>
        </w:sectPr>
      </w:pPr>
    </w:p>
    <w:bookmarkStart w:id="63" w:name="page64"/>
    <w:bookmarkEnd w:id="63"/>
    <w:tbl>
      <w:tblPr>
        <w:tblLayout w:type="fixed"/>
        <w:tblInd w:w="4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dated February 13, 2013, from the United States Federal Drug Administration to Integra LifeSciences Corporation (Incorporated</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reference to Exhibit 99.1 to the Company’s Current Report on Form 8-K filed on February 19, 2013)</w:t>
            </w:r>
          </w:p>
        </w:tc>
      </w:tr>
      <w:tr>
        <w:trPr>
          <w:trHeight w:val="25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dated September 24, 2013, from the United States Federal Drug Administration to Integra LifeSciences Corporation (Incorporated</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reference to Exhibit 99.1 to the Company’s Current Report on Form 8-K filed on September 27, 2013)</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Drug Administration Form FDA-483, dated November 26, 2013, relating to the inspection of the Añasco Facility (Incorporated</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reference to Exhibit 99.1 to the Company’s Current Report on Form 8-K filed on December 3, 2013)</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99.7</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dated January 14, 2015, from the United States Food and Drug Administration to Integra LifeSciences Corporation (Incorporated</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reference to Exhibit 99.1 to the Company’s Current Report on Form 8-K filed on January 20, 2015)</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99.8</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dated May 29, 2015, from the United States Food and Drug Administration to TEI Biosciences Inc. (Incorporated by reference to</w:t>
            </w:r>
          </w:p>
        </w:tc>
      </w:tr>
      <w:tr>
        <w:trPr>
          <w:trHeight w:val="234"/>
        </w:trPr>
        <w:tc>
          <w:tcPr>
            <w:tcW w:w="1020" w:type="dxa"/>
            <w:vAlign w:val="bottom"/>
          </w:tcPr>
          <w:p>
            <w:pPr>
              <w:spacing w:after="0"/>
              <w:rPr>
                <w:sz w:val="20"/>
                <w:szCs w:val="20"/>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99.1 to the Company’s Quarterly Report on Form 10-Q for the quarter ended June 30, 2015)</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99.9</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dated June 30, 2015, from the United States Food and Drug Administration to Integra LifeSciences (Ireland) Limited</w:t>
            </w:r>
          </w:p>
        </w:tc>
      </w:tr>
      <w:tr>
        <w:trPr>
          <w:trHeight w:val="234"/>
        </w:trPr>
        <w:tc>
          <w:tcPr>
            <w:tcW w:w="102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(Incorporated by reference to Exhibit 99.2 to the Company’s Quarterly Report on Form 10-Q for the quarter ended June 30, 2015)</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87" w:lineRule="exact"/>
        <w:rPr>
          <w:sz w:val="20"/>
          <w:szCs w:val="20"/>
          <w:color w:val="auto"/>
        </w:rPr>
      </w:pPr>
    </w:p>
    <w:p>
      <w:pPr>
        <w:ind w:left="40" w:right="5980" w:hanging="5"/>
        <w:spacing w:after="0" w:line="469"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60" w:right="20" w:hanging="225"/>
        <w:spacing w:after="0" w:line="258"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Annual Report on Form 10-K for the year ended December 31, 2016 filed on February 23, 2017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Commission File Number for Reports on Form 10-K, Form 10-Q and Form 8-K is 0-26224.</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526" w:right="259" w:bottom="1440" w:gutter="0" w:footer="0" w:header="0"/>
        </w:sectPr>
      </w:pPr>
    </w:p>
    <w:bookmarkStart w:id="64" w:name="page65"/>
    <w:bookmarkEnd w:id="6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INTEGRA LIFESCIENCES HOLDINGS</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369" w:lineRule="exact"/>
        <w:rPr>
          <w:sz w:val="20"/>
          <w:szCs w:val="20"/>
          <w:color w:val="auto"/>
        </w:rPr>
      </w:pPr>
    </w:p>
    <w:p>
      <w:pPr>
        <w:ind w:left="3420"/>
        <w:spacing w:after="0"/>
        <w:tabs>
          <w:tab w:leader="none" w:pos="3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34290</wp:posOffset>
            </wp:positionV>
            <wp:extent cx="2941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Peter J. Arduini</w:t>
      </w:r>
    </w:p>
    <w:p>
      <w:pPr>
        <w:spacing w:after="0" w:line="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2017</w:t>
      </w: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00"/>
          </w:cols>
          <w:pgMar w:left="240" w:top="441" w:right="359" w:bottom="1440" w:gutter="0" w:footer="0" w:header="0"/>
        </w:sectPr>
      </w:pPr>
    </w:p>
    <w:bookmarkStart w:id="65" w:name="page66"/>
    <w:bookmarkEnd w:id="65"/>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520" w:type="dxa"/>
            <w:vAlign w:val="bottom"/>
            <w:gridSpan w:val="2"/>
          </w:tcPr>
          <w:p>
            <w:pPr>
              <w:jc w:val="center"/>
              <w:ind w:right="1860"/>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140" w:type="dxa"/>
            <w:vAlign w:val="bottom"/>
          </w:tcPr>
          <w:p>
            <w:pPr>
              <w:spacing w:after="0"/>
              <w:rPr>
                <w:sz w:val="16"/>
                <w:szCs w:val="16"/>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Peter J. Arduini</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February 23, 2017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Peter J. Arduini</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and Director (Principal Executive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Glenn G. Coleman</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Corporate Vice President and</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February 23, 2017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Glenn G. Coleman</w:t>
            </w:r>
          </w:p>
        </w:tc>
        <w:tc>
          <w:tcPr>
            <w:tcW w:w="4340" w:type="dxa"/>
            <w:vAlign w:val="bottom"/>
            <w:gridSpan w:val="3"/>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4340" w:type="dxa"/>
            <w:vAlign w:val="bottom"/>
            <w:gridSpan w:val="3"/>
            <w:vMerge w:val="continue"/>
          </w:tcPr>
          <w:p>
            <w:pPr>
              <w:spacing w:after="0"/>
              <w:rPr>
                <w:sz w:val="5"/>
                <w:szCs w:val="5"/>
                <w:color w:val="auto"/>
              </w:rPr>
            </w:pPr>
          </w:p>
        </w:tc>
        <w:tc>
          <w:tcPr>
            <w:tcW w:w="1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6"/>
              </w:rPr>
              <w:t>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Stuart M. Essig, Ph.D.</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February 23, 2017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Stuart M. Essig,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Keith Bradley, Ph.D.</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February 23, 2017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Keith Bradley,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Richard E. Caruso, Ph.D.</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February 23, 2017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Richard E. Caruso,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Barbara B. Hill</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February 23, 2017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Barbara B. Hill</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/s/ Lloyd W. Howell, Jr.</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February 23, 2017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Lloyd W. Howell, Jr.</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Donald E. Morel, Jr., Ph.D.</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February 23, 2017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Donald E. Morel, Jr., Ph.D.</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Raymond G. Murphy</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February 23, 2017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Raymond G. Murphy</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Christian S. Schade</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February 23, 2017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Christian S. Schade</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James M. Sullivan</w:t>
            </w:r>
          </w:p>
        </w:tc>
        <w:tc>
          <w:tcPr>
            <w:tcW w:w="43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9"/>
              </w:rPr>
              <w:t>Director</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February 23, 2017</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James M. Sullivan</w:t>
            </w:r>
          </w:p>
        </w:tc>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445" w:right="2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our opinion, the accompanying consolidated balance sheets and the related consolidated statements of operations, comprehensive income (loss), changes in stockholders’ equity and cash flows present fairly, in all material respects the financial position of Integra LifeSciences Holdings Corporation and its subsidiaries at December 31, 2016 and 2015, and the results of their operations and their cash flows for each of the three years in the period ended December 31, 2016 in conformity with accounting principles generally accepted in the United States of America. In addition, in our opinion, the financial statement schedule listed in the index appearing under Item 15(a)(2) of the Company’s 2016 Annual Report on Form 10-K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Internal Control - Integrated Framework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the Company changed the manner in which it accounts for employee share-based payments in 2016 due to the early adoption of Accounting Standards Update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rPr>
          <w:sz w:val="20"/>
          <w:szCs w:val="20"/>
          <w:color w:val="auto"/>
        </w:rPr>
      </w:pPr>
      <w:r>
        <w:rPr>
          <w:rFonts w:ascii="Times New Roman" w:cs="Times New Roman" w:eastAsia="Times New Roman" w:hAnsi="Times New Roman"/>
          <w:sz w:val="18"/>
          <w:szCs w:val="18"/>
          <w:color w:val="auto"/>
        </w:rPr>
        <w:t>February 23, 2017</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w:t>
      </w:r>
    </w:p>
    <w:p>
      <w:pPr>
        <w:sectPr>
          <w:pgSz w:w="11900" w:h="16838" w:orient="portrait"/>
          <w:cols w:equalWidth="0" w:num="1">
            <w:col w:w="11420"/>
          </w:cols>
          <w:pgMar w:left="240" w:top="657"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59"/>
        </w:trPr>
        <w:tc>
          <w:tcPr>
            <w:tcW w:w="6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70"/>
        </w:trPr>
        <w:tc>
          <w:tcPr>
            <w:tcW w:w="6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9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60" w:type="dxa"/>
            <w:vAlign w:val="bottom"/>
          </w:tcPr>
          <w:p>
            <w:pPr>
              <w:spacing w:after="0"/>
              <w:rPr>
                <w:sz w:val="23"/>
                <w:szCs w:val="23"/>
                <w:color w:val="auto"/>
              </w:rPr>
            </w:pPr>
          </w:p>
        </w:tc>
      </w:tr>
      <w:tr>
        <w:trPr>
          <w:trHeight w:val="25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104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992,075</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882,734</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796,717</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349,089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326,542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302,946</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50,895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43,559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455,629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415,757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375,545</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6,810</w:t>
            </w:r>
          </w:p>
        </w:tc>
      </w:tr>
      <w:tr>
        <w:trPr>
          <w:trHeight w:val="237"/>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876,735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803,147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728,860</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115,340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79,587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67,857</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60,671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45,566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53,820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9,271</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74,564</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36,295</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 benefit)</w:t>
            </w:r>
          </w:p>
        </w:tc>
        <w:tc>
          <w:tcPr>
            <w:tcW w:w="104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74,564</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34,004</w:t>
            </w:r>
          </w:p>
        </w:tc>
      </w:tr>
      <w:tr>
        <w:trPr>
          <w:trHeight w:val="324"/>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4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0.56</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7"/>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040" w:type="dxa"/>
            <w:vAlign w:val="bottom"/>
            <w:tcBorders>
              <w:top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0.52</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0.55</w:t>
            </w: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4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5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0.52</w:t>
            </w:r>
          </w:p>
        </w:tc>
      </w:tr>
      <w:tr>
        <w:trPr>
          <w:trHeight w:val="324"/>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4"/>
        </w:trPr>
        <w:tc>
          <w:tcPr>
            <w:tcW w:w="6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 (See Note 12):</w:t>
            </w: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108"/>
        </w:trPr>
        <w:tc>
          <w:tcPr>
            <w:tcW w:w="64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68,990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64,864</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71,354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65,920</w:t>
            </w:r>
          </w:p>
        </w:tc>
      </w:tr>
      <w:tr>
        <w:trPr>
          <w:trHeight w:val="27"/>
        </w:trPr>
        <w:tc>
          <w:tcPr>
            <w:tcW w:w="6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ectPr>
          <w:pgSz w:w="11900" w:h="16838" w:orient="portrait"/>
          <w:cols w:equalWidth="0" w:num="1">
            <w:col w:w="11420"/>
          </w:cols>
          <w:pgMar w:left="240" w:top="360" w:right="23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left="83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7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69"/>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74,564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34,004</w:t>
            </w:r>
          </w:p>
        </w:tc>
      </w:tr>
      <w:tr>
        <w:trPr>
          <w:trHeight w:val="237"/>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w:t>
            </w:r>
          </w:p>
        </w:tc>
      </w:tr>
      <w:tr>
        <w:trPr>
          <w:trHeight w:val="318"/>
        </w:trPr>
        <w:tc>
          <w:tcPr>
            <w:tcW w:w="7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Unrealized gain (loss)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Unrealized derivative gain (loss) arising during period</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Less: Reclassification adjustments for losses included in net loss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37"/>
        </w:trPr>
        <w:tc>
          <w:tcPr>
            <w:tcW w:w="7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1,541</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Defined benefit pension plan - net (loss) gain arising during period</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1,672</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comprehensive loss, before tax</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(23,461)</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expense related to items in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3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(24,415)</w:t>
            </w:r>
          </w:p>
        </w:tc>
      </w:tr>
      <w:tr>
        <w:trPr>
          <w:trHeight w:val="27"/>
        </w:trPr>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7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net of tax</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65,312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9,589</w:t>
            </w: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 - 3</w:t>
      </w:r>
    </w:p>
    <w:p>
      <w:pPr>
        <w:sectPr>
          <w:pgSz w:w="11900" w:h="16838" w:orient="portrait"/>
          <w:cols w:equalWidth="0" w:num="1">
            <w:col w:w="11400"/>
          </w:cols>
          <w:pgMar w:left="260" w:top="360" w:right="2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7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102,055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48,132</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4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4,073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Trade accounts receivable, net of allowances of $6,319 and $5,572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148,186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132,241</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 net</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217,263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211,429</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27,666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42,620</w:t>
            </w:r>
          </w:p>
        </w:tc>
      </w:tr>
      <w:tr>
        <w:trPr>
          <w:trHeight w:val="21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495,170</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438,495</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222,369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205,181</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Intangible assets, net</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561,175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603,740</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Goodwill</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510,571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512,389</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tax assets</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6,935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6,932</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11,734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7,487</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1,807,954</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1,774,224</w:t>
            </w:r>
          </w:p>
        </w:tc>
      </w:tr>
      <w:tr>
        <w:trPr>
          <w:trHeight w:val="237"/>
        </w:trPr>
        <w:tc>
          <w:tcPr>
            <w:tcW w:w="7900" w:type="dxa"/>
            <w:vAlign w:val="bottom"/>
            <w:tcBorders>
              <w:bottom w:val="single" w:sz="8" w:color="CCEEFF"/>
            </w:tcBorders>
            <w:shd w:val="clear" w:color="auto" w:fill="CCEEFF"/>
          </w:tcPr>
          <w:p>
            <w:pPr>
              <w:ind w:left="22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Borrowings under senior credit facility</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14,375</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 trade</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29,057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34,772</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5,666</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compensation</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52,762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45,154</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34,970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39,160</w:t>
            </w:r>
          </w:p>
        </w:tc>
      </w:tr>
      <w:tr>
        <w:trPr>
          <w:trHeight w:val="21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123,601</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139,127</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Long-term borrowings under senior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665,000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481,875</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Long-term convertible securities</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218,240</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148,941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154,891</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liabilities</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30,745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28,648</w:t>
            </w: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968,287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1,022,781</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Preferred Stock; no par value; 15,000 authorized shares; none outstanding</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$0.01 par value; 240,000 authorized shares; 77,666 and 91,714 issued at December 31, 2016 and</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3"/>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2015, respectively</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917</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798,652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1,019,670</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Treasury stock, at cost; 2,946 and 17,830 shares at December 31, 2016 and 2015, respectively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(367,121)</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(57,154)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(47,902)</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220,443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145,879</w:t>
            </w:r>
          </w:p>
        </w:tc>
      </w:tr>
      <w:tr>
        <w:trPr>
          <w:trHeight w:val="217"/>
        </w:trPr>
        <w:tc>
          <w:tcPr>
            <w:tcW w:w="7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839,667</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751,443</w:t>
            </w: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1,807,954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1,774,224</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w:t>
      </w:r>
    </w:p>
    <w:p>
      <w:pPr>
        <w:sectPr>
          <w:pgSz w:w="11900" w:h="16838" w:orient="portrait"/>
          <w:cols w:equalWidth="0" w:num="1">
            <w:col w:w="11420"/>
          </w:cols>
          <w:pgMar w:left="240" w:top="360" w:right="239"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INTEGRA LIFESCIENCES HOLDINGS CORPORATION</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ectPr>
          <w:pgSz w:w="11900" w:h="16838" w:orient="portrait"/>
          <w:cols w:equalWidth="0" w:num="1">
            <w:col w:w="11380"/>
          </w:cols>
          <w:pgMar w:left="280" w:top="367" w:right="239"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-110490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Adjustments to reconcile net (loss) income to net cash provided by operating activities:</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Loss from discontinued operations,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Non-cash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Deferred income tax provision (benefit)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Non-cash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Non-cash interest expense</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Loss on disposal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Change in fair value of contingent consideration and others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Gain on bargain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 of accreted interest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assets and liabilities, net of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Other non-current liabilities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4"/>
          <w:szCs w:val="14"/>
          <w:color w:val="auto"/>
        </w:rPr>
        <w:t>Net cash (used in) provided by operating activities of discontinued operations</w:t>
      </w:r>
    </w:p>
    <w:p>
      <w:pPr>
        <w:spacing w:after="0" w:line="1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ACTIVITIES:</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used in business acquisitions, net of cash acquired</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Sales of property and equipment</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changes in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 of continuing operations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Borrowings under senior credit facility</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Repayments under senior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the issuance of common stock, net of issuance costs</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Distribution to SeaSpine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of liability component of convertible notes</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Payment of capital lease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Debt issuance costs</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Proceeds from exercised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taxes paid in net equity settlement</w:t>
      </w:r>
    </w:p>
    <w:p>
      <w:pPr>
        <w:spacing w:after="0" w:line="1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70"/>
        </w:trPr>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540"/>
        </w:trPr>
        <w:tc>
          <w:tcPr>
            <w:tcW w:w="3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74,564</w:t>
            </w:r>
          </w:p>
        </w:tc>
        <w:tc>
          <w:tcPr>
            <w:tcW w:w="120" w:type="dxa"/>
            <w:vAlign w:val="bottom"/>
          </w:tcPr>
          <w:p>
            <w:pPr>
              <w:spacing w:after="0"/>
              <w:rPr>
                <w:sz w:val="24"/>
                <w:szCs w:val="24"/>
                <w:color w:val="auto"/>
              </w:rPr>
            </w:pP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100" w:type="dxa"/>
            <w:vAlign w:val="bottom"/>
          </w:tcPr>
          <w:p>
            <w:pPr>
              <w:spacing w:after="0"/>
              <w:rPr>
                <w:sz w:val="24"/>
                <w:szCs w:val="24"/>
                <w:color w:val="auto"/>
              </w:rPr>
            </w:pP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34,004</w:t>
            </w:r>
          </w:p>
        </w:tc>
      </w:tr>
      <w:tr>
        <w:trPr>
          <w:trHeight w:val="635"/>
        </w:trPr>
        <w:tc>
          <w:tcPr>
            <w:tcW w:w="3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10,370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2,291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72,665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58,863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46,434</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790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(6,474)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(6,849)</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37,210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17,310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15,450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14,554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2,529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2,264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2,571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8,074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7,911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7,104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909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(42,786)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(17,518)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(9,576)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14,912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16,526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8,208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811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1,118</w:t>
            </w:r>
          </w:p>
        </w:tc>
      </w:tr>
      <w:tr>
        <w:trPr>
          <w:trHeight w:val="278"/>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(4,357)</w:t>
            </w:r>
          </w:p>
        </w:tc>
      </w:tr>
      <w:tr>
        <w:trPr>
          <w:trHeight w:val="243"/>
        </w:trPr>
        <w:tc>
          <w:tcPr>
            <w:tcW w:w="3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116,405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117,063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62,945</w:t>
            </w:r>
          </w:p>
        </w:tc>
      </w:tr>
      <w:tr>
        <w:trPr>
          <w:trHeight w:val="278"/>
        </w:trPr>
        <w:tc>
          <w:tcPr>
            <w:tcW w:w="3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20,620</w:t>
            </w:r>
          </w:p>
        </w:tc>
      </w:tr>
      <w:tr>
        <w:trPr>
          <w:trHeight w:val="243"/>
        </w:trPr>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116,405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104,854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83,565</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4,165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(320,921)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(47,328)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8"/>
        </w:trPr>
        <w:tc>
          <w:tcPr>
            <w:tcW w:w="3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243"/>
        </w:trPr>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(42,622)</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(364,950)</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(359,736)</w:t>
            </w:r>
          </w:p>
        </w:tc>
      </w:tr>
      <w:tr>
        <w:trPr>
          <w:trHeight w:val="278"/>
        </w:trPr>
        <w:tc>
          <w:tcPr>
            <w:tcW w:w="3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w:t>
            </w:r>
          </w:p>
        </w:tc>
      </w:tr>
      <w:tr>
        <w:trPr>
          <w:trHeight w:val="243"/>
        </w:trPr>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(42,622)</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(372,010)</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(363,317)</w:t>
            </w:r>
          </w:p>
        </w:tc>
      </w:tr>
      <w:tr>
        <w:trPr>
          <w:trHeight w:val="544"/>
        </w:trPr>
        <w:tc>
          <w:tcPr>
            <w:tcW w:w="36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680,000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545,000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425,000</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(195,000)</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219,669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10,481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7,345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15,215</w:t>
            </w:r>
          </w:p>
        </w:tc>
      </w:tr>
      <w:tr>
        <w:trPr>
          <w:trHeight w:val="275"/>
        </w:trPr>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(2,718)</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(15,116)</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248,142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238,682</w:t>
            </w:r>
          </w:p>
        </w:tc>
      </w:tr>
      <w:tr>
        <w:trPr>
          <w:trHeight w:val="249"/>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(4,744)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(7,550)</w:t>
            </w:r>
          </w:p>
        </w:tc>
      </w:tr>
      <w:tr>
        <w:trPr>
          <w:trHeight w:val="243"/>
        </w:trPr>
        <w:tc>
          <w:tcPr>
            <w:tcW w:w="3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53,923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(48,620)</w:t>
            </w:r>
          </w:p>
        </w:tc>
      </w:tr>
      <w:tr>
        <w:trPr>
          <w:trHeight w:val="278"/>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48,132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71,994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120,614</w:t>
            </w:r>
          </w:p>
        </w:tc>
      </w:tr>
      <w:tr>
        <w:trPr>
          <w:trHeight w:val="237"/>
        </w:trPr>
        <w:tc>
          <w:tcPr>
            <w:tcW w:w="3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102,055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48,132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71,994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80" w:space="720"/>
            <w:col w:w="4680"/>
          </w:cols>
          <w:pgMar w:left="280" w:top="367" w:right="239" w:bottom="115" w:gutter="0" w:footer="0" w:header="0"/>
          <w:type w:val="continuous"/>
        </w:sectPr>
      </w:pPr>
    </w:p>
    <w:p>
      <w:pPr>
        <w:spacing w:after="0" w:line="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380"/>
          </w:cols>
          <w:pgMar w:left="280" w:top="367" w:right="239" w:bottom="115" w:gutter="0" w:footer="0" w:header="0"/>
          <w:type w:val="continuous"/>
        </w:sectPr>
      </w:pP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 - 5</w:t>
      </w:r>
    </w:p>
    <w:p>
      <w:pPr>
        <w:sectPr>
          <w:pgSz w:w="11900" w:h="16838" w:orient="portrait"/>
          <w:cols w:equalWidth="0" w:num="1">
            <w:col w:w="11380"/>
          </w:cols>
          <w:pgMar w:left="280" w:top="367" w:right="239" w:bottom="115" w:gutter="0" w:footer="0" w:header="0"/>
          <w:type w:val="continuous"/>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4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900" w:type="dxa"/>
            <w:vAlign w:val="bottom"/>
            <w:gridSpan w:val="4"/>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 Paid-</w:t>
            </w:r>
          </w:p>
        </w:tc>
        <w:tc>
          <w:tcPr>
            <w:tcW w:w="120" w:type="dxa"/>
            <w:vAlign w:val="bottom"/>
          </w:tcPr>
          <w:p>
            <w:pPr>
              <w:spacing w:after="0"/>
              <w:rPr>
                <w:sz w:val="2"/>
                <w:szCs w:val="2"/>
                <w:color w:val="auto"/>
              </w:rPr>
            </w:pPr>
          </w:p>
        </w:tc>
        <w:tc>
          <w:tcPr>
            <w:tcW w:w="112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2"/>
                <w:szCs w:val="2"/>
                <w:color w:val="auto"/>
              </w:rPr>
            </w:pPr>
          </w:p>
        </w:tc>
        <w:tc>
          <w:tcPr>
            <w:tcW w:w="76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8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In Capital</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249"/>
        </w:trPr>
        <w:tc>
          <w:tcPr>
            <w:tcW w:w="3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1, 2014</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41,042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(17,814)</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(367,121)</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750,918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280,956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666,090</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Adjustment for two-for-one stock split, effective December</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41,042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21, 2016</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34,004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34,004</w:t>
            </w:r>
          </w:p>
        </w:tc>
        <w:tc>
          <w:tcPr>
            <w:tcW w:w="0" w:type="dxa"/>
            <w:vAlign w:val="bottom"/>
          </w:tcPr>
          <w:p>
            <w:pPr>
              <w:spacing w:after="0"/>
              <w:rPr>
                <w:sz w:val="1"/>
                <w:szCs w:val="1"/>
                <w:color w:val="auto"/>
              </w:rPr>
            </w:pPr>
          </w:p>
        </w:tc>
      </w:tr>
      <w:tr>
        <w:trPr>
          <w:trHeight w:val="26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(24,415)</w:t>
            </w:r>
          </w:p>
        </w:tc>
        <w:tc>
          <w:tcPr>
            <w:tcW w:w="0" w:type="dxa"/>
            <w:vAlign w:val="bottom"/>
          </w:tcPr>
          <w:p>
            <w:pPr>
              <w:spacing w:after="0"/>
              <w:rPr>
                <w:sz w:val="1"/>
                <w:szCs w:val="1"/>
                <w:color w:val="auto"/>
              </w:rPr>
            </w:pPr>
          </w:p>
        </w:tc>
      </w:tr>
      <w:tr>
        <w:trPr>
          <w:trHeight w:val="158"/>
        </w:trPr>
        <w:tc>
          <w:tcPr>
            <w:tcW w:w="35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common stock for vesting of share based</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1,192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13,791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13,803</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 net of shares withheld for taxes</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14,554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14,554</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2014</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83,288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833</w:t>
            </w:r>
          </w:p>
        </w:tc>
        <w:tc>
          <w:tcPr>
            <w:tcW w:w="120" w:type="dxa"/>
            <w:vAlign w:val="bottom"/>
          </w:tcPr>
          <w:p>
            <w:pPr>
              <w:spacing w:after="0"/>
              <w:rPr>
                <w:sz w:val="21"/>
                <w:szCs w:val="21"/>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(17,814)</w:t>
            </w:r>
          </w:p>
        </w:tc>
        <w:tc>
          <w:tcPr>
            <w:tcW w:w="2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(367,121)</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779,138</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314,960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704,322</w:t>
            </w:r>
          </w:p>
        </w:tc>
        <w:tc>
          <w:tcPr>
            <w:tcW w:w="0" w:type="dxa"/>
            <w:vAlign w:val="bottom"/>
          </w:tcPr>
          <w:p>
            <w:pPr>
              <w:spacing w:after="0"/>
              <w:rPr>
                <w:sz w:val="1"/>
                <w:szCs w:val="1"/>
                <w:color w:val="auto"/>
              </w:rPr>
            </w:pPr>
          </w:p>
        </w:tc>
      </w:tr>
      <w:tr>
        <w:trPr>
          <w:trHeight w:val="2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0" w:type="dxa"/>
            <w:vAlign w:val="bottom"/>
          </w:tcPr>
          <w:p>
            <w:pPr>
              <w:spacing w:after="0"/>
              <w:rPr>
                <w:sz w:val="1"/>
                <w:szCs w:val="1"/>
                <w:color w:val="auto"/>
              </w:rPr>
            </w:pPr>
          </w:p>
        </w:tc>
      </w:tr>
      <w:tr>
        <w:trPr>
          <w:trHeight w:val="26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Separation of SeaSpine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(167,229)</w:t>
            </w:r>
          </w:p>
        </w:tc>
        <w:tc>
          <w:tcPr>
            <w:tcW w:w="0" w:type="dxa"/>
            <w:vAlign w:val="bottom"/>
          </w:tcPr>
          <w:p>
            <w:pPr>
              <w:spacing w:after="0"/>
              <w:rPr>
                <w:sz w:val="1"/>
                <w:szCs w:val="1"/>
                <w:color w:val="auto"/>
              </w:rPr>
            </w:pPr>
          </w:p>
        </w:tc>
      </w:tr>
      <w:tr>
        <w:trPr>
          <w:trHeight w:val="2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(22,747)</w:t>
            </w:r>
          </w:p>
        </w:tc>
        <w:tc>
          <w:tcPr>
            <w:tcW w:w="0" w:type="dxa"/>
            <w:vAlign w:val="bottom"/>
          </w:tcPr>
          <w:p>
            <w:pPr>
              <w:spacing w:after="0"/>
              <w:rPr>
                <w:sz w:val="1"/>
                <w:szCs w:val="1"/>
                <w:color w:val="auto"/>
              </w:rPr>
            </w:pPr>
          </w:p>
        </w:tc>
      </w:tr>
      <w:tr>
        <w:trPr>
          <w:trHeight w:val="26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purchases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8,006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219,600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219,680</w:t>
            </w: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Issuance of common stock for vesting of share based</w:t>
            </w: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5,251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5,255</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awards, net of shares withheld for taxes</w:t>
            </w: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15,450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15,450</w:t>
            </w:r>
          </w:p>
        </w:tc>
        <w:tc>
          <w:tcPr>
            <w:tcW w:w="0" w:type="dxa"/>
            <w:vAlign w:val="bottom"/>
          </w:tcPr>
          <w:p>
            <w:pPr>
              <w:spacing w:after="0"/>
              <w:rPr>
                <w:sz w:val="1"/>
                <w:szCs w:val="1"/>
                <w:color w:val="auto"/>
              </w:rPr>
            </w:pPr>
          </w:p>
        </w:tc>
      </w:tr>
      <w:tr>
        <w:trPr>
          <w:trHeight w:val="25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2015</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91,714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917</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(17,830)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(367,121)</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1,019,670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145,879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751,443</w:t>
            </w:r>
          </w:p>
        </w:tc>
        <w:tc>
          <w:tcPr>
            <w:tcW w:w="0" w:type="dxa"/>
            <w:vAlign w:val="bottom"/>
          </w:tcPr>
          <w:p>
            <w:pPr>
              <w:spacing w:after="0"/>
              <w:rPr>
                <w:sz w:val="1"/>
                <w:szCs w:val="1"/>
                <w:color w:val="auto"/>
              </w:rPr>
            </w:pPr>
          </w:p>
        </w:tc>
      </w:tr>
      <w:tr>
        <w:trPr>
          <w:trHeight w:val="26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74,564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74,564</w:t>
            </w:r>
          </w:p>
        </w:tc>
        <w:tc>
          <w:tcPr>
            <w:tcW w:w="0" w:type="dxa"/>
            <w:vAlign w:val="bottom"/>
          </w:tcPr>
          <w:p>
            <w:pPr>
              <w:spacing w:after="0"/>
              <w:rPr>
                <w:sz w:val="1"/>
                <w:szCs w:val="1"/>
                <w:color w:val="auto"/>
              </w:rPr>
            </w:pPr>
          </w:p>
        </w:tc>
      </w:tr>
      <w:tr>
        <w:trPr>
          <w:trHeight w:val="2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(9,252)</w:t>
            </w:r>
          </w:p>
        </w:tc>
        <w:tc>
          <w:tcPr>
            <w:tcW w:w="0" w:type="dxa"/>
            <w:vAlign w:val="bottom"/>
          </w:tcPr>
          <w:p>
            <w:pPr>
              <w:spacing w:after="0"/>
              <w:rPr>
                <w:sz w:val="1"/>
                <w:szCs w:val="1"/>
                <w:color w:val="auto"/>
              </w:rPr>
            </w:pPr>
          </w:p>
        </w:tc>
      </w:tr>
      <w:tr>
        <w:trPr>
          <w:trHeight w:val="26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shares retirement</w:t>
            </w: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23"/>
                <w:szCs w:val="23"/>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17,830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367,121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convertible notes</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convertible note hedge</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(2,946)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(123,051)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123,051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5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7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4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common stock for vesting of share based</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5,203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5,211</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 net of shares withheld for taxes</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17,310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17,310</w:t>
            </w:r>
          </w:p>
        </w:tc>
        <w:tc>
          <w:tcPr>
            <w:tcW w:w="0" w:type="dxa"/>
            <w:vAlign w:val="bottom"/>
          </w:tcPr>
          <w:p>
            <w:pPr>
              <w:spacing w:after="0"/>
              <w:rPr>
                <w:sz w:val="1"/>
                <w:szCs w:val="1"/>
                <w:color w:val="auto"/>
              </w:rPr>
            </w:pPr>
          </w:p>
        </w:tc>
      </w:tr>
      <w:tr>
        <w:trPr>
          <w:trHeight w:val="242"/>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2016</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77,666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777</w:t>
            </w:r>
          </w:p>
        </w:tc>
        <w:tc>
          <w:tcPr>
            <w:tcW w:w="120" w:type="dxa"/>
            <w:vAlign w:val="bottom"/>
          </w:tcPr>
          <w:p>
            <w:pPr>
              <w:spacing w:after="0"/>
              <w:rPr>
                <w:sz w:val="21"/>
                <w:szCs w:val="21"/>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(2,946)</w:t>
            </w:r>
          </w:p>
        </w:tc>
        <w:tc>
          <w:tcPr>
            <w:tcW w:w="2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(123,051)</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798,652</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220,443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839,667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 - 6</w:t>
      </w:r>
    </w:p>
    <w:p>
      <w:pPr>
        <w:sectPr>
          <w:pgSz w:w="11900" w:h="16838" w:orient="portrait"/>
          <w:cols w:equalWidth="0" w:num="1">
            <w:col w:w="11400"/>
          </w:cols>
          <w:pgMar w:left="260" w:top="360" w:right="239" w:bottom="1440" w:gutter="0" w:footer="0" w:header="0"/>
        </w:sectPr>
      </w:pPr>
    </w:p>
    <w:bookmarkStart w:id="72" w:name="page73"/>
    <w:bookmarkEnd w:id="72"/>
    <w:p>
      <w:pPr>
        <w:ind w:left="340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Integra LifeSciences Holdings Corporation (the “Company”) was incorporated in Delaware in 1989. The Company, a world leader in medical devices, is dedicated to limiting uncertainty for surgeons through the development, manufacturing, and marketing of cost-effective surgical implants and medical instruments. Its products are used primarily in neurosurgery, extremity reconstruction, orthopedics and general surgery.</w:t>
      </w:r>
    </w:p>
    <w:p>
      <w:pPr>
        <w:spacing w:after="0" w:line="122" w:lineRule="exact"/>
        <w:rPr>
          <w:sz w:val="20"/>
          <w:szCs w:val="20"/>
          <w:color w:val="auto"/>
        </w:rPr>
      </w:pPr>
    </w:p>
    <w:p>
      <w:pPr>
        <w:ind w:right="2700"/>
        <w:spacing w:after="0" w:line="525" w:lineRule="auto"/>
        <w:rPr>
          <w:sz w:val="20"/>
          <w:szCs w:val="20"/>
          <w:color w:val="auto"/>
        </w:rPr>
      </w:pPr>
      <w:r>
        <w:rPr>
          <w:rFonts w:ascii="Times New Roman" w:cs="Times New Roman" w:eastAsia="Times New Roman" w:hAnsi="Times New Roman"/>
          <w:sz w:val="18"/>
          <w:szCs w:val="18"/>
          <w:color w:val="auto"/>
        </w:rPr>
        <w:t xml:space="preserve">The Company sells its products directly through various sales forces and through a variety of other distribution channels. </w:t>
      </w: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references in these financial statements to number of shares of common stock, price per share and weighted average shares of common stock have been adjusted to reflect the two-for-one stock split that went into effect on December 21, 2016 (see below) on a retroactive basis for all periods presented, unless otherwise noted.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accounts of the Company and its subsidiaries, all of which are wholly owned. All intercompany accounts and transactions are eliminated in consolidation. See Note 4, </w:t>
      </w:r>
      <w:r>
        <w:rPr>
          <w:rFonts w:ascii="Times New Roman" w:cs="Times New Roman" w:eastAsia="Times New Roman" w:hAnsi="Times New Roman"/>
          <w:sz w:val="18"/>
          <w:szCs w:val="18"/>
          <w:i w:val="1"/>
          <w:iCs w:val="1"/>
          <w:color w:val="auto"/>
        </w:rPr>
        <w:t>Acquisitions and Pro Forma Results</w:t>
      </w:r>
      <w:r>
        <w:rPr>
          <w:rFonts w:ascii="Times New Roman" w:cs="Times New Roman" w:eastAsia="Times New Roman" w:hAnsi="Times New Roman"/>
          <w:sz w:val="18"/>
          <w:szCs w:val="18"/>
          <w:color w:val="auto"/>
        </w:rPr>
        <w:t>, for details of new subsidiaries included in the consolidation.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1, 2015, the Company completed the distribution of 100% of the outstanding common shares of SeaSpine Holdings Corporation ("SeaSpine") to Integra shareholders who received one share of SeaSpine common stock for every three shares, on a pre-split basis, of Integra common stock held as of the close of business on the record date, June 19, 2015. The Company has classified the results of operations, cash flows, and related assets and liabilities of SeaSpine as discontinued operations for all periods presented in the Company's Form 10-K. Unless indicated otherwise, the information in the Notes to the consolidated financial statements relates to the Company's continuing operations. Refer to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additional information regarding the distribution.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generally accepted accounting principles requires management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and in-process research and development ("IPR&amp;D"), amortization periods for acquired intangible assets, discount rates and estimated projected cash flows used to value and test impairments of long-lived assets and goodwill, estimates of projected cash flows,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and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from the prior years' financial statements have been reclassified in order to conform to the current year's presentation.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purchased with original maturities of three months or less to be cash equivalents. These investments are carried at cost, which approximates fair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and cash equivalents represents cash that is not available for use in our operations. The Company had no restricted cash and cash equivalents as of December 31, 2016. There was $4.1 million of restricted cash and cash equivalents as of December 31, 2015.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ectPr>
          <w:pgSz w:w="11900" w:h="16838" w:orient="portrait"/>
          <w:cols w:equalWidth="0" w:num="1">
            <w:col w:w="11420"/>
          </w:cols>
          <w:pgMar w:left="240" w:top="117"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ALLOWANCES FOR DOUBTFUL ACCOUNTS RECEIVABLE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the collectability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it is probable that the receivable will not be recovered.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consisting of purchased materials, direct labor and manufacturing overhead, are stated at the lower of cost, the value determined by the first-in, first-out method, or market. Inventories consisted of the following:</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127,973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125,869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39,247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47,962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50,043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37,598</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inventories,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217,263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211,429</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2016 or 2015.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the Accounting Standards Codification 350-40, </w:t>
      </w:r>
      <w:r>
        <w:rPr>
          <w:rFonts w:ascii="Times New Roman" w:cs="Times New Roman" w:eastAsia="Times New Roman" w:hAnsi="Times New Roman"/>
          <w:sz w:val="18"/>
          <w:szCs w:val="18"/>
          <w:i w:val="1"/>
          <w:iCs w:val="1"/>
          <w:color w:val="auto"/>
        </w:rPr>
        <w:t>Internal-Use Software.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w:t>
      </w:r>
    </w:p>
    <w:p>
      <w:pPr>
        <w:sectPr>
          <w:pgSz w:w="11900" w:h="16838" w:orient="portrait"/>
          <w:cols w:equalWidth="0" w:num="1">
            <w:col w:w="11420"/>
          </w:cols>
          <w:pgMar w:left="240" w:top="117"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balances and corresponding lives were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8"/>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69"/>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2,189</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17,611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years</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82,432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75,575</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production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103,818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103,083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years</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Surgical instrument kits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19,871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15,916</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Information systems and hardware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111,145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93,742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years</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15,010</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years</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59,222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50,571</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413,208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373,697</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(190,839)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(168,516)</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222,369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205,181</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plant and equipment was $31.2 million, $27.0 million, and $23.7 million for the years ended December 31, 2016, 2015 and 2014,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certain computer equipment under capital lease agreements. The gross carrying value of such leases amounted to $2.0 million at December 31, 2016 and 2015. The accumulated depreciation of such leases amounted to $2.0 million and $1.3 million at December 31, 2016 and 2015, respectively, and the cost is included as a component of furniture, fixtures, office equipment and information systems and hardware.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cost on capital projects, including facilities build-out and internal use software,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years ended December 31, 2016 and 2015, respectively, the Company capitalized $1.0 million and $1.7 million of interest expense into property, plant and equipment.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Results of operations of acquired companies are included in the Company’s results of operations as of the respective acquisition dates. The purchase price of each acquisition is allocated to the net assets acquired based on estimates of their fair values at the date of the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Contingent consideration is recognized at the estimated fair value on the acquisition date. Subsequent changes to the fair value of contingent payments are recognized in earnings. Contingent payments related to acquisitions consist of development, regulatory, and commercial milestone payments, in addition to sales-based payments, and are valued using discounted cash flow techniques. The fair value of development, regulatory, and commercial milestone payments reflects management’s expectations of probability of payment, and increases or decreases as the probability of payment or expectation of timing of payments changes. The fair value of sales-based payments is based upon probability-weighted future revenue estimates and increases or decreases as revenue estimates or expectation of timing of payments changes.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The Company reviews goodwill for impairment annually as of July 31 and whenever events or changes in circumstances indicate the carrying value of goodwill may not be recoverable.</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2015 the Company revised its reportable segments in connection with the realignment of its portfolio. The change in reportable segments resulted in three reportable segments with four underlying reporting units: Specialty Surgical Solutions Instruments, Specialty Surgical Solutions Neurosurgery, Spine, and Orthopedics and Tissue Technologies. Refer to Note 13 </w:t>
      </w:r>
      <w:r>
        <w:rPr>
          <w:rFonts w:ascii="Times New Roman" w:cs="Times New Roman" w:eastAsia="Times New Roman" w:hAnsi="Times New Roman"/>
          <w:sz w:val="18"/>
          <w:szCs w:val="18"/>
          <w:i w:val="1"/>
          <w:iCs w:val="1"/>
          <w:color w:val="auto"/>
        </w:rPr>
        <w:t>- Segment and Geographic Information</w:t>
      </w:r>
      <w:r>
        <w:rPr>
          <w:rFonts w:ascii="Times New Roman" w:cs="Times New Roman" w:eastAsia="Times New Roman" w:hAnsi="Times New Roman"/>
          <w:sz w:val="18"/>
          <w:szCs w:val="18"/>
          <w:color w:val="auto"/>
        </w:rPr>
        <w:t xml:space="preserve"> for more information on the change in reportable segments. On July 1, 2015,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ectPr>
          <w:pgSz w:w="11900" w:h="16838" w:orient="portrait"/>
          <w:cols w:equalWidth="0" w:num="1">
            <w:col w:w="11420"/>
          </w:cols>
          <w:pgMar w:left="240" w:top="117" w:right="2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Company completed the separation of its spine business, which also represented a reporting unit. See Note 3 -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additional information. Following the separation, the Company has three remaining underlying reporting units.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the remaining three reporting units using a discounted cash flow model,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49"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4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excess of the Specialty Surgical Solutions Instruments, Specialty Surgical Solutions Neurosurgery, and Orthopedics and Tissue Technologies estimated fair values over their carrying values after the reallocation of goodwill, no impairment was recognized. The goodwill assigned to the Spine reporting unit was impaired during the first quarter of 2015 and the impairment charge has been presented in the Company's discontinued operations.</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goodwill impairment testing performed in conjunction with the change in reportable segments, the Company performed its annual goodwill impairment test as of July 31, 2016. In reviewing goodwill for impairment, the Company has the option - for any or all of its reporting units that carry goodwill - to first assess qualitative factors to determine whether the existence of events or circumstances leads to a determination that it is more likely than not (i.e. greater than 50%) that the estimated fair value of a reporting unit is less than its carrying amount. If the Company elects to perform a qualitative assessment and determines that an impairment is more likely than not, the Company is then required to perform the two-step quantitative impairment test, otherwise no further analysis is required. The Company also may elect not to perform the qualitative assessment and, instead, proceed directly to step one of the two-step quantitative impairment test. The ultimate outcome of the goodwill impairment review for a reporting unit should be the same whether the Company chooses to perform the qualitative assessment or proceeds directly to the two-step quantitative impairment test.</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perform a qualitative analysis for its three reporting units as of July 31, 2016. The Company determined, after performing qualitative analysis, that there was no evidence that it is more likely than not that the fair value of any identified reporting unit was less that the carrying amounts, therefore, it was not necessary to proceed to 2-Step goodwill impairment test.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in 2016 and 2015 were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Specialty Surgical</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Orthopedics and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Tissue</w:t>
            </w: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at December 31, 2015</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284,976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227,413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512,389</w:t>
            </w:r>
          </w:p>
        </w:tc>
        <w:tc>
          <w:tcPr>
            <w:tcW w:w="0" w:type="dxa"/>
            <w:vAlign w:val="bottom"/>
          </w:tcPr>
          <w:p>
            <w:pPr>
              <w:spacing w:after="0"/>
              <w:rPr>
                <w:sz w:val="1"/>
                <w:szCs w:val="1"/>
                <w:color w:val="auto"/>
              </w:rPr>
            </w:pPr>
          </w:p>
        </w:tc>
      </w:tr>
      <w:tr>
        <w:trPr>
          <w:trHeight w:val="324"/>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TEI acquisition working capital adjustment</w:t>
            </w:r>
          </w:p>
        </w:tc>
        <w:tc>
          <w:tcPr>
            <w:tcW w:w="220" w:type="dxa"/>
            <w:vAlign w:val="bottom"/>
          </w:tcPr>
          <w:p>
            <w:pPr>
              <w:spacing w:after="0"/>
              <w:rPr>
                <w:sz w:val="24"/>
                <w:szCs w:val="24"/>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81"/>
        </w:trPr>
        <w:tc>
          <w:tcPr>
            <w:tcW w:w="7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2016</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284,358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226,213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510,571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the Company acquires a business, the assets acquired, including IPR&amp;D, and liabilities assumed are recorded at their respective fair values as of the acquisition date. The Company's policy defines IPR&amp;D as the fair value of those projects for which the related products have not received regulatory approval and have no alternative future use. Determining the fair value of intangible assets, including IPR&amp;D, acquired as part of a business combination requires the Company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other intangible assets, including IPR&amp;D, is determined by estimating the future cash</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- 10</w:t>
      </w:r>
    </w:p>
    <w:p>
      <w:pPr>
        <w:sectPr>
          <w:pgSz w:w="11900" w:h="16838" w:orient="portrait"/>
          <w:cols w:equalWidth="0" w:num="1">
            <w:col w:w="11420"/>
          </w:cols>
          <w:pgMar w:left="240" w:top="117"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flows of each project or technology and discounting the net cash flows back to their present values. The discount rate used is determined at the time of measurement in accordance with accepted valuation methodologies.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IPR&amp;D acquired in a business combination is capitalized as an indefinite-lived intangible asset.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R&amp;D project is subsequently abandoned, the indefinite-lived intangible asset is charged to expense. IPR&amp;D acquired outside of a business combination is expensed immediately.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uncertainty associated with R&amp;D projects, there is risk that actual results will differ materially from the original cash flow projections and that the R&amp;D project will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identifiable intangible assets were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157"/>
              <w:spacing w:after="0" w:line="15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17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479,964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384,973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1"/>
                <w:szCs w:val="21"/>
                <w:color w:val="auto"/>
              </w:rPr>
            </w:pPr>
          </w:p>
        </w:tc>
        <w:tc>
          <w:tcPr>
            <w:tcW w:w="12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12 years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152,335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75,330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Trademarks/brand names </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30 years</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90,507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71,349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Supplier relationships</w:t>
            </w:r>
          </w:p>
        </w:tc>
        <w:tc>
          <w:tcPr>
            <w:tcW w:w="120" w:type="dxa"/>
            <w:vAlign w:val="bottom"/>
          </w:tcPr>
          <w:p>
            <w:pPr>
              <w:spacing w:after="0"/>
              <w:rPr>
                <w:sz w:val="21"/>
                <w:szCs w:val="21"/>
                <w:color w:val="auto"/>
              </w:rPr>
            </w:pPr>
          </w:p>
        </w:tc>
        <w:tc>
          <w:tcPr>
            <w:tcW w:w="12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27 years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34,721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10,806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8,466</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768,333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(207,158)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561,175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years</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480,684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412,706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years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84,435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Trademarks/brand names </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years</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90,837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74,463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Supplier relationships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years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34,721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10,958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9,651</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770,446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(166,706)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603,740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2016 and 2015, all other included IPR&amp;D of $1.0 million, which was indefinite-lived.</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2015, the Company reevaluated the Miltex, CUSA, Luxtec, and Omni-Tract trade names and determined that they are no longer indefinite-lived intangible assets. The Company assigned remaining useful lives ranging from 20 to 30 years, consistent with other trademarks/brand names, and began amortization.</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performs its assessment of the recoverability of indefinite-lived intangible assets annually during the third quarter, or more frequently as impairment indicators arise, and it is based upon a comparison of the carrying value of such assets to their estimated fair values. The Company performed its most recent annual assessment during the third quarter of 2016, which resulted in no impairments.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charges for research and development expenses related to IPR&amp;D projects during 2016.</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2015, the Company recorded impairment charges of $0.4 million in research and development expense related to IPR&amp;D projects that have been discontinued in its Orthopedics and Tissue Technologies segment.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- 11</w:t>
      </w:r>
    </w:p>
    <w:p>
      <w:pPr>
        <w:sectPr>
          <w:pgSz w:w="11900" w:h="16838" w:orient="portrait"/>
          <w:cols w:equalWidth="0" w:num="1">
            <w:col w:w="11420"/>
          </w:cols>
          <w:pgMar w:left="240" w:top="117"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2014, the Company recorded impairment charges of $0.2 million in research and development expense related to IPR&amp;D projects primarily acquired in connection with the Metasurg acquisition. In connection with this acquisition, the Company acquired IPR&amp;D related to a product that will be discontinued. Therefore, a full-impairment of acquired IPR&amp;D was recorded in the Company's selling, general, and administrative expenses. The Company also recorded an impairment charge of $0.6 million in cost of sales related to acquired technology product rights in conjunction with the Covidien acquisition. Subsequent to the acquisition date, a regulatory event occurred that was not known, or knowable, at the time of acquisition which resulted in the impairment.</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expense (including amounts reported in cost of product revenues, but excluding any possible future amortization associated with acquired IPR&amp;D) for the years ended December 31, 2016, 2015 and 2014 was $41.5 million, $32.2 million and $22.7 million, respectively. Annual amortization expense is expected to approximate $40.7 million in 2017, $40.3 million in 2018, $40.2 million in 2019, $40.1 million in 2020 and $39.1 million in 2021. Amortization of product technology based intangible assets totaled $27.6 million, $22.3 million and $15.9 million for the years ended December 31, 2016, 2015 and 2014, respectively, and is presented by the Company within cost of goods sold.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 FOUNDATION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There were no contributions to the Integra Foundation during 2016. The Company contributed $0.9 million and $0.6 million to the Integra Foundation during the years ended December 31, 2015 and 2014, respectively. These contributions were recorded in selling, general, and administrative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from time to time, the Company may enter into derivatives that are not designated as hedging instruments in order to protect itself from currency volatility due to intercompany balances.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that meet the definition of hedges in the same category as the item being hedged for cash flow presentation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- 12</w:t>
      </w:r>
    </w:p>
    <w:p>
      <w:pPr>
        <w:sectPr>
          <w:pgSz w:w="11900" w:h="16838" w:orient="portrait"/>
          <w:cols w:equalWidth="0" w:num="1">
            <w:col w:w="11420"/>
          </w:cols>
          <w:pgMar w:left="240" w:top="117"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The Company also records interest and penalties accrued in relation to uncertain tax benefits as a component of income tax expense.</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Company believes it has identified all reasonably identifiable exposures and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continues to indefinitely reinvest substantially all of its foreign earnings. The current analysis indicates that the Company has sufficient U.S. liquidity, including borrowing capacity, to fund foreseeable U.S. cash needs without requiring the repatriation of foreign cash. As of December 31, 2016, taxes have not been provided on approximately $301.3 million of accumulated foreign unremitted earnings on certain non-US subsidiaries that are expected to remain invested indefinitely. The unrecognized deferred tax liability associated with these temporary differences was estimated to be $42.5 million. One time or unusual items that may impact the ability or intent to keep the foreign earnings and cash indefinitely reinvested include significant U.S. acquisitions, loans from a foreign subsidiary, changes in tax laws.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revenues, net, include product sales, product royalties and other revenues, such as fees received under research, licensing, distribution arrangements, research grants, and technology-related royalties.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recognized when persuasive evidence of an arrangement exists, delivery has occurred; title and risk of loss have passed to the customer, there is a fixed or determinable sales price, and collectability of that sales price is reasonably assured. For product sales, the Company's stated terms are primarily FOB shipping point and with most customers, title and risk of loss pass to the customer at that time. With certain United States customers, the Company retains risk of loss until the customers receive the product, and in those situations, the Company recognizes revenue upon receipt by the customer. A portion of the Company's product revenue is generated from consigned inventory maintained at hospitals and distributors, and also from inventory physically held by field sales representatives. For these types of products sales, the Company retains title until receiving appropriate notification that the product has been used or implanted, at which time revenue is recognized.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revenue transaction is evidenced by either a contract with the customer or a valid purchase order and an invoice which includes all relevant terms of sale. There are generally no significant customer acceptance or other conditions that prevent the Company from recognizing revenue in accordance with its delivery terms. In certain cases, where the Company has performance obligations that are significant to the functionality of the product, the Company recognizes revenue upon fulfillment of its obligation.</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invoices issued to customers contain the Company's price for each product or service. The Company performs a review of each specific customer's credit worthiness and ability to pay prior to accepting them as a customer. Further, the Company performs periodic reviews of its customers' status prospectively.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return policy, as set forth in its product catalogs and sales invoices, requires the Company to review and authorize the return of product in advance. Upon authorization, a credit will be issued for goods returned within a set amount of days from shipment, which is generally ninety days.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royalties are estimated and recognized in the same period that the royalty-based products are sold by the Company's strategic partners. The Company estimates and recognizes royalty revenue based upon communication with licensees, historical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- 13</w:t>
      </w:r>
    </w:p>
    <w:p>
      <w:pPr>
        <w:sectPr>
          <w:pgSz w:w="11900" w:h="16838" w:orient="portrait"/>
          <w:cols w:equalWidth="0" w:num="1">
            <w:col w:w="11420"/>
          </w:cols>
          <w:pgMar w:left="240" w:top="117" w:right="2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and expected sales trends. Differences between actual revenues and estimated royalty revenues are adjusted in the period in which they become known, which is typically the following quarter. Historically, such adjustments have not been significant.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operating revenues may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FEES AND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billed to customers for shipping and handling are included in revenues. The related shipping and freight charges incurred by the Company are included in cost of goods sold. Distribution and handling costs of $13.6 million, $13.7 million and $13.2 million were recorded in selling, general and administrative expense during the years ended December 31, 2016, 2015 and 2014,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medical devices, including monitoring systems and neurosurgical systems, are reusable and are designed to operate over long periods of time. These products are sold with warranties which may extend for up to two years from date of purchase. The Company accrues estimated product warranty costs at the time of sale based on historical experience. Any additional amounts are recorded when such costs are probable and can be reasonably estimated. Accrued warranty expense of $0.8 million and $0.8 million is recorded in the consolidated balance sheet at December 31, 2016 and 2015,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BENEFITS AND OTHER EXIT-RELATED COSTS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ASC Topic 712 </w:t>
      </w:r>
      <w:r>
        <w:rPr>
          <w:rFonts w:ascii="Times New Roman" w:cs="Times New Roman" w:eastAsia="Times New Roman" w:hAnsi="Times New Roman"/>
          <w:sz w:val="18"/>
          <w:szCs w:val="18"/>
          <w:i w:val="1"/>
          <w:iCs w:val="1"/>
          <w:color w:val="auto"/>
        </w:rPr>
        <w:t xml:space="preserve">Compensation-Nonretirement Benefits </w:t>
      </w:r>
      <w:r>
        <w:rPr>
          <w:rFonts w:ascii="Times New Roman" w:cs="Times New Roman" w:eastAsia="Times New Roman" w:hAnsi="Times New Roman"/>
          <w:sz w:val="18"/>
          <w:szCs w:val="18"/>
          <w:color w:val="auto"/>
        </w:rPr>
        <w:t>and ASC Topic 420</w:t>
      </w:r>
      <w:r>
        <w:rPr>
          <w:rFonts w:ascii="Times New Roman" w:cs="Times New Roman" w:eastAsia="Times New Roman" w:hAnsi="Times New Roman"/>
          <w:sz w:val="18"/>
          <w:szCs w:val="18"/>
          <w:i w:val="1"/>
          <w:iCs w:val="1"/>
          <w:color w:val="auto"/>
        </w:rPr>
        <w:t xml:space="preserve"> One-time Employee Termination Benefits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employee communication requirements have been met.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on the cease-use date.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CERTIFICATE OF INCORPORATION AND STOCK SPLIT</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25, 2016, the Board of Directors recommended, subject to stockholder approval, an Amendment to the Company’s Certificate of Incorporation (the “Amendment”) to increase the number of authorized shares of common stock from 60.0 million shares to 240.0 million shares with $0.01 per share par value, for the purpose of, among other things, affecting a two-for-one stock split. The Stockholders approved the amendment on its special Stockholders Meeting on December 21, 2016 and the Company filed a certificate of amendment to the amended and restated certificate of incorporation to effect the increase in authorized share of common stock and the two-for-one-stock split. Stockholders of record, as of the close of markets on December 21, 2016, became entitled to receive one additional share of common stock for each share held. The shares were distributed on January 3, 2017. No fractional shares of common stock were issued as a result of the two-for-one stock split. The adjusted stock price was reflected on the NASDAQ stock market on January 4, 2017.</w:t>
      </w:r>
    </w:p>
    <w:p>
      <w:pPr>
        <w:sectPr>
          <w:pgSz w:w="11900" w:h="16838" w:orient="portrait"/>
          <w:cols w:equalWidth="0" w:num="1">
            <w:col w:w="11420"/>
          </w:cols>
          <w:pgMar w:left="240" w:top="117"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- 14</w:t>
      </w:r>
    </w:p>
    <w:p>
      <w:pPr>
        <w:sectPr>
          <w:pgSz w:w="11900" w:h="16838" w:orient="portrait"/>
          <w:cols w:equalWidth="0" w:num="1">
            <w:col w:w="11420"/>
          </w:cols>
          <w:pgMar w:left="240" w:top="117" w:right="2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common stock retained a par value of $0.01 per share. Accordingly, the stockholders' equity reflects the stock split by reclassifying from "Additional paid-in capital" to "Common stock" in an amount equal to the par value of the increased shares resulting from the stock split. All share and per share amounts of common stock contained in the Company's financial statements have been restated for all periods to give retroactive effect to the stock split.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applies the authoritative guidance for stock-based compensation. This guidance requires companies to recognize the expense related to the fair value of their stock-based compensation awards. Stock-based compensation expense for stock option awards granted after January 1, 2006 was based on the fair value on the grant date using the binomial distribution model. The Company recognized compensation expense for stock option awards, restricted stock awards, performance stock awards and contract stock awards on a ratable basis over the requisite service period of the award. The long form method was used in the determination of the windfall tax benefit in accordance with the guidance.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defined benefit pension plan covers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2015, the Company completed the buy-out of its defined benefit pension plan in the U.K. which covered certain employees and retirees. All plan assets of the defined benefit pension plan were transferred to an independent financial services firm and the Company made cash contributions of approximately $1.8 million for the year-ended December 31, 2015. The Company recorded expenses totaling approximately $5.6 million in selling, general and administrative costs in conjunction with the buy-out of the plan. The buy-out of the U.K. pension plan eliminated future obligations of the Company under this plan.</w:t>
      </w:r>
    </w:p>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contributions to the UK and Germany plans during the year ended December 31, 2016 and $2.2 million and $0.9 million during the years ended December 31, 2015 and 2014,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w:t>
      </w:r>
    </w:p>
    <w:p>
      <w:pPr>
        <w:spacing w:after="0" w:line="122" w:lineRule="exact"/>
        <w:rPr>
          <w:sz w:val="20"/>
          <w:szCs w:val="20"/>
          <w:color w:val="auto"/>
        </w:rPr>
      </w:pPr>
    </w:p>
    <w:p>
      <w:pPr>
        <w:ind w:right="500"/>
        <w:spacing w:after="0" w:line="437" w:lineRule="auto"/>
        <w:rPr>
          <w:sz w:val="20"/>
          <w:szCs w:val="20"/>
          <w:color w:val="auto"/>
        </w:rPr>
      </w:pPr>
      <w:r>
        <w:rPr>
          <w:rFonts w:ascii="Times New Roman" w:cs="Times New Roman" w:eastAsia="Times New Roman" w:hAnsi="Times New Roman"/>
          <w:sz w:val="18"/>
          <w:szCs w:val="18"/>
          <w:color w:val="auto"/>
        </w:rPr>
        <w:t xml:space="preserve">None of the Company's customers accounted for 10% or more of the consolidated net sales during the years ended December 31, 2016, 2015 and 2014. </w:t>
      </w:r>
      <w:r>
        <w:rPr>
          <w:rFonts w:ascii="Times New Roman" w:cs="Times New Roman" w:eastAsia="Times New Roman" w:hAnsi="Times New Roman"/>
          <w:sz w:val="18"/>
          <w:szCs w:val="18"/>
          <w:b w:val="1"/>
          <w:bCs w:val="1"/>
          <w:i w:val="1"/>
          <w:iCs w:val="1"/>
          <w:color w:val="auto"/>
        </w:rPr>
        <w:t>RECENTLY ISSUED AND ADOPTED ACCOUNTING STANDARDS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Update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will become effective for all annual periods and interim reporting period beginning after December 15, 2017. Early adoption as of January 1, 2017 is permitted. The Company will adopt this standard on January 1, 2018. The Company expects to apply the full retrospective method of adoption. The Company has developed a project plan to assess the potential impact of the standard and has evaluated a sampling of significant contracts. The Company has not yet reached a conclusion as to how the adoption of the standard will impact the Company's financial position, results of operations and cash flows.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2014, the FASB issued Update No. 2014-12, </w:t>
      </w:r>
      <w:r>
        <w:rPr>
          <w:rFonts w:ascii="Times New Roman" w:cs="Times New Roman" w:eastAsia="Times New Roman" w:hAnsi="Times New Roman"/>
          <w:sz w:val="18"/>
          <w:szCs w:val="18"/>
          <w:i w:val="1"/>
          <w:iCs w:val="1"/>
          <w:color w:val="auto"/>
        </w:rPr>
        <w:t>Accounting for Share-Based Payments When the Terms of an Award Provide That a Performance 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Be Achieved after the Requisite Service Period (Topic 718)</w:t>
      </w:r>
      <w:r>
        <w:rPr>
          <w:rFonts w:ascii="Times New Roman" w:cs="Times New Roman" w:eastAsia="Times New Roman" w:hAnsi="Times New Roman"/>
          <w:sz w:val="18"/>
          <w:szCs w:val="18"/>
          <w:color w:val="auto"/>
        </w:rPr>
        <w:t>. The amendments require that a performance target that affects vesting and that could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achieved after the requisite service period be treated as a performance condition. A reporting entity should apply existing guidance in Topic 718 as it relates to awards with performance conditions that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- 15</w:t>
      </w:r>
    </w:p>
    <w:p>
      <w:pPr>
        <w:sectPr>
          <w:pgSz w:w="11900" w:h="16838" w:orient="portrait"/>
          <w:cols w:equalWidth="0" w:num="1">
            <w:col w:w="11420"/>
          </w:cols>
          <w:pgMar w:left="240" w:top="117"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became effective for annual reporting periods beginning after December 15, 2015. The Company adopted this guidance effective January 1, 2016 on a prospective basis. The implementation of the amended guidance did not have a material impact on the Company's consolidated financial position or results of operations.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August 2014, the FASB issued Update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The amendment requires management to evaluate, for each annual and interim reporting period, whether there are conditions and events, considered in the aggregate, that raise substantial doubt about an entity’s ability to continue as a going concern within one year after the date the financial statements are issued or are available to be issued. If substantial doubt is raised, additional disclosures around management’s plan to alleviate these doubts are required. This update became effective for all annual periods and interim reporting periods ending after December 15, 2016. The Company adopted the new guidance for the year ended December 31, 2016. The Company performed the evaluation required by the standard and did not identify any conditions or events that raise a substantial doubt about the Company's ability to continue as a going concern within one year from the issuance of these financial statements.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Update No.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The amendment requires that all costs incurred to issue certain debt be presented in the balance sheet as a direct deduction from the carrying value of the debt. The new standard is limited to the presentation of debt issuance costs and does not affect the recognition or measurement of debt issuance costs. This update became effective for all annual periods and interim reporting periods beginning after December 15, 2015. The Company adopted this guidance effective January 1, 2016 on a retrospective basis. The implementation of the amended guidance did not have a material impact on the consolidated results of operations and resulted in a reclassification of a portion of the debt issuance costs from other long-term assets to long-term debt.</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Update No.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The amendment requires an entity to measure inventory that is within the scope of this amendment at the lower of cost and net realizable value. Existing impairment models will continue to be used for inventories that are accounted for using the last-in first-out (“LIFO”) method. The ASU requires prospective adoption for inventory measurements for fiscal years beginning after December 15, 2016 and interim periods within those fiscal years for public business entities. Early adoption is permitted. The implementation of the amended guidance is not expected to have a material impact on the consolidated financial position or results of operations.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2015, the FASB issued Update No. 2015-15,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The amendment requires entities to present debt issuance costs related to a recognized debt liability as a direct deduction from the carrying amount of that debt liability. The guidance in ASU No. 2015-03 does not address presentation or subsequent measurement of debt issuance costs related to line-of-credit arrangements. Given the absence of authoritative guidance within ASU No. 2015-03 for debt issuance costs related to line-of-credit arrangements, the SEC staff indicated that it would not object to an entity's deferring and presenting debt issuance costs as an asset and subsequently amortizing the deferred debt issuance costs ratably over the term of the line-of-credit arrangement, regardless of whether there are any outstanding borrowings on the line-of-credit arrangement. This update became effective for all annual periods and interim reporting periods beginning after December 15, 2015. The Company adopted this guidance effective January 1, 2016 on a retrospective basis. The implementation of the amended guidance did not have a material impact on the consolidated financial position or results of operations.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2015, the FASB issued Update No. 2015-16, </w:t>
      </w:r>
      <w:r>
        <w:rPr>
          <w:rFonts w:ascii="Times New Roman" w:cs="Times New Roman" w:eastAsia="Times New Roman" w:hAnsi="Times New Roman"/>
          <w:sz w:val="18"/>
          <w:szCs w:val="18"/>
          <w:i w:val="1"/>
          <w:iCs w:val="1"/>
          <w:color w:val="auto"/>
        </w:rPr>
        <w:t>Simplifying the Accounting for Measurement-Period Adjustments</w:t>
      </w:r>
      <w:r>
        <w:rPr>
          <w:rFonts w:ascii="Times New Roman" w:cs="Times New Roman" w:eastAsia="Times New Roman" w:hAnsi="Times New Roman"/>
          <w:sz w:val="18"/>
          <w:szCs w:val="18"/>
          <w:color w:val="auto"/>
        </w:rPr>
        <w:t>. The amendment requires that an acquirer recognize adjustments to provisional amounts that are identified during the measurement period in the reporting period in which the adjustment amounts are determined. This update also requires an entity to present separately in the income statement or disclose in the notes, the portion of the amount recorded in current-period earnings by line item that would have been recorded in previous reporting periods if the adjustment to the provisional amounts had been recognized as of the acquisition date. This update became effective for all annual periods and interim reporting periods beginning after December 15, 2015. The new standard must be applied prospectively to adjustments to provisional amounts that occur after the effective date. The Company adopted this guidance effective January 1, 2016. The implementation of the amended guidance did not have a material impact on the consolidated results of operations or disclosures in the financial statements.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current accounting guidance an entity is not required to report operating leases on the balance sheet. The amendment requires that lessees recognize virtually all of their leases on the balance sheet, by recording a right-of-use asset and lease liability (other than leases that meet the definition of a "short-term lease"). This update will become effective for all annual periods and interim reporting periods beginning after December 15, 2018. The new standard must be adopted using a modified retrospective transition. Early adoption is permitted. The Company is in the process of evaluating the impact of this standard on its financial statements.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- 16</w:t>
      </w:r>
    </w:p>
    <w:p>
      <w:pPr>
        <w:sectPr>
          <w:pgSz w:w="11900" w:h="16838" w:orient="portrait"/>
          <w:cols w:equalWidth="0" w:num="1">
            <w:col w:w="11420"/>
          </w:cols>
          <w:pgMar w:left="240" w:top="117" w:right="2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2016, the FASB issued Update No. 2016-09, </w:t>
      </w:r>
      <w:r>
        <w:rPr>
          <w:rFonts w:ascii="Times New Roman" w:cs="Times New Roman" w:eastAsia="Times New Roman" w:hAnsi="Times New Roman"/>
          <w:sz w:val="18"/>
          <w:szCs w:val="18"/>
          <w:i w:val="1"/>
          <w:iCs w:val="1"/>
          <w:color w:val="auto"/>
        </w:rPr>
        <w:t>Improvements to Employee Share-Based Payment Accounting (Topic 718) (ASU 2016-09)</w:t>
      </w:r>
      <w:r>
        <w:rPr>
          <w:rFonts w:ascii="Times New Roman" w:cs="Times New Roman" w:eastAsia="Times New Roman" w:hAnsi="Times New Roman"/>
          <w:sz w:val="18"/>
          <w:szCs w:val="18"/>
          <w:color w:val="auto"/>
        </w:rPr>
        <w:t xml:space="preserve">, which simplifies several aspects of the accounting for share-based payment. Under current accounting guidance an entity is required to report excess tax benefits and tax deficiencies, to the extent of previous windfalls, in equity when an award is settled. A tax benefit currently only is recognized when it is realized. Excess tax benefits at settlements were reported as cash inflows from financing activities. The amendment requires that an entity present all excess tax benefits and all tax deficiencies as income tax expense or benefit in the statement of operations to be applied using a prospective transition method. Related tax effects of share-based payment settlements are to be presented as cash inflows from operating activities with a transition method of either a prospective or retrospective transition method. The amendment also removes the requirement to delay recognition of an excess tax benefit until the tax benefit is realized. A modified retrospective transition method must be applied for this provision of amendment.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allows the Company to elect to account for forfeitures either based on an estimate of the number of awards for which the requisite service period is not expected to be rendered with a true-up for actual forfeitures or to account for forfeitures as they occur. The amendment also requires cash outflows attributable to tax withholdings on the net settlement of equity-classified awards to be classified in financing cash flows, with any changes to be applied retrospectively.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is effective for all annual periods and interim reporting periods beginning after December 15, 2016. Early adoption is permitted.</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elected to early adopt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during 2016, which requires any adjustments to be reflected as of January 1, 2016, the beginning of the annual period that includes the interim period of adoption. The Company elected to account for forfeitures as they occur. The impact in retained earnings as of December 31, 2015 from this provision was not significant. Amendments related to accounting for excess tax benefits have been adopted prospectively, resulting in recognition of excess tax benefits against income tax expenses rather than additional paid-in capital of $3.8 million for the years ended December 31, 2016. Amendments related to the condensed consolidated statement of cash flows have been adopted retrospectively. As a result of this adoption, net cash provided by operating activities increased by $8.8 million, $10.4 million and $4.1 million for the years ended December 31, 2016, 2015 and 2014, respectively. Net cash provided by financing activities decreased by $8.8 million, $10.4 million and $4.1 million for the years ended December 31, 2016, 2015 and 2014, respectively.</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Update No. 2016-15,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The guidance addresses the classification of cash flows related to debt repayment or extinguishment costs, settlement of zero-coupon debt instruments or debt instruments with coupon rate that are insignificant in relation to the effective interest rate of the borrowing, contingent consideration payments made after business combination, proceeds from the settlement of insurance claims and corporate-owned life insurance, distribution received from equity method investees and beneficial interest in securitization transaction. This update will become effective for all annual periods and interim reporting periods beginning after December 15, 2017. Early adoption is permitted. The Company is in the process of evaluating the impact of this standard on its financial statements.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October 2016, the FASB issued Update No. 2016-16,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The guidance requires the income tax consequences of intra-entity transfers of assets other than inventory to be recognized as current period income tax expense or benefit and removes the requirement to defer and amortize the consolidated tax consequences of intra-entity transfers. The new standard will be effective for all annual periods beginning after December 15, 2017. Early adoption is permitted. The Company is in the process of evaluating impact of this standard on its financial statements.</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Update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The standard eliminates the second step in the goodwill impairment test which requires an entity to determine the implied fair value of the reporting unit’s goodwill. Instead, an entity should recognize an impairment loss if the carrying value of the net assets assigned to the reporting unit exceeds the fair value of the reporting unit, with the impairment loss not to exceed the amount of goodwill allocated to the reporting unit. The standard is effective for annual and interim goodwill impairment tests conducted in fiscal years beginning after December 15, 2019. Early adoption is permitted. The Company is in the process of evaluating impact of this standard on its financial statements.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Update No. 2017-01,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standard provides guidance for evaluating whether transactions should be accounted for as acquisitions (or disposals) of assets or businesses. The guidance provides a screen to determine when an integrated set of assets and activities (a “set”) does not qualify to be a business. The screen requires that when substantially all of the fair value of the gross assets acquired (or disposed of) is concentrated in an identifiable asset or a group of similar identifiable assets, the set of assets and activities is not a business. If the screen is not met, the guidance requires a set of assets and activities to be considered a business to include, at a minimum, an input and a substantive process that together significantly contribute to the ability to create outputs and removes the evaluation as to whether a market participant could replace the missing elements. The new standard will be effective for all annual periods beginning after December 15, 2017. Early adoption is permitted. The Company is in the process of evaluating impact of this standard on its financial statements.</w:t>
      </w:r>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are expected to have a material effect on the Company's financial position, results of operations or cash flows.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- 17</w:t>
      </w:r>
    </w:p>
    <w:p>
      <w:pPr>
        <w:sectPr>
          <w:pgSz w:w="11900" w:h="16838" w:orient="portrait"/>
          <w:cols w:equalWidth="0" w:num="1">
            <w:col w:w="11420"/>
          </w:cols>
          <w:pgMar w:left="240" w:top="117"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$42.8 million and $0.4 million payment of accreted interest associated with the settlement of the 2016 Convertible Notes during the years ended December 31, 2016 and 2015, respectively, cash paid for interest during the years ended December 31, 2016, 2015 and 2014 was $14.4 million (net of $1.0 million that was capitalized into construction in progress), $12.7 million (net of $1.7 million that was capitalized into construction in progress) and $10.9 million (net of $2.6 million that was capitalized into construction in progress),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settlement of 1.625% Convertible Senior Notes due in 2016 ("2016 Convertible Notes") in December 2016, the Company issued 2.9 million shares of common stock with fair value of $122.0 million. The Company also received 2.9 million shares of common stock from the exercise of call options with hedge participants with fair value of $123.1 million at the date of the exercise which was held as treasury stock as of December 31, 2016.</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income taxes, net of refunds, for the years ended December 31, 2016, 2015 and 2014 was $4.3 million, $21.3 million and $6.8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purchases included in liabilities at December 31, 2016, 2015 and 2014 were $4.7 million, $4.7 million and $3.3 million, respectively.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29, 2014, Integra's Board of Directors approved the announcement of a plan to separate SeaSpine from Integra as a new, publicly traded medical technology company focused on the design, development and commercialization of surgical solutions for the treatment of patients suffering from spinal disorders. Integra's board of directors based this determination, in part, on its belief that the tax-free distribution of SeaSpine shares to Integra stockholders is the most efficient manner to separate the business from Integra's other medical technology businesses. On November 3, 2014, the Company announced its intention to separate its spine business, which was previously a separate reportable segment. On July 1, 2015, the Company completed the distribution of 100% of the outstanding common stock of SeaSpine to Integra stockholders, who received one share of SeaSpine common stock for every three shares, on a pre-split basis, of Integra common stock held as of the close of business on the record date, June 19, 2015. The Company and SeaSpine share three board members, including the chair of Integra’s board of directors who is lead director for SeaSpine. The separation agreement ensures that SeaSpine had approximately $47.0 million of total cash immediately following the distribution. No gain or loss was recognized on the part of the Company or shareholders as a result of the distribution resulting from the separation of the spine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historical results of operations, cash flows, and statement of financial position of SeaSpine have been presented as discontinued operations in the consolidated financial statements and prior periods have been revised. Discontinued operations include results of SeaSpine's business except for certain allocated corporate overhead costs and certain costs associated with transition services provided by Integra to SeaSpine. These allocated costs will remain part of continuing operations. Discontinued operations also include other costs incurred by Integra to separate SeaSpine from the fourth quarter of 2014 through the second quarter of 2015. These costs include transaction charges, advisory and consulting fees, and information system expenses. For the third quarter 2015 and going forward, SeaSpine as a stand-alone public company have separately reported its financial results. Due to differences between the basis of presentation for discontinued operations and the basis of presentation as a stand-alone company, the financial results of SeaSpine included within discontinued operations for the Company may not be indicative of actual financial results of SeaSpine as a stand-alone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results from discontinued operations of SeaSpine included in the consolidated statement of operations: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75"/>
        </w:trPr>
        <w:tc>
          <w:tcPr>
            <w:tcW w:w="87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8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21"/>
                <w:szCs w:val="21"/>
                <w:color w:val="auto"/>
              </w:rPr>
            </w:pPr>
          </w:p>
        </w:tc>
      </w:tr>
      <w:tr>
        <w:trPr>
          <w:trHeight w:val="255"/>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65,775</w:t>
            </w:r>
          </w:p>
        </w:tc>
        <w:tc>
          <w:tcPr>
            <w:tcW w:w="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137,808</w:t>
            </w:r>
          </w:p>
        </w:tc>
      </w:tr>
      <w:tr>
        <w:trPr>
          <w:trHeight w:val="237"/>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80,618</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140,124</w:t>
            </w:r>
          </w:p>
        </w:tc>
      </w:tr>
      <w:tr>
        <w:trPr>
          <w:trHeight w:val="33"/>
        </w:trPr>
        <w:tc>
          <w:tcPr>
            <w:tcW w:w="8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(14,843)</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w:t>
            </w:r>
          </w:p>
        </w:tc>
      </w:tr>
      <w:tr>
        <w:trPr>
          <w:trHeight w:val="237"/>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33"/>
        </w:trPr>
        <w:tc>
          <w:tcPr>
            <w:tcW w:w="8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before tax</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(15,609)</w:t>
            </w:r>
          </w:p>
        </w:tc>
        <w:tc>
          <w:tcPr>
            <w:tcW w:w="4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r>
      <w:tr>
        <w:trPr>
          <w:trHeight w:val="237"/>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33"/>
        </w:trPr>
        <w:tc>
          <w:tcPr>
            <w:tcW w:w="8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(10,370)</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r>
      <w:tr>
        <w:trPr>
          <w:trHeight w:val="20"/>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- 18</w:t>
      </w:r>
    </w:p>
    <w:p>
      <w:pPr>
        <w:sectPr>
          <w:pgSz w:w="11900" w:h="16838" w:orient="portrait"/>
          <w:cols w:equalWidth="0" w:num="1">
            <w:col w:w="11420"/>
          </w:cols>
          <w:pgMar w:left="240" w:top="117"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income or expense has been recorded for the SeaSpine business after the separation from Integra on July 1,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Integra's spine business assets and liabilities removed from the consolidated balance sheet as of July 1, 2015:</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July 1, 2015</w:t>
            </w:r>
          </w:p>
        </w:tc>
        <w:tc>
          <w:tcPr>
            <w:tcW w:w="0" w:type="dxa"/>
            <w:vAlign w:val="bottom"/>
          </w:tcPr>
          <w:p>
            <w:pPr>
              <w:spacing w:after="0"/>
              <w:rPr>
                <w:sz w:val="1"/>
                <w:szCs w:val="1"/>
                <w:color w:val="auto"/>
              </w:rPr>
            </w:pPr>
          </w:p>
        </w:tc>
      </w:tr>
      <w:tr>
        <w:trPr>
          <w:trHeight w:val="250"/>
        </w:trPr>
        <w:tc>
          <w:tcPr>
            <w:tcW w:w="9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47,178</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20,856</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Inventory</w:t>
            </w:r>
          </w:p>
        </w:tc>
        <w:tc>
          <w:tcPr>
            <w:tcW w:w="400" w:type="dxa"/>
            <w:vAlign w:val="bottom"/>
          </w:tcPr>
          <w:p>
            <w:pPr>
              <w:spacing w:after="0"/>
              <w:rPr>
                <w:sz w:val="19"/>
                <w:szCs w:val="19"/>
                <w:color w:val="auto"/>
              </w:rPr>
            </w:pPr>
          </w:p>
        </w:tc>
        <w:tc>
          <w:tcPr>
            <w:tcW w:w="1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49,425</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current assets</w:t>
            </w: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13,411</w:t>
            </w:r>
          </w:p>
        </w:tc>
        <w:tc>
          <w:tcPr>
            <w:tcW w:w="0" w:type="dxa"/>
            <w:vAlign w:val="bottom"/>
          </w:tcPr>
          <w:p>
            <w:pPr>
              <w:spacing w:after="0"/>
              <w:rPr>
                <w:sz w:val="1"/>
                <w:szCs w:val="1"/>
                <w:color w:val="auto"/>
              </w:rPr>
            </w:pPr>
          </w:p>
        </w:tc>
      </w:tr>
      <w:tr>
        <w:trPr>
          <w:trHeight w:val="217"/>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130,870</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21,093</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400" w:type="dxa"/>
            <w:vAlign w:val="bottom"/>
          </w:tcPr>
          <w:p>
            <w:pPr>
              <w:spacing w:after="0"/>
              <w:rPr>
                <w:sz w:val="19"/>
                <w:szCs w:val="19"/>
                <w:color w:val="auto"/>
              </w:rPr>
            </w:pPr>
          </w:p>
        </w:tc>
        <w:tc>
          <w:tcPr>
            <w:tcW w:w="1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43,122</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4,465</w:t>
            </w:r>
          </w:p>
        </w:tc>
        <w:tc>
          <w:tcPr>
            <w:tcW w:w="0" w:type="dxa"/>
            <w:vAlign w:val="bottom"/>
          </w:tcPr>
          <w:p>
            <w:pPr>
              <w:spacing w:after="0"/>
              <w:rPr>
                <w:sz w:val="1"/>
                <w:szCs w:val="1"/>
                <w:color w:val="auto"/>
              </w:rPr>
            </w:pPr>
          </w:p>
        </w:tc>
      </w:tr>
      <w:tr>
        <w:trPr>
          <w:trHeight w:val="217"/>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Non-current assets of discontinued operations</w:t>
            </w:r>
          </w:p>
        </w:tc>
        <w:tc>
          <w:tcPr>
            <w:tcW w:w="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68,680</w:t>
            </w:r>
          </w:p>
        </w:tc>
        <w:tc>
          <w:tcPr>
            <w:tcW w:w="0" w:type="dxa"/>
            <w:vAlign w:val="bottom"/>
          </w:tcPr>
          <w:p>
            <w:pPr>
              <w:spacing w:after="0"/>
              <w:rPr>
                <w:sz w:val="1"/>
                <w:szCs w:val="1"/>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 of discontinued operations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199,550</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1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7,072</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compensation</w:t>
            </w:r>
          </w:p>
        </w:tc>
        <w:tc>
          <w:tcPr>
            <w:tcW w:w="400" w:type="dxa"/>
            <w:vAlign w:val="bottom"/>
          </w:tcPr>
          <w:p>
            <w:pPr>
              <w:spacing w:after="0"/>
              <w:rPr>
                <w:sz w:val="19"/>
                <w:szCs w:val="19"/>
                <w:color w:val="auto"/>
              </w:rPr>
            </w:pPr>
          </w:p>
        </w:tc>
        <w:tc>
          <w:tcPr>
            <w:tcW w:w="1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5,964</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3,361</w:t>
            </w:r>
          </w:p>
        </w:tc>
        <w:tc>
          <w:tcPr>
            <w:tcW w:w="0" w:type="dxa"/>
            <w:vAlign w:val="bottom"/>
          </w:tcPr>
          <w:p>
            <w:pPr>
              <w:spacing w:after="0"/>
              <w:rPr>
                <w:sz w:val="1"/>
                <w:szCs w:val="1"/>
                <w:color w:val="auto"/>
              </w:rPr>
            </w:pPr>
          </w:p>
        </w:tc>
      </w:tr>
      <w:tr>
        <w:trPr>
          <w:trHeight w:val="217"/>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4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16,397</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13,331</w:t>
            </w:r>
          </w:p>
        </w:tc>
        <w:tc>
          <w:tcPr>
            <w:tcW w:w="0" w:type="dxa"/>
            <w:vAlign w:val="bottom"/>
          </w:tcPr>
          <w:p>
            <w:pPr>
              <w:spacing w:after="0"/>
              <w:rPr>
                <w:sz w:val="1"/>
                <w:szCs w:val="1"/>
                <w:color w:val="auto"/>
              </w:rPr>
            </w:pPr>
          </w:p>
        </w:tc>
      </w:tr>
      <w:tr>
        <w:trPr>
          <w:trHeight w:val="22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400" w:type="dxa"/>
            <w:vAlign w:val="bottom"/>
          </w:tcPr>
          <w:p>
            <w:pPr>
              <w:spacing w:after="0"/>
              <w:rPr>
                <w:sz w:val="19"/>
                <w:szCs w:val="19"/>
                <w:color w:val="auto"/>
              </w:rPr>
            </w:pPr>
          </w:p>
        </w:tc>
        <w:tc>
          <w:tcPr>
            <w:tcW w:w="1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15,924</w:t>
            </w:r>
          </w:p>
        </w:tc>
        <w:tc>
          <w:tcPr>
            <w:tcW w:w="0" w:type="dxa"/>
            <w:vAlign w:val="bottom"/>
          </w:tcPr>
          <w:p>
            <w:pPr>
              <w:spacing w:after="0"/>
              <w:rPr>
                <w:sz w:val="1"/>
                <w:szCs w:val="1"/>
                <w:color w:val="auto"/>
              </w:rPr>
            </w:pPr>
          </w:p>
        </w:tc>
      </w:tr>
      <w:tr>
        <w:trPr>
          <w:trHeight w:val="24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 of discontinued operations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32,321</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removal of SeaSpine's net assets and unrealized accelerated currency translation adjustment is presented as a reduction in Integra's retained earnings and accumulated other comprehensive loss.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effect the separation and govern Integra's relationship with SeaSpine after the separation, the Company entered into a Separation and Distribution Agreement and other agreements including a Tax Matters Agreement, an Employee Matters Agreement, several supply agreements, and a Transition Services Agreement. The Separation and Distribution Agreement governs the separation of the spine business, the transfer of assets and other matters related to the Company's relationship with SeaSpine.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Matters Agreement governs the respective rights, responsibilities and obligations of SeaSpine and Integra with respect to taxes, tax attributes, tax returns, tax proceedings and certain other tax matters.</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Employee Matters Agreement governs the compensation and employee benefit obligations with respect to the current and former employees and non-employee directors of SeaSpine and Integra, and generally allocates liabilities and responsibilities relating to employee compensation, benefit plans and programs. The Employee Matters Agreement provides that employees of SeaSpine will no longer participate in benefit plans sponsored or maintained by Integra. In addition, the Employee Matters Agreement provides that each of the parties will be responsible for their respective former and current employees and compensation plans for such current employees.</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entered into several Supply Agreements in which SeaSpine engaged Integra to be the product supplier of Integra's former Integra Mozaik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product line ("Mozaik") for a three-year period following the separation after which there will be no defined terms and this will be considered a normal purchase/sale arrangement. This product line has been licensed to SeaSpine in conjunction with the spin-off. Prior to the spin-off, the sale of Mozaik products from an Integra facility to a SeaSpine facility eliminated in Integra's historical consolidated financial results of operations. The revenue and cost of goods sold related to prior sales of Mozaik to SeaSpine have been restated and are presented in Integra's continuing operations results of operations. The Company has recorded $0.8 million, $6.2 million, and $6.2 million in revenue related to the sale of Mozaik products for the year-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- 19</w:t>
      </w:r>
    </w:p>
    <w:p>
      <w:pPr>
        <w:sectPr>
          <w:pgSz w:w="11900" w:h="16838" w:orient="portrait"/>
          <w:cols w:equalWidth="0" w:num="1">
            <w:col w:w="11420"/>
          </w:cols>
          <w:pgMar w:left="240" w:top="117"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ended December 31, 2016, 2015 and 2014, respectively and $0.7 million, $3.8 million and $3.2 million in cost of goods sold for the year-ended December 31, 2016, 2015 and 2014, respectively, in its continuing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Transition Services Agreement, the Company agreed to provide administrative, site services, information technology systems and various other corporate and support services to SeaSpine over various periods after the separation on a cost or cost-plus basis. The most significant components of the service income were the provision of information systems and legal services which was completed by the end of the first quarter of 2016. In the year-ended December 31, 2016 and 2015, other income (expense), net includes $0.3 million and $2.7 million of income in respect of the provision of services to SeaSpine, respectively.</w:t>
      </w:r>
    </w:p>
    <w:p>
      <w:pPr>
        <w:spacing w:after="0" w:line="180" w:lineRule="exact"/>
        <w:rPr>
          <w:sz w:val="20"/>
          <w:szCs w:val="20"/>
          <w:color w:val="auto"/>
        </w:rPr>
      </w:pPr>
    </w:p>
    <w:p>
      <w:pPr>
        <w:ind w:right="7480" w:firstLine="8"/>
        <w:spacing w:after="0" w:line="346" w:lineRule="auto"/>
        <w:tabs>
          <w:tab w:leader="none" w:pos="17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AND PRO FORMA RESULTS </w:t>
      </w:r>
      <w:r>
        <w:rPr>
          <w:rFonts w:ascii="Times New Roman" w:cs="Times New Roman" w:eastAsia="Times New Roman" w:hAnsi="Times New Roman"/>
          <w:sz w:val="18"/>
          <w:szCs w:val="18"/>
          <w:i w:val="1"/>
          <w:iCs w:val="1"/>
          <w:u w:val="single" w:color="auto"/>
          <w:color w:val="auto"/>
        </w:rPr>
        <w:t>Tekmed</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15, 2015, the Company acquired the assets of Tekmed Instruments S.p.A ("Tekmed") for an aggregate purchase price of $14.1 million including a minimal amount of working capital and purchase adjustment which was recorded as an adjustment to assumed liabilities. Tekmed was a distributor of the Company's and third parties' products in Italy and focused on neurosurgery and neurotrauma, along with representation in plastic and reconstructive surgery, cardiovascular surgery, image diagnostics, general surgery, anesthesia and intensive care, interventional radiology, and proton therapy. This acquisition enables the Company to sell directly into the market support the Specialty Surgical Solutions division's growth in Italy along with other key Integra franchises.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revenue for Tekmed of approximately $4.2 million and $0.3 million in the consolidated statements of operations for the year-ended December 31, 2016 and 2015, respectively. The net income or loss attributable to this acquisition cannot be identified on a stand-alone basis because it is in the process of being integrated into the Company's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allocation of the purchase price as of December 31, 2016 based on the fair value of the assets acquired and liabilities assumed: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2160" w:type="dxa"/>
            <w:vAlign w:val="bottom"/>
            <w:tcBorders>
              <w:bottom w:val="single" w:sz="8" w:color="CCEEFF"/>
            </w:tcBorders>
          </w:tcPr>
          <w:p>
            <w:pPr>
              <w:spacing w:after="0"/>
              <w:rPr>
                <w:sz w:val="16"/>
                <w:szCs w:val="16"/>
                <w:color w:val="auto"/>
              </w:rPr>
            </w:pPr>
          </w:p>
        </w:tc>
      </w:tr>
      <w:tr>
        <w:trPr>
          <w:trHeight w:val="255"/>
        </w:trPr>
        <w:tc>
          <w:tcPr>
            <w:tcW w:w="7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160" w:type="dxa"/>
            <w:vAlign w:val="bottom"/>
            <w:shd w:val="clear" w:color="auto" w:fill="CCEEFF"/>
          </w:tcPr>
          <w:p>
            <w:pPr>
              <w:spacing w:after="0"/>
              <w:rPr>
                <w:sz w:val="22"/>
                <w:szCs w:val="22"/>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1,143</w:t>
            </w:r>
          </w:p>
        </w:tc>
        <w:tc>
          <w:tcPr>
            <w:tcW w:w="21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669</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21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Wtd. Avg. Life:</w:t>
            </w:r>
          </w:p>
        </w:tc>
      </w:tr>
      <w:tr>
        <w:trPr>
          <w:trHeight w:val="237"/>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Supplier Contracts</w:t>
            </w:r>
          </w:p>
        </w:tc>
        <w:tc>
          <w:tcPr>
            <w:tcW w:w="200" w:type="dxa"/>
            <w:vAlign w:val="bottom"/>
          </w:tcPr>
          <w:p>
            <w:pPr>
              <w:spacing w:after="0"/>
              <w:rPr>
                <w:sz w:val="20"/>
                <w:szCs w:val="20"/>
                <w:color w:val="auto"/>
              </w:rPr>
            </w:pP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4,981</w:t>
            </w:r>
          </w:p>
        </w:tc>
        <w:tc>
          <w:tcPr>
            <w:tcW w:w="2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2 - 13 Years</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9,665</w:t>
            </w:r>
          </w:p>
        </w:tc>
        <w:tc>
          <w:tcPr>
            <w:tcW w:w="2160" w:type="dxa"/>
            <w:vAlign w:val="bottom"/>
            <w:tcBorders>
              <w:bottom w:val="single" w:sz="8" w:color="CCEEFF"/>
            </w:tcBorders>
            <w:shd w:val="clear" w:color="auto" w:fill="CCEEFF"/>
          </w:tcPr>
          <w:p>
            <w:pPr>
              <w:spacing w:after="0"/>
              <w:rPr>
                <w:sz w:val="23"/>
                <w:szCs w:val="23"/>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16,469</w:t>
            </w:r>
          </w:p>
        </w:tc>
        <w:tc>
          <w:tcPr>
            <w:tcW w:w="216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 acquired</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802</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1,564</w:t>
            </w:r>
          </w:p>
        </w:tc>
        <w:tc>
          <w:tcPr>
            <w:tcW w:w="216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14,103</w:t>
            </w: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Tornier's United States Toe &amp; Ankle Business</w:t>
      </w:r>
    </w:p>
    <w:p>
      <w:pPr>
        <w:spacing w:after="0" w:line="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October 2, 2015, the Company acquired the United States rights to Tornier's Salto Talaris® and Salto Talaris® XT ankle replacement products and Tornier's Futura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silastic toe replacement products (the "Salto and Futura") for $6.0 million in cash. Under the agreement, Integra acquired the U.S. rights to the Salto Talaris® Total Ankle Prosthesis, Salto Talaris® XT Revision Total Ankle Prosthesis, Futura™ Primus Flexible Great Toe system, Futura™ Classic Flexible Great Toe system, and Futura™ Lesser Metatarsal Phalangeal system. The agreement also includes an option to purchase, in the future, the rights to the Salto Talaris®, Salto Talaris® XT, Salto Mobile, and Futura™ silastic toe replacement products outside the United States. The estimated fair value of the net assets acquired exceeded the purchase price for the Salto and Futura product lines and resulted in the Company recording a gain of $1.1 million for the year-ended December 31, 2015 in Other Income. The acquired toe and ankle products enhances the Company's lower extremities product offering and accelerates its entry into the U.S. total ankle replacement market.</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revenue for Salto and Futura of approximately $14.4 million and $3.6 million in the consolidated statements of operations for the year-ended December 31, 2016 and 2015, respectively. The net income or loss attributable to this acquisition cannot be identified on a stand-alone basis because it is in the process of being integrated into the Company's operations.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- 20</w:t>
      </w:r>
    </w:p>
    <w:p>
      <w:pPr>
        <w:sectPr>
          <w:pgSz w:w="11900" w:h="16838" w:orient="portrait"/>
          <w:cols w:equalWidth="0" w:num="1">
            <w:col w:w="11420"/>
          </w:cols>
          <w:pgMar w:left="240" w:top="117"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allocation of the purchase price as of December 31, 2016 based on the fair value of the assets acquired and liabilities assumed: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2160" w:type="dxa"/>
            <w:vAlign w:val="bottom"/>
            <w:tcBorders>
              <w:bottom w:val="single" w:sz="8" w:color="CCEEFF"/>
            </w:tcBorders>
          </w:tcPr>
          <w:p>
            <w:pPr>
              <w:spacing w:after="0"/>
              <w:rPr>
                <w:sz w:val="16"/>
                <w:szCs w:val="16"/>
                <w:color w:val="auto"/>
              </w:rPr>
            </w:pPr>
          </w:p>
        </w:tc>
      </w:tr>
      <w:tr>
        <w:trPr>
          <w:trHeight w:val="255"/>
        </w:trPr>
        <w:tc>
          <w:tcPr>
            <w:tcW w:w="7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160" w:type="dxa"/>
            <w:vAlign w:val="bottom"/>
            <w:shd w:val="clear" w:color="auto" w:fill="CCEEFF"/>
          </w:tcPr>
          <w:p>
            <w:pPr>
              <w:spacing w:after="0"/>
              <w:rPr>
                <w:sz w:val="22"/>
                <w:szCs w:val="22"/>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2,688</w:t>
            </w:r>
          </w:p>
        </w:tc>
        <w:tc>
          <w:tcPr>
            <w:tcW w:w="21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1,453</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Life:</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Ankle product family</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3,210</w:t>
            </w: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 years</w:t>
            </w:r>
          </w:p>
        </w:tc>
      </w:tr>
      <w:tr>
        <w:trPr>
          <w:trHeight w:val="243"/>
        </w:trPr>
        <w:tc>
          <w:tcPr>
            <w:tcW w:w="7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Toe product family</w:t>
            </w:r>
          </w:p>
        </w:tc>
        <w:tc>
          <w:tcPr>
            <w:tcW w:w="2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460</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 years</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7,811</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700</w:t>
            </w:r>
          </w:p>
        </w:tc>
        <w:tc>
          <w:tcPr>
            <w:tcW w:w="216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7,111</w:t>
            </w: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TEI</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17, 2015, the Company executed the two merger agreements (collectively, the "Agreements") under which the Company acquired TEI Biosciences, Inc., a Delaware corporation ("TEI Bio"), and TEI Medical Inc., a Delaware corporation ("TEI Med", collectively "TEI") for an aggregate purchase price of approximately $312.2 million ($210.9 million for TEI Bio and $101.3 million for TEI Med) including a working capital adjustment of $0.2 million ($0.5 million for TEI Bio offset by $0.7 million cash received for TEI Med) which was recorded as a reduction from goodwill. The purchase price consisted of a cash payment to the former shareholders of TEI Bio and TEI Med of approximately $312.4 million upon the closing of the transaction, net of $1.2 million of acquired cash. The acquired assets included a contingent receivable with a fair value of $0.4 million at acquisition and will be paid to the Company if the sale of products used in breast surgery in the United States drops below $6.0 million in either 2016 or 2017. The fair value of this asset is based on future sales projections of the products under various potential scenarios and weighting the probability of these outcomes. At the date of the acquisition, the cash flow projection was discounted using an internal rate of return of 11.0%. These fair value measurements were based on significant inputs not observed in the market and thus represented a Level 3 measurement. In 2016 the fair value of the contingent receivable increased by $1.3 million to reflect changes in estimate and time value of money. As of December 31, 2016, the $1.7 million balance of this contingent receivable is included in Prepaid expenses and other current assets and Other current assets of $1.2 million and $0.5 million, respectively.</w:t>
      </w:r>
    </w:p>
    <w:p>
      <w:pPr>
        <w:spacing w:after="0" w:line="1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and net income or loss attributable to this acquisition cannot be identified on a stand-alone basis because it is in the process of being integrated into the Company's operations.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- 21</w:t>
      </w:r>
    </w:p>
    <w:p>
      <w:pPr>
        <w:sectPr>
          <w:pgSz w:w="11900" w:h="16838" w:orient="portrait"/>
          <w:cols w:equalWidth="0" w:num="1">
            <w:col w:w="11420"/>
          </w:cols>
          <w:pgMar w:left="240" w:top="117"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allocation of the purchase price as of December 31, 2016 based on the fair value of the assets acquired and liabilities assumed: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700" w:type="dxa"/>
            <w:vAlign w:val="bottom"/>
            <w:tcBorders>
              <w:bottom w:val="single" w:sz="8" w:color="CCEEFF"/>
            </w:tcBorders>
          </w:tcPr>
          <w:p>
            <w:pPr>
              <w:spacing w:after="0"/>
              <w:rPr>
                <w:sz w:val="16"/>
                <w:szCs w:val="16"/>
                <w:color w:val="auto"/>
              </w:rPr>
            </w:pPr>
          </w:p>
        </w:tc>
      </w:tr>
      <w:tr>
        <w:trPr>
          <w:trHeight w:val="255"/>
        </w:trPr>
        <w:tc>
          <w:tcPr>
            <w:tcW w:w="7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700" w:type="dxa"/>
            <w:vAlign w:val="bottom"/>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1,241</w:t>
            </w:r>
          </w:p>
        </w:tc>
        <w:tc>
          <w:tcPr>
            <w:tcW w:w="17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9,011</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23,223</w:t>
            </w:r>
          </w:p>
        </w:tc>
        <w:tc>
          <w:tcPr>
            <w:tcW w:w="17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2,027</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5,135</w:t>
            </w:r>
          </w:p>
        </w:tc>
        <w:tc>
          <w:tcPr>
            <w:tcW w:w="17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2,670</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Wtd. Avg. Life:</w:t>
            </w: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167,400</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14 - 16 Years</w:t>
            </w:r>
          </w:p>
        </w:tc>
      </w:tr>
      <w:tr>
        <w:trPr>
          <w:trHeight w:val="243"/>
        </w:trPr>
        <w:tc>
          <w:tcPr>
            <w:tcW w:w="7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Contractual relationships</w:t>
            </w:r>
          </w:p>
        </w:tc>
        <w:tc>
          <w:tcPr>
            <w:tcW w:w="18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51,345</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11 - 14 Years</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Leasehold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147,704</w:t>
            </w:r>
          </w:p>
        </w:tc>
        <w:tc>
          <w:tcPr>
            <w:tcW w:w="1700" w:type="dxa"/>
            <w:vAlign w:val="bottom"/>
          </w:tcPr>
          <w:p>
            <w:pPr>
              <w:spacing w:after="0"/>
              <w:rPr>
                <w:sz w:val="21"/>
                <w:szCs w:val="2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409,825</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9,732</w:t>
            </w:r>
          </w:p>
        </w:tc>
        <w:tc>
          <w:tcPr>
            <w:tcW w:w="17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87,908</w:t>
            </w:r>
          </w:p>
        </w:tc>
        <w:tc>
          <w:tcPr>
            <w:tcW w:w="1700" w:type="dxa"/>
            <w:vAlign w:val="bottom"/>
            <w:tcBorders>
              <w:bottom w:val="single" w:sz="8" w:color="CCEEFF"/>
            </w:tcBorders>
            <w:shd w:val="clear" w:color="auto" w:fill="CCEEFF"/>
          </w:tcPr>
          <w:p>
            <w:pPr>
              <w:spacing w:after="0"/>
              <w:rPr>
                <w:sz w:val="23"/>
                <w:szCs w:val="23"/>
                <w:color w:val="auto"/>
              </w:rPr>
            </w:pPr>
          </w:p>
        </w:tc>
      </w:tr>
      <w:tr>
        <w:trPr>
          <w:trHeight w:val="257"/>
        </w:trPr>
        <w:tc>
          <w:tcPr>
            <w:tcW w:w="7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312,185</w:t>
            </w:r>
          </w:p>
        </w:tc>
        <w:tc>
          <w:tcPr>
            <w:tcW w:w="170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Metasurg</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5, 2014, the Company acquired certain assets of Koby Ventures II, L.P. dba Metasurg ("Metasurg") for an aggregate purchase price of $27.2 million. The purchase price consists of an initial cash payment to Metasurg of $26.5 million and contingent consideration with an acquisition date fair value of $0.7 million. The potential maximum undiscounted contingent consideration of $38.5 million is based on reaching certain sales of acquired products. The fair value of this liability is based on future sales projections of the Metasurg product under various potential scenarios and weighting the probability of these outcomes for the period ended December 31, 2014. At the date of the acquisition, the cash flow projection was discounted using an internal rate of return of 19.9%. These fair value measurements were based on significant inputs not observed in the market and thus represented a Level 3 measurement. During the fourth quarter of 2015, the Company adjusted the fair value of the contingent consideration to zero as the Company no longer believe the achievement of the sales targets is probable. The adjustment was $0.7 million and was recorded in selling, general and administrative expenses. The contingency period lapsed in 2016 and no payments were made.</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Metasurg develops intuitive implant systems for the foot and ankle market and sells almost entirely in the U.S. market. The acquired foot and ankle products will enhance the Company's lower extremities market position.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adjusted the preliminary purchase price allocation during the quarter ended June 30, 2015 to reflect the $0.4 million working capital and purchase price adjustment. The following summarizes the final allocation of the purchase price as of December 31, 2016 based on the fair value of the assets acquired and liabilities assumed:</w:t>
      </w:r>
    </w:p>
    <w:p>
      <w:pPr>
        <w:spacing w:after="0" w:line="278"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4"/>
          <w:szCs w:val="14"/>
          <w:b w:val="1"/>
          <w:bCs w:val="1"/>
          <w:color w:val="auto"/>
        </w:rPr>
        <w:t>Purchase Price</w:t>
      </w:r>
    </w:p>
    <w:p>
      <w:pPr>
        <w:spacing w:after="0" w:line="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4"/>
          <w:szCs w:val="14"/>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4,800</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03"/>
        </w:trPr>
        <w:tc>
          <w:tcPr>
            <w:tcW w:w="4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Intangible assets:</w:t>
            </w:r>
          </w:p>
        </w:tc>
        <w:tc>
          <w:tcPr>
            <w:tcW w:w="3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Wtd. Avg. Life:</w:t>
            </w:r>
          </w:p>
        </w:tc>
      </w:tr>
      <w:tr>
        <w:trPr>
          <w:trHeight w:val="48"/>
        </w:trPr>
        <w:tc>
          <w:tcPr>
            <w:tcW w:w="42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product rights</w:t>
            </w:r>
          </w:p>
        </w:tc>
        <w:tc>
          <w:tcPr>
            <w:tcW w:w="3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20,590</w:t>
            </w:r>
          </w:p>
        </w:tc>
        <w:tc>
          <w:tcPr>
            <w:tcW w:w="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8 - 14 Years</w:t>
            </w:r>
          </w:p>
        </w:tc>
      </w:tr>
      <w:tr>
        <w:trPr>
          <w:trHeight w:val="243"/>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w:t>
            </w:r>
          </w:p>
        </w:tc>
      </w:tr>
      <w:tr>
        <w:trPr>
          <w:trHeight w:val="27"/>
        </w:trPr>
        <w:tc>
          <w:tcPr>
            <w:tcW w:w="42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57"/>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3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27,558</w:t>
            </w: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0"/>
        </w:trPr>
        <w:tc>
          <w:tcPr>
            <w:tcW w:w="4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46"/>
        </w:trPr>
        <w:tc>
          <w:tcPr>
            <w:tcW w:w="4220" w:type="dxa"/>
            <w:vAlign w:val="bottom"/>
          </w:tcPr>
          <w:p>
            <w:pPr>
              <w:spacing w:after="0"/>
              <w:rPr>
                <w:sz w:val="24"/>
                <w:szCs w:val="24"/>
                <w:color w:val="auto"/>
              </w:rPr>
            </w:pPr>
          </w:p>
        </w:tc>
        <w:tc>
          <w:tcPr>
            <w:tcW w:w="3820" w:type="dxa"/>
            <w:vAlign w:val="bottom"/>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F - 22</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MicroFrance</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2014, the Company acquired all outstanding shares of Medtronic Xomed Instrumentation, SAS ("MicroFrance") from Medtronic, Inc. ("Medtronic") as well as certain assets of Medtronic for $61.6 million in cash. MicroFrance specializes in manual ear, nose, and throat ("ENT") instruments and designs, manufactures, and sells reusable handheld instruments to ENT and laparoscopy surgical specialists around the world. The acquired ENT instruments fill a portfolio gap for the Company with clear growth opportunities through market adjacencies and provides for increased scale and reach in the international market.</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adjusted the preliminary purchase price allocation during the quarter ended March 31, 2015 to reflect the $1.5 million working capital and purchase price adjustments. The following summarizes the final allocation of the purchase price as of December 31, 2016 based on the fair value of the assets acquired and liabilities assumed: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2160" w:type="dxa"/>
            <w:vAlign w:val="bottom"/>
          </w:tcPr>
          <w:p>
            <w:pPr>
              <w:spacing w:after="0"/>
              <w:rPr>
                <w:sz w:val="13"/>
                <w:szCs w:val="13"/>
                <w:color w:val="auto"/>
              </w:rPr>
            </w:pPr>
          </w:p>
        </w:tc>
      </w:tr>
      <w:tr>
        <w:trPr>
          <w:trHeight w:val="195"/>
        </w:trPr>
        <w:tc>
          <w:tcPr>
            <w:tcW w:w="7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2160" w:type="dxa"/>
            <w:vAlign w:val="bottom"/>
            <w:tcBorders>
              <w:bottom w:val="single" w:sz="8" w:color="CCEEFF"/>
            </w:tcBorders>
          </w:tcPr>
          <w:p>
            <w:pPr>
              <w:spacing w:after="0"/>
              <w:rPr>
                <w:sz w:val="16"/>
                <w:szCs w:val="16"/>
                <w:color w:val="auto"/>
              </w:rPr>
            </w:pPr>
          </w:p>
        </w:tc>
      </w:tr>
      <w:tr>
        <w:trPr>
          <w:trHeight w:val="201"/>
        </w:trPr>
        <w:tc>
          <w:tcPr>
            <w:tcW w:w="7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160" w:type="dxa"/>
            <w:vAlign w:val="bottom"/>
            <w:shd w:val="clear" w:color="auto" w:fill="CCEEFF"/>
          </w:tcPr>
          <w:p>
            <w:pPr>
              <w:spacing w:after="0"/>
              <w:rPr>
                <w:sz w:val="17"/>
                <w:szCs w:val="17"/>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2,195</w:t>
            </w:r>
          </w:p>
        </w:tc>
        <w:tc>
          <w:tcPr>
            <w:tcW w:w="21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3,155</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620</w:t>
            </w:r>
          </w:p>
        </w:tc>
        <w:tc>
          <w:tcPr>
            <w:tcW w:w="21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3,675</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5,025</w:t>
            </w:r>
          </w:p>
        </w:tc>
        <w:tc>
          <w:tcPr>
            <w:tcW w:w="21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Wtd. Avg. Life:</w:t>
            </w:r>
          </w:p>
        </w:tc>
      </w:tr>
      <w:tr>
        <w:trPr>
          <w:trHeight w:val="24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11,990</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 years</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4,580</w:t>
            </w: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15 - 16 Years</w:t>
            </w:r>
          </w:p>
        </w:tc>
      </w:tr>
      <w:tr>
        <w:trPr>
          <w:trHeight w:val="24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18,130</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12 - 16 Years</w:t>
            </w: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16,607</w:t>
            </w:r>
          </w:p>
        </w:tc>
        <w:tc>
          <w:tcPr>
            <w:tcW w:w="2160" w:type="dxa"/>
            <w:vAlign w:val="bottom"/>
            <w:tcBorders>
              <w:bottom w:val="single" w:sz="8" w:color="CCEEFF"/>
            </w:tcBorders>
            <w:shd w:val="clear" w:color="auto" w:fill="CCEEFF"/>
          </w:tcPr>
          <w:p>
            <w:pPr>
              <w:spacing w:after="0"/>
              <w:rPr>
                <w:sz w:val="23"/>
                <w:szCs w:val="23"/>
                <w:color w:val="auto"/>
              </w:rPr>
            </w:pPr>
          </w:p>
        </w:tc>
      </w:tr>
      <w:tr>
        <w:trPr>
          <w:trHeight w:val="237"/>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65,977</w:t>
            </w:r>
          </w:p>
        </w:tc>
        <w:tc>
          <w:tcPr>
            <w:tcW w:w="216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5,910</w:t>
            </w:r>
          </w:p>
        </w:tc>
        <w:tc>
          <w:tcPr>
            <w:tcW w:w="2160" w:type="dxa"/>
            <w:vAlign w:val="bottom"/>
            <w:tcBorders>
              <w:bottom w:val="single" w:sz="8" w:color="CCEEFF"/>
            </w:tcBorders>
            <w:shd w:val="clear" w:color="auto" w:fill="CCEEFF"/>
          </w:tcPr>
          <w:p>
            <w:pPr>
              <w:spacing w:after="0"/>
              <w:rPr>
                <w:sz w:val="23"/>
                <w:szCs w:val="23"/>
                <w:color w:val="auto"/>
              </w:rPr>
            </w:pPr>
          </w:p>
        </w:tc>
      </w:tr>
      <w:tr>
        <w:trPr>
          <w:trHeight w:val="257"/>
        </w:trPr>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60,067</w:t>
            </w:r>
          </w:p>
        </w:tc>
        <w:tc>
          <w:tcPr>
            <w:tcW w:w="216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Confluent Surgical, Inc.</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15, 2014, the Company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The Company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acquisition complements the Company's global neurosurgery growth strategy aimed at providing a broader set of solutions for surgical procedures in the head.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adjusted the preliminary purchase price allocation during the quarter ended June 30, 2014 to reduce deferred tax liabilities by $12.4 million. This adjustment offset goodwill and was the result of the Company analyzing and revising its tax positions in certain jurisdictions. The following summarizes the final allocation of the purchase price as of December 31, 2016 based on the fair value of the assets acquired and liabilities assumed: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- 23</w:t>
      </w:r>
    </w:p>
    <w:p>
      <w:pPr>
        <w:sectPr>
          <w:pgSz w:w="11900" w:h="16838" w:orient="portrait"/>
          <w:cols w:equalWidth="0" w:num="1">
            <w:col w:w="11420"/>
          </w:cols>
          <w:pgMar w:left="240" w:top="117"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6560" w:type="dxa"/>
            <w:vAlign w:val="bottom"/>
            <w:gridSpan w:val="3"/>
          </w:tcPr>
          <w:p>
            <w:pPr>
              <w:jc w:val="right"/>
              <w:ind w:right="1154"/>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tc>
        <w:tc>
          <w:tcPr>
            <w:tcW w:w="216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6560" w:type="dxa"/>
            <w:vAlign w:val="bottom"/>
            <w:gridSpan w:val="3"/>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2160" w:type="dxa"/>
            <w:vAlign w:val="bottom"/>
          </w:tcPr>
          <w:p>
            <w:pPr>
              <w:spacing w:after="0"/>
              <w:rPr>
                <w:sz w:val="20"/>
                <w:szCs w:val="20"/>
                <w:color w:val="auto"/>
              </w:rPr>
            </w:pPr>
          </w:p>
        </w:tc>
      </w:tr>
      <w:tr>
        <w:trPr>
          <w:trHeight w:val="826"/>
        </w:trPr>
        <w:tc>
          <w:tcPr>
            <w:tcW w:w="27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2160" w:type="dxa"/>
            <w:vAlign w:val="bottom"/>
          </w:tcPr>
          <w:p>
            <w:pPr>
              <w:spacing w:after="0"/>
              <w:rPr>
                <w:sz w:val="24"/>
                <w:szCs w:val="24"/>
                <w:color w:val="auto"/>
              </w:rPr>
            </w:pPr>
          </w:p>
        </w:tc>
      </w:tr>
      <w:tr>
        <w:trPr>
          <w:trHeight w:val="195"/>
        </w:trPr>
        <w:tc>
          <w:tcPr>
            <w:tcW w:w="270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2160" w:type="dxa"/>
            <w:vAlign w:val="bottom"/>
            <w:tcBorders>
              <w:bottom w:val="single" w:sz="8" w:color="CCEEFF"/>
            </w:tcBorders>
          </w:tcPr>
          <w:p>
            <w:pPr>
              <w:spacing w:after="0"/>
              <w:rPr>
                <w:sz w:val="16"/>
                <w:szCs w:val="16"/>
                <w:color w:val="auto"/>
              </w:rPr>
            </w:pPr>
          </w:p>
        </w:tc>
      </w:tr>
      <w:tr>
        <w:trPr>
          <w:trHeight w:val="255"/>
        </w:trPr>
        <w:tc>
          <w:tcPr>
            <w:tcW w:w="2700" w:type="dxa"/>
            <w:vAlign w:val="bottom"/>
            <w:shd w:val="clear" w:color="auto" w:fill="CCEEFF"/>
          </w:tcPr>
          <w:p>
            <w:pPr>
              <w:spacing w:after="0"/>
              <w:rPr>
                <w:sz w:val="22"/>
                <w:szCs w:val="22"/>
                <w:color w:val="auto"/>
              </w:rPr>
            </w:pPr>
          </w:p>
        </w:tc>
        <w:tc>
          <w:tcPr>
            <w:tcW w:w="4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160" w:type="dxa"/>
            <w:vAlign w:val="bottom"/>
            <w:shd w:val="clear" w:color="auto" w:fill="CCEEFF"/>
          </w:tcPr>
          <w:p>
            <w:pPr>
              <w:spacing w:after="0"/>
              <w:rPr>
                <w:sz w:val="22"/>
                <w:szCs w:val="22"/>
                <w:color w:val="auto"/>
              </w:rPr>
            </w:pPr>
          </w:p>
        </w:tc>
      </w:tr>
      <w:tr>
        <w:trPr>
          <w:trHeight w:val="243"/>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 deposit</w:t>
            </w:r>
          </w:p>
        </w:tc>
        <w:tc>
          <w:tcPr>
            <w:tcW w:w="4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4,000</w:t>
            </w:r>
          </w:p>
        </w:tc>
        <w:tc>
          <w:tcPr>
            <w:tcW w:w="2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438</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Wtd. Avg. Life:</w:t>
            </w: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product rights</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239,800</w:t>
            </w:r>
          </w:p>
        </w:tc>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3 - 20 Years</w:t>
            </w:r>
          </w:p>
        </w:tc>
      </w:tr>
      <w:tr>
        <w:trPr>
          <w:trHeight w:val="243"/>
        </w:trPr>
        <w:tc>
          <w:tcPr>
            <w:tcW w:w="2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w:t>
            </w:r>
          </w:p>
        </w:tc>
        <w:tc>
          <w:tcPr>
            <w:tcW w:w="2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 - long term</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105,331</w:t>
            </w:r>
          </w:p>
        </w:tc>
        <w:tc>
          <w:tcPr>
            <w:tcW w:w="2160" w:type="dxa"/>
            <w:vAlign w:val="bottom"/>
          </w:tcPr>
          <w:p>
            <w:pPr>
              <w:spacing w:after="0"/>
              <w:rPr>
                <w:sz w:val="21"/>
                <w:szCs w:val="2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349,981</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supply liability</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5,891</w:t>
            </w:r>
          </w:p>
        </w:tc>
        <w:tc>
          <w:tcPr>
            <w:tcW w:w="216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731</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 - long term</w:t>
            </w:r>
          </w:p>
        </w:tc>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87,464</w:t>
            </w:r>
          </w:p>
        </w:tc>
        <w:tc>
          <w:tcPr>
            <w:tcW w:w="2160" w:type="dxa"/>
            <w:vAlign w:val="bottom"/>
          </w:tcPr>
          <w:p>
            <w:pPr>
              <w:spacing w:after="0"/>
              <w:rPr>
                <w:sz w:val="21"/>
                <w:szCs w:val="2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4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255,895</w:t>
            </w:r>
          </w:p>
        </w:tc>
        <w:tc>
          <w:tcPr>
            <w:tcW w:w="2160" w:type="dxa"/>
            <w:vAlign w:val="bottom"/>
            <w:shd w:val="clear" w:color="auto" w:fill="CCEEFF"/>
          </w:tcPr>
          <w:p>
            <w:pPr>
              <w:spacing w:after="0"/>
              <w:rPr>
                <w:sz w:val="22"/>
                <w:szCs w:val="22"/>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the acquisition date, a regulatory event occurred that resulted in the full-impairment of one of the acquired technology product rights of $0.6 million. This event was not known, or knowable, at the time of the acquisition and therefore the impairment has been included in the Company's cost of sales.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accounted for the contingent supply liability by recording its fair value as a liability on the date of the acquisition based on a discounted cash-flow model. This contingent supply liability relates to contractual quarterly incentive payments that will be made to an affiliate of Covidien if certain supply minimums under the transitional supply agreement are met.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accounted for the contingent consideration by recording its fair value as a liability on the date of the acquisition. The contingent consideration relates to the Company's obtaining certain U.S. and European regulatory approvals. At the date of the acquisition, both of these milestones were valued using a discount rate of 2.2%, which is equivalent to the cost of debt for the estimated time horizon, and an overall probability of occurring of 95%. Accordingly, on January 15, 2014 the Company recorded a $20.9 million liability representing the initial fair value estimate of the probability weighted contingent consideration that management believes will be paid between early 2017 and late 2018. Depending on the expected timing of the estimated payments, the acquisition date fair value of the probability adjusted payments could have been $0.3 million higher or $0.4 million lower. These fair value measurements were based on significant inputs not observed in the market and thus represented a Level 3 measurement. The contingent consideration is re-measured to fair value at each reporting date until the contingency is resolved, and those changes in fair value are recognized in earnings.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Contingent Consideration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contingent consideration during the year-ended December 31, 2016 was increased to reflect current period acquisitions, and the change in the time value of money during the period. A reconciliation of the opening balances to the closing balances of these Level 3 measurements is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 in Statement of Operations</w:t>
            </w:r>
          </w:p>
        </w:tc>
      </w:tr>
      <w:tr>
        <w:trPr>
          <w:trHeight w:val="27"/>
        </w:trPr>
        <w:tc>
          <w:tcPr>
            <w:tcW w:w="57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2016</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21,831</w:t>
            </w:r>
          </w:p>
        </w:tc>
        <w:tc>
          <w:tcPr>
            <w:tcW w:w="1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decrease in fair value of contingent consideration liability</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7"/>
        </w:trPr>
        <w:tc>
          <w:tcPr>
            <w:tcW w:w="5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at December 31, 2016</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22,036</w:t>
            </w:r>
          </w:p>
        </w:tc>
        <w:tc>
          <w:tcPr>
            <w:tcW w:w="120" w:type="dxa"/>
            <w:vAlign w:val="bottom"/>
            <w:tcBorders>
              <w:bottom w:val="single" w:sz="8" w:color="CCEEFF"/>
            </w:tcBorders>
            <w:shd w:val="clear" w:color="auto" w:fill="CCEEFF"/>
          </w:tcPr>
          <w:p>
            <w:pPr>
              <w:spacing w:after="0"/>
              <w:rPr>
                <w:sz w:val="22"/>
                <w:szCs w:val="22"/>
                <w:color w:val="auto"/>
              </w:rPr>
            </w:pPr>
          </w:p>
        </w:tc>
        <w:tc>
          <w:tcPr>
            <w:tcW w:w="4100" w:type="dxa"/>
            <w:vAlign w:val="bottom"/>
            <w:tcBorders>
              <w:bottom w:val="single" w:sz="8" w:color="CCEEFF"/>
            </w:tcBorders>
            <w:shd w:val="clear" w:color="auto" w:fill="CCEEFF"/>
          </w:tcPr>
          <w:p>
            <w:pPr>
              <w:spacing w:after="0"/>
              <w:rPr>
                <w:sz w:val="22"/>
                <w:szCs w:val="22"/>
                <w:color w:val="auto"/>
              </w:rPr>
            </w:pPr>
          </w:p>
        </w:tc>
      </w:tr>
      <w:tr>
        <w:trPr>
          <w:trHeight w:val="20"/>
        </w:trPr>
        <w:tc>
          <w:tcPr>
            <w:tcW w:w="5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contingent consideration were estimated using the discounted cash flows model using discount rate of 2.20%. The Company assesses these assumptions on an ongoing basis as additional information impacting the assumptions is obtained. The entire contingent consideration balance was included in Other Liabilities in the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- 24</w:t>
      </w:r>
    </w:p>
    <w:p>
      <w:pPr>
        <w:sectPr>
          <w:pgSz w:w="11900" w:h="16838" w:orient="portrait"/>
          <w:cols w:equalWidth="0" w:num="1">
            <w:col w:w="11420"/>
          </w:cols>
          <w:pgMar w:left="240" w:top="117"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Supply Agreement Liability and Above Market Supply Agreement Liability</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its supply agreement liability and above market supply agreement liability to reflect payments, changes in estimate and the time value of money during the period. A reconciliation of the opening balance to the closing balance of these Level 3 measurement is as follows (in thousands):</w:t>
      </w:r>
    </w:p>
    <w:p>
      <w:pPr>
        <w:spacing w:after="0" w:line="19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Above</w:t>
            </w:r>
          </w:p>
        </w:tc>
        <w:tc>
          <w:tcPr>
            <w:tcW w:w="288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Supply</w:t>
            </w:r>
          </w:p>
        </w:tc>
        <w:tc>
          <w:tcPr>
            <w:tcW w:w="12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Supply</w:t>
            </w:r>
          </w:p>
        </w:tc>
        <w:tc>
          <w:tcPr>
            <w:tcW w:w="16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288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16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Supply</w:t>
            </w:r>
          </w:p>
        </w:tc>
        <w:tc>
          <w:tcPr>
            <w:tcW w:w="288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Liability -</w:t>
            </w: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Liability -</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2880" w:type="dxa"/>
            <w:vAlign w:val="bottom"/>
          </w:tcPr>
          <w:p>
            <w:pPr>
              <w:spacing w:after="0"/>
              <w:rPr>
                <w:sz w:val="18"/>
                <w:szCs w:val="18"/>
                <w:color w:val="auto"/>
              </w:rPr>
            </w:pPr>
          </w:p>
        </w:tc>
      </w:tr>
      <w:tr>
        <w:trPr>
          <w:trHeight w:val="238"/>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16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in Statement of Operations</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w:t>
            </w:r>
          </w:p>
        </w:tc>
        <w:tc>
          <w:tcPr>
            <w:tcW w:w="288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780" w:type="dxa"/>
            <w:vAlign w:val="bottom"/>
            <w:gridSpan w:val="2"/>
          </w:tcPr>
          <w:p>
            <w:pPr>
              <w:jc w:val="right"/>
              <w:ind w:right="283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increase in fair value</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r>
      <w:tr>
        <w:trPr>
          <w:trHeight w:val="257"/>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2,648</w:t>
            </w:r>
          </w:p>
        </w:tc>
        <w:tc>
          <w:tcPr>
            <w:tcW w:w="2880" w:type="dxa"/>
            <w:vAlign w:val="bottom"/>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supply agreement liability and above market supply agreement liability were estimated using a discounted cash flow model using discount rate of 12.0%. The Company assesses the assumptions on an ongoing basis as additional information impacting assumptions is obtained. The supply agreement liability-current was included in Accrued expenses and other current liabilities and the supply agreement-long term and above market supply agreement liability were included in Other liabilities in the consolidated balance sheets.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transfers between Level 1, 2 or 3 during 2016 or 2015. If the Company's estimates regarding the fair value of its contingent considerations, supply agreement and above market supply agreement are inaccurate, a future adjustment to these estimated fair values may be required. Additionally, these estimated fair values could change significantly.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Results (unaudited)</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results of operations for the years ended December 31, 2015 and 2014 as if the acquisitions completed by the Company during 2015 and 2014 had been completed as of the beginning of the prior year. The pro forma results are based upon certain assumptions and estimates, and they give effect to actual operating results prior to the acquisitions and adjustments to reflect (i) increased interest expense, depreciation expense, intangible asset amortization and fair value inventory step-up, (ii) timing of recognition for certain expenses that will not be recurring in the post-acquisition entity, and (iii) income taxes at a rate consistent with the Company’s statutory rate. No effect has been given to other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r>
      <w:tr>
        <w:trPr>
          <w:trHeight w:val="270"/>
        </w:trPr>
        <w:tc>
          <w:tcPr>
            <w:tcW w:w="45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23"/>
                <w:szCs w:val="23"/>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60" w:type="dxa"/>
            <w:vAlign w:val="bottom"/>
          </w:tcPr>
          <w:p>
            <w:pPr>
              <w:spacing w:after="0"/>
              <w:rPr>
                <w:sz w:val="23"/>
                <w:szCs w:val="23"/>
                <w:color w:val="auto"/>
              </w:rPr>
            </w:pPr>
          </w:p>
        </w:tc>
        <w:tc>
          <w:tcPr>
            <w:tcW w:w="11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75"/>
        </w:trPr>
        <w:tc>
          <w:tcPr>
            <w:tcW w:w="45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1"/>
        </w:trPr>
        <w:tc>
          <w:tcPr>
            <w:tcW w:w="4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00" w:type="dxa"/>
            <w:vAlign w:val="bottom"/>
            <w:gridSpan w:val="5"/>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r>
      <w:tr>
        <w:trPr>
          <w:trHeight w:val="25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 from continuing operations</w:t>
            </w:r>
          </w:p>
        </w:tc>
        <w:tc>
          <w:tcPr>
            <w:tcW w:w="2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992,075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940,089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921,998</w:t>
            </w:r>
          </w:p>
        </w:tc>
      </w:tr>
      <w:tr>
        <w:trPr>
          <w:trHeight w:val="27"/>
        </w:trPr>
        <w:tc>
          <w:tcPr>
            <w:tcW w:w="4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40,721</w:t>
            </w:r>
          </w:p>
        </w:tc>
      </w:tr>
      <w:tr>
        <w:trPr>
          <w:trHeight w:val="24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per share:</w:t>
            </w:r>
          </w:p>
        </w:tc>
        <w:tc>
          <w:tcPr>
            <w:tcW w:w="2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0.56</w:t>
            </w:r>
          </w:p>
        </w:tc>
      </w:tr>
      <w:tr>
        <w:trPr>
          <w:trHeight w:val="891"/>
        </w:trPr>
        <w:tc>
          <w:tcPr>
            <w:tcW w:w="4560" w:type="dxa"/>
            <w:vAlign w:val="bottom"/>
          </w:tcPr>
          <w:p>
            <w:pPr>
              <w:spacing w:after="0"/>
              <w:rPr>
                <w:sz w:val="24"/>
                <w:szCs w:val="24"/>
                <w:color w:val="auto"/>
              </w:rPr>
            </w:pPr>
          </w:p>
        </w:tc>
        <w:tc>
          <w:tcPr>
            <w:tcW w:w="296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color w:val="auto"/>
              </w:rPr>
              <w:t>F - 25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Credit Agreement</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7, 2016, the Company entered into the fourth amended and restated Senior Credit Facility (the “Fourth Amendment and Restatement”) with a syndicate of lending banks. Bank of America, N.A., as Administrative Agent, Swing Line Lender and an L/C Issuer, Wells Fargo Bank, N.A., as Syndication Agent, and Citizens Bank, N.A., DNB Capital LLC, HSBC Bank PLC, HSBC Bank USA, N.A., The Bank of Tokyo-Mitsubishi UFJ, Ltd., PNC Bank, N.A., Royal Bank of Canada, Suntrust Bank, TD Bank, N.A., JPMogran Chase Bank, N.A., Mizuho Bank, Ltd. and Bank of Nova Scotia, as Co-Documentation Agents. The Fourth Amendment and Restatement creates an aggregate principal amount of up to $1.5 billion available to the Company. Below are the significant amendments:</w:t>
      </w:r>
    </w:p>
    <w:p>
      <w:pPr>
        <w:spacing w:after="0" w:line="134"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revolving credit component from $750.0 million to $1.0 billion, which includes a $60.0 million sublimit for the issuance of standby letters of credit and a $60.0 million sublimit for swingline loans,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term loan component from $350.0 million to $500.0 million;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changed the maximum net leverage ratio in financial covenants;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formula for the Company to incur incremental loans in the future;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revised repayment schedule of the term loan component;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maturity from July 2, 2019 to December 7,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Credit Facility bear interest, at the Company's option, at a rate equal to:</w:t>
      </w:r>
    </w:p>
    <w:p>
      <w:pPr>
        <w:spacing w:after="0" w:line="171" w:lineRule="exact"/>
        <w:rPr>
          <w:sz w:val="20"/>
          <w:szCs w:val="20"/>
          <w:color w:val="auto"/>
        </w:rPr>
      </w:pPr>
    </w:p>
    <w:p>
      <w:pPr>
        <w:ind w:left="660" w:right="54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Eurodollar Rate (as defined in the amendment and restatement) in effect from time to time plus the applicable rate (ranging from 1.00% to 1.75%),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of:</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overnight Federal funds rate, as published by the Federal Reserve Bank of New York, plus 0.50%, or</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lending rate of Bank of America, N.A., or</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one-month Eurodollar Rate plus 1.00%.</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2016 the Company was in compliance with all such covenants. The Company capitalized $4.5 million and $1.4 million of incremental financing costs in 2016 and 2015, respectively, in connection with the modifications of the Senior Credit Facility. The Company wrote-off previously capitalized financing cost of $0.5 million as interest expense in 2016 related to the modification.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2016 and 2015, there was $165.0 million and $150.0 million outstanding, respectively, under the revolving portion of the Senior Credit Facility at a weighted average interest rate of 2.2% and 1.9%, respectively. At December 31, 2016 and 2015 there was $500.0 million and $346.2 million, respectively, outstanding under the term loan component of the Senior Credit Facility at a weighted average interest rate of 2.2% and 1.8%, respectively. At December 31, 2016, there was approximately $835.0 million available for borrowing under the Senior Credit Facility.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outstanding borrowings of the Senior Credit Facility's revolving credit facility and term loan components at December 31, 2016 was approximately $147.7 million and $450.5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 term in nature based on its current intent and ability to repay the borrowing outside of the next twelve-month period.</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Letters of credit outstanding as of December 31, 2016 totaled $0.5 million and none as of December 31, 2015. There were no amounts drawn as of December 31,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- 26</w:t>
      </w:r>
    </w:p>
    <w:p>
      <w:pPr>
        <w:sectPr>
          <w:pgSz w:w="11900" w:h="16838" w:orient="portrait"/>
          <w:cols w:equalWidth="0" w:num="1">
            <w:col w:w="11420"/>
          </w:cols>
          <w:pgMar w:left="240" w:top="117" w:right="2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the term loan are due as follows: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5860" w:type="dxa"/>
            <w:vAlign w:val="bottom"/>
            <w:gridSpan w:val="2"/>
          </w:tcPr>
          <w:p>
            <w:pPr>
              <w:jc w:val="center"/>
              <w:ind w:right="40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Principal Repayment</w:t>
            </w:r>
          </w:p>
        </w:tc>
      </w:tr>
      <w:tr>
        <w:trPr>
          <w:trHeight w:val="48"/>
        </w:trPr>
        <w:tc>
          <w:tcPr>
            <w:tcW w:w="368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406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43"/>
        </w:trPr>
        <w:tc>
          <w:tcPr>
            <w:tcW w:w="5480" w:type="dxa"/>
            <w:vAlign w:val="bottom"/>
            <w:gridSpan w:val="2"/>
          </w:tcPr>
          <w:p>
            <w:pPr>
              <w:jc w:val="center"/>
              <w:ind w:left="3590"/>
              <w:spacing w:after="0"/>
              <w:rPr>
                <w:sz w:val="20"/>
                <w:szCs w:val="20"/>
                <w:color w:val="auto"/>
              </w:rPr>
            </w:pPr>
            <w:r>
              <w:rPr>
                <w:rFonts w:ascii="Times New Roman" w:cs="Times New Roman" w:eastAsia="Times New Roman" w:hAnsi="Times New Roman"/>
                <w:sz w:val="18"/>
                <w:szCs w:val="18"/>
                <w:color w:val="auto"/>
                <w:w w:val="99"/>
              </w:rPr>
              <w:t>2017</w:t>
            </w:r>
          </w:p>
        </w:tc>
        <w:tc>
          <w:tcPr>
            <w:tcW w:w="4060" w:type="dxa"/>
            <w:vAlign w:val="bottom"/>
          </w:tcPr>
          <w:p>
            <w:pPr>
              <w:spacing w:after="0"/>
              <w:rPr>
                <w:sz w:val="21"/>
                <w:szCs w:val="21"/>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jc w:val="center"/>
              <w:ind w:left="3590"/>
              <w:spacing w:after="0"/>
              <w:rPr>
                <w:sz w:val="20"/>
                <w:szCs w:val="20"/>
                <w:color w:val="auto"/>
              </w:rPr>
            </w:pPr>
            <w:r>
              <w:rPr>
                <w:rFonts w:ascii="Times New Roman" w:cs="Times New Roman" w:eastAsia="Times New Roman" w:hAnsi="Times New Roman"/>
                <w:sz w:val="18"/>
                <w:szCs w:val="18"/>
                <w:color w:val="auto"/>
                <w:w w:val="99"/>
              </w:rPr>
              <w:t>2018</w:t>
            </w:r>
          </w:p>
        </w:tc>
        <w:tc>
          <w:tcPr>
            <w:tcW w:w="40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jc w:val="center"/>
              <w:ind w:left="3590"/>
              <w:spacing w:after="0"/>
              <w:rPr>
                <w:sz w:val="20"/>
                <w:szCs w:val="20"/>
                <w:color w:val="auto"/>
              </w:rPr>
            </w:pPr>
            <w:r>
              <w:rPr>
                <w:rFonts w:ascii="Times New Roman" w:cs="Times New Roman" w:eastAsia="Times New Roman" w:hAnsi="Times New Roman"/>
                <w:sz w:val="18"/>
                <w:szCs w:val="18"/>
                <w:color w:val="auto"/>
                <w:w w:val="99"/>
              </w:rPr>
              <w:t>2019</w:t>
            </w:r>
          </w:p>
        </w:tc>
        <w:tc>
          <w:tcPr>
            <w:tcW w:w="40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40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jc w:val="center"/>
              <w:ind w:left="3590"/>
              <w:spacing w:after="0"/>
              <w:rPr>
                <w:sz w:val="20"/>
                <w:szCs w:val="20"/>
                <w:color w:val="auto"/>
              </w:rPr>
            </w:pPr>
            <w:r>
              <w:rPr>
                <w:rFonts w:ascii="Times New Roman" w:cs="Times New Roman" w:eastAsia="Times New Roman" w:hAnsi="Times New Roman"/>
                <w:sz w:val="18"/>
                <w:szCs w:val="18"/>
                <w:color w:val="auto"/>
                <w:w w:val="99"/>
              </w:rPr>
              <w:t>2020</w:t>
            </w:r>
          </w:p>
        </w:tc>
        <w:tc>
          <w:tcPr>
            <w:tcW w:w="40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37,500</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jc w:val="center"/>
              <w:ind w:left="3590"/>
              <w:spacing w:after="0"/>
              <w:rPr>
                <w:sz w:val="20"/>
                <w:szCs w:val="20"/>
                <w:color w:val="auto"/>
              </w:rPr>
            </w:pPr>
            <w:r>
              <w:rPr>
                <w:rFonts w:ascii="Times New Roman" w:cs="Times New Roman" w:eastAsia="Times New Roman" w:hAnsi="Times New Roman"/>
                <w:sz w:val="18"/>
                <w:szCs w:val="18"/>
                <w:color w:val="auto"/>
                <w:w w:val="99"/>
              </w:rPr>
              <w:t>2021</w:t>
            </w:r>
          </w:p>
        </w:tc>
        <w:tc>
          <w:tcPr>
            <w:tcW w:w="40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400" w:type="dxa"/>
            <w:vAlign w:val="bottom"/>
          </w:tcPr>
          <w:p>
            <w:pPr>
              <w:spacing w:after="0"/>
              <w:rPr>
                <w:sz w:val="21"/>
                <w:szCs w:val="2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Convertible Senior Notes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15, 2016, the Company extinguished the 2016 Convertible Notes by paying the principal amount of $227.1 million and issued 2.9 million shares of common stock with fair value of $122.0 million related to excess conversion value. No gain or loss on extinguishment was recognized as a result of the conversion. The Company also received 2.9 million shares of common stock from the exercise of call option with hedge participants with a fair value of $123.1 million at the date of the exercise. The shares of common stock received from exercise of the call option are held as treasury stock as of December 31, 2016 at a weighted average price of $41.78 for a total of $123.1 million.</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2016 Convertible Notes were issued on June 15, 2011 with the aggregate principal of $230.0 million and maturity date of December 15, 2016. The 2016 Convertible Notes bore interest at a rate of 1.625% per annum payable semi-annually in arrears on December 15 and June 15 of each year. The 2016 Convertible Notes were senior, unsecured obligations and were convertible into cash and, if applicable, shares of its common stock based on a conversion rate defined within the note agreement.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2015, the carrying amount of the liability component was $218.7 million, the remaining unamortized discount was $8.4 million and the principal amount outstanding was $227.1 million.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2016 Convertible Notes, the Company entered into call transactions and warrant transactions, primarily with affiliates of the initial purchasers of such notes (the “hedge participants”). The initial strike price of the call transaction is approximately $28.72 per share, subject to customary anti-dilution adjustments. The initial strike price of the warrant transaction is approximately $35.03 per share, subject to customary anti-dilution adjustments. The strike price of the call transactions and warrant transactions has been adjusted similarly to the 2016 Convertible Notes as a result of the spin-off to $26.42 per share and $32.22 per share, respectively. The warrants will expire on a series of expiration dates from March 2017 to August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Interest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expense components of the Company’s convertible notes are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6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2016 Convertible Notes:</w:t>
            </w:r>
          </w:p>
        </w:tc>
        <w:tc>
          <w:tcPr>
            <w:tcW w:w="9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the discount on the liability component (1)</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7,104</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interest related to the contractual interest coupon (2)</w:t>
            </w:r>
          </w:p>
        </w:tc>
        <w:tc>
          <w:tcPr>
            <w:tcW w:w="9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3,342</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11,480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11,347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10,446</w:t>
            </w:r>
          </w:p>
        </w:tc>
      </w:tr>
      <w:tr>
        <w:trPr>
          <w:trHeight w:val="27"/>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the discount on the liability component of the 2016 Convertible Notes is presented net of capitalized interest of $0.3 million, $0.6 million, and $0.9 million for the years ended December 31, 2016, 2015, and 2014, respectively.</w:t>
      </w:r>
    </w:p>
    <w:p>
      <w:pPr>
        <w:ind w:left="34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interest related to the contractual interest coupon on the 2016 Convertible Notes is presented net of capitalized interest of $0.1 million, $0.3 million, and $0.4 million for the years ended December 31,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- 27</w:t>
      </w:r>
    </w:p>
    <w:p>
      <w:pPr>
        <w:sectPr>
          <w:pgSz w:w="11900" w:h="16838" w:orient="portrait"/>
          <w:cols w:equalWidth="0" w:num="1">
            <w:col w:w="11420"/>
          </w:cols>
          <w:pgMar w:left="240" w:top="117" w:right="2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interest rate risk relates to U.S. dollar denominated variable interest rate borrowings. On June 22, 2016, the Company entered into two $50.0 million interest rate swap derivative instruments with separate financial institutions, each with an effective date of December 31, 2016 to manage its earnings and cash flow exposure to changes in interest rates covering a portion of its floating-rate debt. These interest rate swaps expire on June 30, 2019.</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2016, the Company entered into an additional $50.0 million interest rate swap derivative instruments with a separate financial institution with an effective date of December 31, 2016 to manage its earnings and cash flow exposure to changes in interest rates covering a portion of its floating-rate debt. This interest rate swap was also designated as a cash flow hedge and expires on June 30, 2019.</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10, 2015 the interest rate swap derivative instrument the Company entered into on August 20, 2010 with an effective date of December 31, 2010 expired. The interest rate swap was used to manage the Company's earnings and cash flow exposure to changes in interest rates by converting a portion of its floating-rate debt into fixed-rate debt.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designated these derivative instruments as cash flow hedges. The Company recorded the effective portion of any change in the fair value of a derivative instrument designated as a cash flow hedge as unrealized gains or losses in accumulated other comprehensive income (“AOCI”), net of tax, until the hedged item affected earnings, at which point the effective portion of any gain or loss was reclassified to earnings. If the hedged cash flow does not occur, or if it becomes probable that it will not occur, the Company will reclassify the amount of any gain or loss on the related cash flow hedge to interest expense at that time.</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2015, the Company reclassified $0.9 million of pre-tax losses recorded as net in AOCI related to the interest rate hedge to earnings prior to the date of expiration. No gain or loss was reclassified to interest expense from AOCI in 2016.</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had outstanding interest rate swaps with total notional amount of $150.0 million. The Company expects that approximately $0.2 million of pre-tax income recorded in AOCI related to interest rate hedge could be reclassified to earnings in the next twelve months.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Hedging</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 was developed using a market approach based on publicly available market yield curves and the terms of the swap. The Company performs ongoing assessments of counterparty credit risk.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- 28</w:t>
      </w:r>
    </w:p>
    <w:p>
      <w:pPr>
        <w:sectPr>
          <w:pgSz w:w="11900" w:h="16838" w:orient="portrait"/>
          <w:cols w:equalWidth="0" w:num="1">
            <w:col w:w="11420"/>
          </w:cols>
          <w:pgMar w:left="240" w:top="117" w:right="2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consolidated balance sheet for derivatives designated as hedging instruments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211455</wp:posOffset>
            </wp:positionV>
            <wp:extent cx="9436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80" w:type="dxa"/>
            <w:vAlign w:val="bottom"/>
            <w:gridSpan w:val="2"/>
            <w:vMerge w:val="restart"/>
          </w:tcPr>
          <w:p>
            <w:pPr>
              <w:spacing w:after="0" w:line="242" w:lineRule="exact"/>
              <w:rPr>
                <w:sz w:val="20"/>
                <w:szCs w:val="20"/>
                <w:color w:val="auto"/>
              </w:rPr>
            </w:pPr>
            <w:r>
              <w:rPr>
                <w:rFonts w:ascii="Times New Roman" w:cs="Times New Roman" w:eastAsia="Times New Roman" w:hAnsi="Times New Roman"/>
                <w:sz w:val="18"/>
                <w:szCs w:val="18"/>
                <w:b w:val="1"/>
                <w:bCs w:val="1"/>
                <w:color w:val="auto"/>
              </w:rPr>
              <w:t xml:space="preserve">Location on Balance Sheet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6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hedges — 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96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Interest rate swap — Prepaid expenses and other current assets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 Other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Derivatives designated as hedges —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1,871</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Company classifies derivative assets and liabilities as current based on the cash flows expected to be incurred within the following 12 months.</w:t>
      </w:r>
    </w:p>
    <w:p>
      <w:pPr>
        <w:spacing w:after="0" w:line="1" w:lineRule="exact"/>
        <w:rPr>
          <w:rFonts w:ascii="Times New Roman" w:cs="Times New Roman" w:eastAsia="Times New Roman" w:hAnsi="Times New Roman"/>
          <w:sz w:val="25"/>
          <w:szCs w:val="25"/>
          <w:color w:val="auto"/>
          <w:vertAlign w:val="superscript"/>
        </w:rPr>
      </w:pPr>
    </w:p>
    <w:p>
      <w:pPr>
        <w:ind w:left="340" w:hanging="332"/>
        <w:spacing w:after="0" w:line="186" w:lineRule="auto"/>
        <w:tabs>
          <w:tab w:leader="none" w:pos="34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At December 31, 2016 the total notional amount related to the Company’s three interest rate swaps was $150.0 million.</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the effect of derivative instruments designated as cash flow hedges on the accompanying consolidated statements of operations during the years ended December 31, 2016 and 2015: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4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80" w:type="dxa"/>
            <w:vAlign w:val="bottom"/>
          </w:tcPr>
          <w:p>
            <w:pPr>
              <w:spacing w:after="0"/>
              <w:rPr>
                <w:sz w:val="12"/>
                <w:szCs w:val="12"/>
                <w:color w:val="auto"/>
              </w:rPr>
            </w:pPr>
          </w:p>
        </w:tc>
        <w:tc>
          <w:tcPr>
            <w:tcW w:w="1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Earnings-(Effective</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40" w:type="dxa"/>
            <w:vAlign w:val="bottom"/>
          </w:tcPr>
          <w:p>
            <w:pPr>
              <w:jc w:val="right"/>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20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1,871</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1,871</w:t>
            </w: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no gains or losses resulting from ineffectiveness of cash flow hedges during the years ended December 31, 2016 and 2015.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TREASURY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25, 2016, the Company's Board of Directors approved a resolution to retire approximately 17.8 million treasury stocks with an aggregate cost of $367.1 million and return such shares to authorized, but unissued shares of common stock. These shares became available for issue on October 28, 2016. The effect retiring these treasury stocks was recognized in Common stock and Additional paid-in capital. There was no effect on total stockholders’ equity as a result of retiring the treasury shares.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25, 2016, the Board of Directors terminated the October 2014 authorization and authorized up to $150.0 million of its outstanding common stock through December 2018. Shares may be repurchased either in the open market or in privately negotiated transactions. As of December 31, 2016 there remained $150.0 million available for repurchases under this authorization.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part of the conversion of the 2016 Convertible Notes the Company received 2.9 million shares of common stock from the exercise of call with hedge participants. The shares of common stock received from exercise of the call options are held as treasury stock as of December 31, 2016 at a weighted average of $41.78 per share for a total of $123.1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treasury stock repurchases under this authorization during the years ended December 31, 2016 and 2015.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- 29</w:t>
      </w:r>
    </w:p>
    <w:p>
      <w:pPr>
        <w:sectPr>
          <w:pgSz w:w="11900" w:h="16838" w:orient="portrait"/>
          <w:cols w:equalWidth="0" w:num="1">
            <w:col w:w="11420"/>
          </w:cols>
          <w:pgMar w:left="240" w:top="117"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 all related to employees and members of the Board of Directors - recognized under the authoritative guidance was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15,829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13,940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151</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17,310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15,450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14,554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estimated tax benefit related to stock-based compensation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5,350</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effect on 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9,204</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the Employee Stock Purchase Plan (the “ESPP”) is to provide eligible employees of the Company with the opportunity to acquire shares of common stock at periodic intervals by means of accumulated payroll deductions. The ESPP is a non-compensatory plan. Under the ESPP, a total of 3.0 million shares of common stock are reserved for issuance. These shares will be made available either from the Company’s authorized but unissued shares of common stock or from shares of common stock reacquired by the Company as treasury stock. At December 31, 2016, 2.1 million shares remain available for purchase under the ESPP. During the years ended December 31, 2016, 2015 and 2014, the Company issued 12,494 shares, 12,040 shares and 8,950 shares under the ESPP for $0.5 million, $0.4 million and $0.2 million,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2016, the Company had stock options, restricted stock awards, performance stock awards,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2008 and May 2010, the stockholders of the Company approved amendments to the 2003 Plan to increase by 1.5 million and 3.5 million, respectively, the number of shares of common stock that may be issued under the 2003 Plan. The Company has reserved 4.0 million shares under each of the 2000 Plan and the 2001 Plan, and 13.0 million shares under the 2003 Plan. The Plans permit the Company to grant incentive and non-qualified stock options, stock appreciation rights, restricted stock, contract stock, performance stock, or dividend equivalent rights to designated directors, officers, employees and associates of the Company.</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options issued under the Plans become exercisable over specified periods, generally within four years from the date of grant for officers and employees, and within one year from the date of the grant for members of the Board of Directors. The awards generally expire six years from the grant date for employees and from six to ten years for directors and certain executive officers. Restricted stock issued under the Plans vests ratably over specified periods, generally three years after the date of grant.</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for all employees holding outstanding awards to provide holders performance stock, restricted stock, and contract stock in the company that employs such employee following the separation. The adjustments to the Company's stock-based compensation awards resulted in an increase in incremental fair value of $4.4 million, of which $0.7 million and $3.3 million was recorded during the year-ended December 31, 2016 and 2015, respectively. The remaining $0.4 million will be recognized prospectively over the remaining term of outstanding awards, adjusted, as applicable, for forfeitures.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values stock option grants using the binomial distribution model. Management believes that the binomial distribution model is preferable to the Black-Scholes model because it is a more flexible model that gives consideration to the impact of non-transferability and vesting provisions in valuing employee stock options.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determining the value of stock options granted, the Company considered that it has never paid cash dividends and does not currently intend to pay cash dividends, and thus has assumed a 0% dividend yield. Expected volatilities are based on the historical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- 30</w:t>
      </w:r>
    </w:p>
    <w:p>
      <w:pPr>
        <w:sectPr>
          <w:pgSz w:w="11900" w:h="16838" w:orient="portrait"/>
          <w:cols w:equalWidth="0" w:num="1">
            <w:col w:w="11420"/>
          </w:cols>
          <w:pgMar w:left="240" w:top="117" w:right="2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volatility of the Company’s stock price with forward-looking assumptions.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The Company adopted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and elected to account for forfeitures as they occur.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weighted-average assumptions were used in the calculation of fair value: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gridSpan w:val="2"/>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tcBorders>
              <w:bottom w:val="single" w:sz="8" w:color="CCEEFF"/>
            </w:tcBorders>
            <w:gridSpan w:val="3"/>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57"/>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rPr>
              <w:t>29%</w:t>
            </w:r>
          </w:p>
        </w:tc>
        <w:tc>
          <w:tcPr>
            <w:tcW w:w="1600" w:type="dxa"/>
            <w:vAlign w:val="bottom"/>
            <w:gridSpan w:val="3"/>
          </w:tcPr>
          <w:p>
            <w:pPr>
              <w:jc w:val="center"/>
              <w:ind w:left="33"/>
              <w:spacing w:after="0"/>
              <w:rPr>
                <w:sz w:val="20"/>
                <w:szCs w:val="20"/>
                <w:color w:val="auto"/>
              </w:rPr>
            </w:pPr>
            <w:r>
              <w:rPr>
                <w:rFonts w:ascii="Times New Roman" w:cs="Times New Roman" w:eastAsia="Times New Roman" w:hAnsi="Times New Roman"/>
                <w:sz w:val="18"/>
                <w:szCs w:val="18"/>
                <w:color w:val="auto"/>
                <w:w w:val="96"/>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6"/>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 free interest rate</w:t>
            </w: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w w:val="98"/>
              </w:rPr>
              <w:t>1.94%</w:t>
            </w:r>
          </w:p>
        </w:tc>
        <w:tc>
          <w:tcPr>
            <w:tcW w:w="1600" w:type="dxa"/>
            <w:vAlign w:val="bottom"/>
            <w:tcBorders>
              <w:bottom w:val="single" w:sz="8" w:color="CCEEFF"/>
            </w:tcBorders>
            <w:gridSpan w:val="3"/>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8"/>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ind w:right="37"/>
              <w:spacing w:after="0"/>
              <w:rPr>
                <w:sz w:val="20"/>
                <w:szCs w:val="20"/>
                <w:color w:val="auto"/>
              </w:rPr>
            </w:pPr>
            <w:r>
              <w:rPr>
                <w:rFonts w:ascii="Times New Roman" w:cs="Times New Roman" w:eastAsia="Times New Roman" w:hAnsi="Times New Roman"/>
                <w:sz w:val="18"/>
                <w:szCs w:val="18"/>
                <w:color w:val="auto"/>
                <w:w w:val="98"/>
              </w:rPr>
              <w:t>2.41%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life of option from grant date</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8 years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8 years</w:t>
            </w:r>
          </w:p>
        </w:tc>
        <w:tc>
          <w:tcPr>
            <w:tcW w:w="140" w:type="dxa"/>
            <w:vAlign w:val="bottom"/>
          </w:tcPr>
          <w:p>
            <w:pPr>
              <w:spacing w:after="0"/>
              <w:rPr>
                <w:sz w:val="21"/>
                <w:szCs w:val="21"/>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32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2"/>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34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6"/>
                <w:szCs w:val="16"/>
                <w:b w:val="1"/>
                <w:bCs w:val="1"/>
                <w:color w:val="auto"/>
                <w:w w:val="99"/>
              </w:rPr>
              <w:t>Stock Options</w:t>
            </w:r>
          </w:p>
        </w:tc>
        <w:tc>
          <w:tcPr>
            <w:tcW w:w="41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2,386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Forfeited or Expired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2,083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46,340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Vested or expected to vest at December 31, 2016</w:t>
            </w: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2,083</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6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46,340</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at December 31, 2016</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41,292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intrinsic value of options exercised for the years ended December 31, 2016, 2015 and 2014 were $9.7 million, $5.8 million and $7.7 million, respectively. The weighted average grant date fair value of options granted during the years ended December 31, 2016, 2015 and 2014 was $12.48, $8.59 and $9.08, respectively. Cash received from option exercises was $14.4 million, $10.1 million and $18.7 million, for the years ended December 31, 2016, 2015 and 2014, respectively.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2016, there was approximately $4.0 million of total unrecognized compensation costs related to unvested stock options. These costs are expected to be recognized over a weighted-average period of approximately two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of Restricted Stock, Performance Stock and Contract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awards of restricted stock, performance stock and contract stock for the year ended December 31, 2016.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- 31</w:t>
      </w:r>
    </w:p>
    <w:p>
      <w:pPr>
        <w:sectPr>
          <w:pgSz w:w="11900" w:h="16838" w:orient="portrait"/>
          <w:cols w:equalWidth="0" w:num="1">
            <w:col w:w="11420"/>
          </w:cols>
          <w:pgMar w:left="240" w:top="117" w:right="2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 Stock and Contract Stock Awards</w:t>
            </w:r>
          </w:p>
        </w:tc>
        <w:tc>
          <w:tcPr>
            <w:tcW w:w="0" w:type="dxa"/>
            <w:vAlign w:val="bottom"/>
          </w:tcPr>
          <w:p>
            <w:pPr>
              <w:spacing w:after="0"/>
              <w:rPr>
                <w:sz w:val="1"/>
                <w:szCs w:val="1"/>
                <w:color w:val="auto"/>
              </w:rPr>
            </w:pPr>
          </w:p>
        </w:tc>
      </w:tr>
      <w:tr>
        <w:trPr>
          <w:trHeight w:val="568"/>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14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January 1, 2016</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for performance achievement related to award target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but not released</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December 31, 2016</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$15.6 million, $10.2 million and $13.1 million in expense related to such awards during the years ended December 31, 2016, 2015 and 2014, respectively. The total fair market value of shares vested and released in 2016, 2015 and 2014 was $16.2 million, $19.9 million and $9.4 million, respectively. Vested awards includes shares that have been fully earned, but had not been delivered as of Dece mber 31, 2016.</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2016, there was approximately $14.8 million of total unrecognized compensation costs related to unvested restricted stock, performance stock and contract stock awards. These costs are expected to be recognized over a weighted-average period of approximately two years.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2016, there are approximately 0.4 million vested Restricted Units and 0.2 million vested performance share units held by various employees for which the related shares have not yet been issued. The final determination of the number of shares to be issued in respect of an award based on achievement of pre-defined performance metrics is made by the Company's Compensation Committee of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2016, there were approximately 2.2 million shares available for grant under the Plans.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capitalized into inventory, share based compensation costs of $0.5 million, $0.3 million and $0.2 million for the years ended December 31, 2016, 2015 and 2014, respectively. Such share based compensation was recognized as cost of goods sold when related inventory was sold.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BENEFIT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defined benefit pension plan that covers employees in its manufacturing plant located in Tuttlingen, Germany (the “Germany Plan”). The Company closed the Tuttlingen, Germany plant in December 2005. The Company did not terminate the Germany Plan, and the Company remains obligated for the accrued pension benefits related to this plan.</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2015, the Company completed the buy-out of its defined benefit pension plan in the U.K. which covered certain employees and retirees. All plan assets of the defined benefit pension plan were transferred to an independent financial services firm and the Company made cash contributions of approximately $1.8 million for the year-ended December 31, 2015. The Company recorded expenses totaling approximately $5.6 million in selling, general and administrative costs in conjunction with the buy-out of the plan. The buy-out of the U.K. pension plan eliminated future obligations of the Company under this plan.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various defined contribution savings plans that cover substantially all employees in the United States, the United Kingdom and Puerto Rico. The Company matches a certain percentage of each employee’s contributions as per the provisions of the plans. Total contributions by the Company to the plans were $5.6 million, $3.7 million and $3.0 million for the years ended December 31, 2016, 2015 and 2014, respectively.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- 32</w:t>
      </w:r>
    </w:p>
    <w:p>
      <w:pPr>
        <w:sectPr>
          <w:pgSz w:w="11900" w:h="16838" w:orient="portrait"/>
          <w:cols w:equalWidth="0" w:num="1">
            <w:col w:w="11420"/>
          </w:cols>
          <w:pgMar w:left="240" w:top="117" w:right="2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 AND RELATED PARTY LEASES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administrative, manufacturing, research and distribution facilities and various manufacturing, office and transportation equipment through operating lease agreements. Future minimum lease payments under operating leases at December 31, 2016 were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9,850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8,092</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6,989</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4,569</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26,716</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55,265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59,926</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rental expense for the years ended December 31, 2016, 2015 and 2014 and was $10.3 million, $10.1 million and $10.2 million, respectively, and included $0.3 million, in related party rental expense in each of the three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future minimum lease payments under capital leases at December 31, 2016.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December 27, 2016, the Company leased certain production equipment from a corporation whose sole stockholder is a general partnership, of which the Company’s former Chairman (and current director) is a partner and the President. Under the terms of the lease agreement, the Company pays $0.1 million per year to the related party lessor. Effective December 27, 2016, the Company purchased the production equipment for $0.4 million.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leases its manufacturing facility in Plainsboro, New Jersey, from a general partnership that is 50% owned by a corporation whose shareholders are trusts, whose beneficiaries include family members of the Company’s former Chairman (and current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6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36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 operations</w:t>
            </w:r>
          </w:p>
        </w:tc>
        <w:tc>
          <w:tcPr>
            <w:tcW w:w="3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51,351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37,450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21,349</w:t>
            </w: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operations</w:t>
            </w: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24,217</w:t>
            </w:r>
          </w:p>
        </w:tc>
      </w:tr>
      <w:tr>
        <w:trPr>
          <w:trHeight w:val="27"/>
        </w:trPr>
        <w:tc>
          <w:tcPr>
            <w:tcW w:w="36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90,406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60,671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45,566</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34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F - 33</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rate to the Company’s effective tax rate is as follows:</w:t>
      </w:r>
    </w:p>
    <w:p>
      <w:pPr>
        <w:spacing w:after="0" w:line="39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Federal statutory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(decrease) in income taxes resulting from:</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operations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Spine valuation allowance</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tax benefits from stock compensation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Charitable contributions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Intercompany profit in inventory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Nondeductible facilitative costs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to provision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7"/>
        </w:trPr>
        <w:tc>
          <w:tcPr>
            <w:tcW w:w="6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decreased by 71.2% in 2016 compared with 2015 primarily due to recording a valuation allowance against net deferred tax assets for the SeaSpine spin-off during 2015. The Company recorded an income tax benefit of $3.8 million in the current year for excess tax benefits from early adoption of the new share-based compensation accounting guidance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an income tax benefit of $1.4 million relating to the filing of tax returns and an income tax benefit of $0.5 million for Federal research credit study.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2016, the Company's foreign operations generated a $0.8 million increase in income tax expense as a result of, among other factors, the geographic and business mix of taxable earnings and losses. The 2016 foreign effective tax rate is 12.7%, an increase of approximately 2.1% over the rate in 2015. The Company's foreign tax rate is primarily based upon statutory rates and is not related to a tax holiday or negotiated tax 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2015, the Company's foreign operations generated a $2.3 million decrease in income tax expense when compared with 2014, as a result of, among other factors, the geographic and business mix of taxable earnings and losses and the re-establishment of an income tax benefit in France for half of the year related to intercompany interest. The 2015 foreign effective tax rate is 10.6%, a decrease of approximately 5.7% over the rate in 2014. The Company's foreign tax rate is primarily based upon statutory tax rates and is not related to a tax holiday or negotiated tax rate.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2014, the Company's foreign operations generated a $1.2 million decrease in income tax expense as a result of, among other factors, the geographic and business mix of taxable earnings and losses and the re-establishment of an income tax benefit in France for half of the year related to intercompany interest. The 2014 foreign effective tax rate is 4.9%, a decrease of approximately 39.6% over the rate in 2013. The Company's foreign tax rate is primarily based upon statutory tax rates and is not related to a tax holiday or negotiated tax rate.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2016, the Company has not provided deferred U.S. income taxes or foreign withholding taxes on temporary differences of approximately $301.3 million resulting from earnings for certain non-U.S. subsidiaries which are permanently reinvested outside the U.S. The unrecognized deferred tax liability associated with these temporary differences was estimated to be $42.5 million at December 31, 2016. Events that could trigger a need to repatriate foreign cash to the U.S. and generate a tax might include U.S. acquisitions, loans from a foreign subsidiary, or anticipated tax law changes that are considered unfavorable and would result in higher taxes on repatriations that occur after the change in tax law goes into effect.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- 34</w:t>
      </w:r>
    </w:p>
    <w:p>
      <w:pPr>
        <w:sectPr>
          <w:pgSz w:w="11900" w:h="16838" w:orient="portrait"/>
          <w:cols w:equalWidth="0" w:num="1">
            <w:col w:w="11420"/>
          </w:cols>
          <w:pgMar w:left="240" w:top="117"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46,665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10,330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2,124</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3,666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22,316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16,120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15,842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53,820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9,271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effects of significant temporary differences that give rise to deferred tax assets and liabilities, shown before jurisdictional netting, are presented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1"/>
                <w:szCs w:val="2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Doubtful accounts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related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24,417</w:t>
            </w:r>
          </w:p>
        </w:tc>
      </w:tr>
      <w:tr>
        <w:trPr>
          <w:trHeight w:val="243"/>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vacation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2,713</w:t>
            </w:r>
          </w:p>
        </w:tc>
      </w:tr>
      <w:tr>
        <w:trPr>
          <w:trHeight w:val="243"/>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bonus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7,555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16,222</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17,548</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&amp; state tax credits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6,227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1,952</w:t>
            </w:r>
          </w:p>
        </w:tc>
      </w:tr>
      <w:tr>
        <w:trPr>
          <w:trHeight w:val="237"/>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79,230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82,481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tax assets after valuation allowance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75,626</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77,594</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and fixed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97"/>
        </w:trPr>
        <w:tc>
          <w:tcPr>
            <w:tcW w:w="8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(217,632)</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(225,553)</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(147,959)</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2016, the Company had net operating loss carryforwards of $28.5 million for federal income tax purposes, $24.2 million for foreign income tax purposes and $14.0 million for state income tax purposes to offset future taxable income. The federal net operating loss carryforwards expire through 2032, $2.5 million of the foreign net operating loss carryforwards expire through 2025 with the remaining $21.7 million having an indefinite carry forward period. The state net operating loss carryforwards expire through 2036.</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valuation allowance of $3.6 million, $4.9 million and $6.8 million is recorded against the Company’s gross deferred tax assets of $79.2 million, $82.5 million, and $91.1 million recorded at December 31, 2016, 2015 and 2014,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- 35</w:t>
      </w:r>
    </w:p>
    <w:p>
      <w:pPr>
        <w:sectPr>
          <w:pgSz w:w="11900" w:h="16838" w:orient="portrait"/>
          <w:cols w:equalWidth="0" w:num="1">
            <w:col w:w="11420"/>
          </w:cols>
          <w:pgMar w:left="240" w:top="117" w:right="2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valuation allowance relates to deferred tax assets for certain items that will be deductible for income tax purposes under very limited circumstances and for which the Company believes it is not more likely than not that it will realize the associated tax benefit.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valuation allowance decreased by $1.3 million, and $1.9 million in 2016 and 2015, respectively. The 2016 overall decrease in the valuation allowance was primarily due to a reduction of net operating losses in Germany from 2011 income tax audit. which is offset by a reduction in the related deferred tax asset.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uncertain tax benefits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increases: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decreases: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$0.8 million of the balance at December 31, 2016 relates to uncertain tax positions that, if recognized, would affect the annual effective tax rate. Included in the balance of uncertain tax positions at December 31, 2016 is $0.7 million related to tax positions for which it is reasonably possible that the total amounts could be reduced during the twelve months following December 31, 2016.</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relating to uncertain tax positions in income tax expense. The Company recognized a minimal benefit for the years ended December 31, 2016 and 2015 and $0.2 million benefit for interest and penalties in the income statement during the year ended December 31, 2014. The Company had minimal interest and penalties accrued for the years ended December 31, 2016 and 2015 and $0.1 million of interest and penalties accrued for the year ended December 31, 2014.</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Federal income tax returns, as well as multiple state, local and foreign jurisdiction tax returns. The Company is no longer subject to examinations of its Federal income tax returns by the IRS through fiscal year 2013. All significant state and local matters have been concluded through fiscal 2012. All significant foreign matters have been settled through fiscal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- 36</w:t>
      </w:r>
    </w:p>
    <w:p>
      <w:pPr>
        <w:sectPr>
          <w:pgSz w:w="11900" w:h="16838" w:orient="portrait"/>
          <w:cols w:equalWidth="0" w:num="1">
            <w:col w:w="11420"/>
          </w:cols>
          <w:pgMar w:left="240" w:top="117" w:right="2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SHARE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(loss) per share was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0"/>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gridSpan w:val="6"/>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960" w:type="dxa"/>
            <w:vAlign w:val="bottom"/>
          </w:tcPr>
          <w:p>
            <w:pPr>
              <w:spacing w:after="0"/>
              <w:rPr>
                <w:sz w:val="21"/>
                <w:szCs w:val="21"/>
                <w:color w:val="auto"/>
              </w:rPr>
            </w:pPr>
          </w:p>
        </w:tc>
      </w:tr>
      <w:tr>
        <w:trPr>
          <w:trHeight w:val="208"/>
        </w:trPr>
        <w:tc>
          <w:tcPr>
            <w:tcW w:w="6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net income (loss) per share:</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9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74,564</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36,295</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37"/>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74,564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34,004</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74,386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68,990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64,864</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Basic net income per common share from continuing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0.56</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loss per common share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7"/>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0.52</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Diluted net income (loss) per share: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74,564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36,295</w:t>
            </w: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74,564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34,004</w:t>
            </w:r>
          </w:p>
        </w:tc>
      </w:tr>
      <w:tr>
        <w:trPr>
          <w:trHeight w:val="324"/>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64,864</w:t>
            </w: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 Convertible notes and related warrants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Stock options and restricted stock</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1,056</w:t>
            </w: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71,354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65,920</w:t>
            </w:r>
          </w:p>
        </w:tc>
      </w:tr>
      <w:tr>
        <w:trPr>
          <w:trHeight w:val="324"/>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Diluted net income per common share from continuing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0.94</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0.55</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loss per common share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7"/>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0.52</w:t>
            </w: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to provide holders performance stock, restricted stock, and contract stock in the company that employs such employee following the separation. The adjustments to the Company's stock-based compensation awards resulted in an increase in incremental fair value of $4.4 million, of which $0.7 million and $3.3 million were recorded during the year-ended December 31, 2016 and 2015, respectively. The remaining $0.4 million will be recognized prospectively over the remaining term of outstanding awards, adjusted, as applicable, for forfeitures.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Common stock of approximately 0.2 million, 0.2 million and 0.4 million shares at December 31, 2016, 2015 and 2014, respectively, that are issuable through exercise of dilutive securities were not included in the computation of diluted net income per share because their effect would have been antidilutive.</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year-ended December 31, 2015 and for the period from January 1, 2016 to December 15, 2016, the date of 2016 Convertible Notes settlement, the potential excess conversion value on the 2016 Convertible Notes was included in the Company's dilutive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- 37</w:t>
      </w:r>
    </w:p>
    <w:p>
      <w:pPr>
        <w:sectPr>
          <w:pgSz w:w="11900" w:h="16838" w:orient="portrait"/>
          <w:cols w:equalWidth="0" w:num="1">
            <w:col w:w="11420"/>
          </w:cols>
          <w:pgMar w:left="240" w:top="117" w:right="2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 calculation because the average stock price for period outstanding exceeded the conversion price. On December 15, 2016, the Company settled the 2016 Convertible Notes and issued 2.9 million shares of common stock related to the conversion premium of 2016 Convertible Notes. The Company also exercised the call option with hedge participants and received 2.9 million shares of common stock. See Note 5 for additional information related to our 2016 Convertible Notes.</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year-ended December 31, 2015, the potential excess conversion value on the 2016 Convertible Notes was included in the Company's dilutive share calculation because the average stock price for the year-ended December 31, 2015 exceeded the conversion price.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year-ended December 31, 2014, the potential excess conversion value of the 2016 Convertible Notes were anti-dilutive because the conversion price exceeded the Company's stock price; therefore, these amounts have been excluded from the diluted earnings per share calculation.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warrants outstanding related to its 2016 Convertible Notes at December 31, 2016, 2015 and 2014 and the Company's 2016 Convertible Notes are convertible to common shares in certain circumstances (see Note 5). These warrants and the excess conversion value of the 2016 Convertible Notes are included in the diluted earnings per share calculation using the treasury stock method, unless the effect of including such items would be anti-dilutive.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Shares and Restricted Units that entitle the holders to approximately 0.6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between December 31, 2016 and 2015 are presented in the table below, net of tax:</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 and Losses</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4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(47,911)</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(47,902)</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(58,189)</w:t>
            </w:r>
          </w:p>
        </w:tc>
        <w:tc>
          <w:tcPr>
            <w:tcW w:w="2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reclassification adjustment out of accumulate comprehensive loss during the year ended December 31, 2016.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TEI, an acquisition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- 38</w:t>
      </w:r>
    </w:p>
    <w:p>
      <w:pPr>
        <w:sectPr>
          <w:pgSz w:w="11900" w:h="16838" w:orient="portrait"/>
          <w:cols w:equalWidth="0" w:num="1">
            <w:col w:w="11420"/>
          </w:cols>
          <w:pgMar w:left="240" w:top="117" w:right="2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 As of February 23, 2017, no indemnification payments were received nor owed in relation to the lawsuits for the initial indemnification time period, which cover the first fifteen months after closing.</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2015, the Company began to disclose three global reportable segments as a result of changes in how the Company internally manages and reports the results of its businesses to its chief operating decision maker. On July 1, 2015, the Company completed the separation of its spine business, which was a reportable segment. See Note 3 -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additional information. Following the separation, the Company is disclosing two reportable segments. The two reportable segments and their activities are described below:</w:t>
      </w:r>
    </w:p>
    <w:p>
      <w:pPr>
        <w:spacing w:after="0" w:line="234" w:lineRule="exact"/>
        <w:rPr>
          <w:sz w:val="20"/>
          <w:szCs w:val="20"/>
          <w:color w:val="auto"/>
        </w:rPr>
      </w:pPr>
    </w:p>
    <w:p>
      <w:pPr>
        <w:jc w:val="both"/>
        <w:ind w:left="660" w:hanging="328"/>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Specialty Surgical Solutions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60,000 instrument patterns and surgical and lighting products to hospitals, surgery centers, and dental, podiatry, and veterinary offices.</w:t>
      </w:r>
    </w:p>
    <w:p>
      <w:pPr>
        <w:spacing w:after="0" w:line="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Orthopedics and Tissue Technologies segment includes such offerings as skin and wound repair, bone and joint fixation implants in the upper and lower extremities, bone grafts and nerve and tendon repair.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notable change from the Company's financial statements for the year ended December 31, 2014 included in the Annual Report on Form 10-K is the integration of the former International reportable segment into the segments noted above as well as certain products from the Private Label segment into Orthopedics and Tissue Technologies. The Spine Private Label products were included in the separation of the spine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and other category includes (i) various legal, finance, information systems, executive, and human resource functions, (ii) brand management, and (iii) share-based compensation costs. Prior to the realignment, costs related to procurement, manufacturing operations and logistics for the Company's entire organization were not allocated to operating segments. In connection with the realignment, a portion of these costs have now been incorporated into the disclosed operating segments.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- 39</w:t>
      </w:r>
    </w:p>
    <w:p>
      <w:pPr>
        <w:sectPr>
          <w:pgSz w:w="11900" w:h="16838" w:orient="portrait"/>
          <w:cols w:equalWidth="0" w:num="1">
            <w:col w:w="11420"/>
          </w:cols>
          <w:pgMar w:left="240" w:top="117" w:right="2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years ended December 31, 2016, 2015 and 2014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Specialty Surgical Solutions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632,524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586,918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554,872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Orthopedics and Tissue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359,551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295,816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241,845</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992,075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882,734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796,717</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Segment Profit</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Specialty Surgical Solutions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256,629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242,479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210,146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Orthopedics and Tissue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103,852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87,844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85,257</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Segment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360,481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330,323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295,403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(6,810)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(220,736)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115,340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79,587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67,857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allocate any assets to the reportable segments, and, therefore, no asset information is reported to the chief operating decision maker and disclosed in the financial information for each segment.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attributes revenue to geographic areas based on the location of the customer. There are certain revenues managed by the various U.S. segments above that are generated from non-U.S. customers and therefore included in Europe and the Rest of World revenues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net and long-lived assets (tangible) by major geographic area are summarized below:</w:t>
      </w:r>
    </w:p>
    <w:p>
      <w:pPr>
        <w:spacing w:after="0" w:line="313" w:lineRule="exact"/>
        <w:rPr>
          <w:sz w:val="20"/>
          <w:szCs w:val="20"/>
          <w:color w:val="auto"/>
        </w:rPr>
      </w:pPr>
    </w:p>
    <w:p>
      <w:pPr>
        <w:ind w:left="5460"/>
        <w:spacing w:after="0"/>
        <w:tabs>
          <w:tab w:leader="none" w:pos="7280" w:val="left"/>
          <w:tab w:leader="none" w:pos="8540" w:val="left"/>
          <w:tab w:leader="none" w:pos="10260" w:val="left"/>
        </w:tabs>
        <w:rPr>
          <w:sz w:val="20"/>
          <w:szCs w:val="20"/>
          <w:color w:val="auto"/>
        </w:rPr>
      </w:pPr>
      <w:r>
        <w:rPr>
          <w:rFonts w:ascii="Times New Roman" w:cs="Times New Roman" w:eastAsia="Times New Roman" w:hAnsi="Times New Roman"/>
          <w:sz w:val="14"/>
          <w:szCs w:val="14"/>
          <w:b w:val="1"/>
          <w:bCs w:val="1"/>
          <w:color w:val="auto"/>
        </w:rPr>
        <w:t>United States*</w:t>
      </w:r>
      <w:r>
        <w:rPr>
          <w:sz w:val="20"/>
          <w:szCs w:val="20"/>
          <w:color w:val="auto"/>
        </w:rPr>
        <w:tab/>
      </w:r>
      <w:r>
        <w:rPr>
          <w:rFonts w:ascii="Times New Roman" w:cs="Times New Roman" w:eastAsia="Times New Roman" w:hAnsi="Times New Roman"/>
          <w:sz w:val="14"/>
          <w:szCs w:val="14"/>
          <w:b w:val="1"/>
          <w:bCs w:val="1"/>
          <w:color w:val="auto"/>
        </w:rPr>
        <w:t>Europe</w:t>
      </w:r>
      <w:r>
        <w:rPr>
          <w:sz w:val="20"/>
          <w:szCs w:val="20"/>
          <w:color w:val="auto"/>
        </w:rPr>
        <w:tab/>
      </w:r>
      <w:r>
        <w:rPr>
          <w:rFonts w:ascii="Times New Roman" w:cs="Times New Roman" w:eastAsia="Times New Roman" w:hAnsi="Times New Roman"/>
          <w:sz w:val="14"/>
          <w:szCs w:val="14"/>
          <w:b w:val="1"/>
          <w:bCs w:val="1"/>
          <w:color w:val="auto"/>
        </w:rPr>
        <w:t>Rest of the World</w:t>
      </w:r>
      <w:r>
        <w:rPr>
          <w:sz w:val="20"/>
          <w:szCs w:val="20"/>
          <w:color w:val="auto"/>
        </w:rPr>
        <w:tab/>
      </w:r>
      <w:r>
        <w:rPr>
          <w:rFonts w:ascii="Times New Roman" w:cs="Times New Roman" w:eastAsia="Times New Roman" w:hAnsi="Times New Roman"/>
          <w:sz w:val="14"/>
          <w:szCs w:val="14"/>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39789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revenue,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2016</w:t>
            </w:r>
          </w:p>
        </w:tc>
        <w:tc>
          <w:tcPr>
            <w:tcW w:w="2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765,608</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120,588</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105,879</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992,075</w:t>
            </w:r>
          </w:p>
        </w:tc>
      </w:tr>
      <w:tr>
        <w:trPr>
          <w:trHeight w:val="27"/>
        </w:trPr>
        <w:tc>
          <w:tcPr>
            <w:tcW w:w="3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right"/>
              <w:ind w:right="2710"/>
              <w:spacing w:after="0"/>
              <w:rPr>
                <w:sz w:val="20"/>
                <w:szCs w:val="20"/>
                <w:color w:val="auto"/>
              </w:rPr>
            </w:pPr>
            <w:r>
              <w:rPr>
                <w:rFonts w:ascii="Times New Roman" w:cs="Times New Roman" w:eastAsia="Times New Roman" w:hAnsi="Times New Roman"/>
                <w:sz w:val="18"/>
                <w:szCs w:val="18"/>
                <w:color w:val="auto"/>
              </w:rPr>
              <w:t>2015</w:t>
            </w:r>
          </w:p>
        </w:tc>
        <w:tc>
          <w:tcPr>
            <w:tcW w:w="2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680,824</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103,057</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98,853</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882,734</w:t>
            </w:r>
          </w:p>
        </w:tc>
      </w:tr>
      <w:tr>
        <w:trPr>
          <w:trHeight w:val="243"/>
        </w:trPr>
        <w:tc>
          <w:tcPr>
            <w:tcW w:w="344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2014</w:t>
            </w:r>
          </w:p>
        </w:tc>
        <w:tc>
          <w:tcPr>
            <w:tcW w:w="21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596,303</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99,207</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101,207</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796,717</w:t>
            </w:r>
          </w:p>
        </w:tc>
      </w:tr>
      <w:tr>
        <w:trPr>
          <w:trHeight w:val="27"/>
        </w:trPr>
        <w:tc>
          <w:tcPr>
            <w:tcW w:w="3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99"/>
              </w:rPr>
              <w:t>Total long-lived assets:</w:t>
            </w:r>
          </w:p>
        </w:tc>
        <w:tc>
          <w:tcPr>
            <w:tcW w:w="2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2016</w:t>
            </w:r>
          </w:p>
        </w:tc>
        <w:tc>
          <w:tcPr>
            <w:tcW w:w="2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213,898</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18,970</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234,103</w:t>
            </w:r>
          </w:p>
        </w:tc>
      </w:tr>
      <w:tr>
        <w:trPr>
          <w:trHeight w:val="27"/>
        </w:trPr>
        <w:tc>
          <w:tcPr>
            <w:tcW w:w="3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440" w:type="dxa"/>
            <w:vAlign w:val="bottom"/>
            <w:shd w:val="clear" w:color="auto" w:fill="CCEEFF"/>
          </w:tcPr>
          <w:p>
            <w:pPr>
              <w:jc w:val="right"/>
              <w:ind w:right="2710"/>
              <w:spacing w:after="0"/>
              <w:rPr>
                <w:sz w:val="20"/>
                <w:szCs w:val="20"/>
                <w:color w:val="auto"/>
              </w:rPr>
            </w:pPr>
            <w:r>
              <w:rPr>
                <w:rFonts w:ascii="Times New Roman" w:cs="Times New Roman" w:eastAsia="Times New Roman" w:hAnsi="Times New Roman"/>
                <w:sz w:val="18"/>
                <w:szCs w:val="18"/>
                <w:color w:val="auto"/>
              </w:rPr>
              <w:t>2015</w:t>
            </w:r>
          </w:p>
        </w:tc>
        <w:tc>
          <w:tcPr>
            <w:tcW w:w="2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192,900</w:t>
            </w: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19,169</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1,078</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213,147</w:t>
            </w:r>
          </w:p>
        </w:tc>
      </w:tr>
      <w:tr>
        <w:trPr>
          <w:trHeight w:val="27"/>
        </w:trPr>
        <w:tc>
          <w:tcPr>
            <w:tcW w:w="34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120" w:hanging="112"/>
        <w:spacing w:after="0"/>
        <w:tabs>
          <w:tab w:leader="none" w:pos="1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long-lived assets in Puerto Rico.</w:t>
      </w:r>
    </w:p>
    <w:p>
      <w:pPr>
        <w:spacing w:after="0" w:line="10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16.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Derma Sciences Inc.</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10, 2017, the Company entered into an Agreement and Plan of Merger (the "Merger Agreement"), by and among the Company, Integra Derma, Inc., a newly formed, indirect wholly owned subsidiary of the Company ("Merger Sub"), and Derma Sciences, Inc., a Delaware corporation ("Derma Sciences"). Pursuant to the Merger Agreement, Merger Sub commenced a tender offer (the “Derma Tender Offer”) to purchase any and all of the issued and outstanding shares of:</w:t>
      </w:r>
    </w:p>
    <w:p>
      <w:pPr>
        <w:spacing w:after="0" w:line="2" w:lineRule="exact"/>
        <w:rPr>
          <w:sz w:val="20"/>
          <w:szCs w:val="20"/>
          <w:color w:val="auto"/>
        </w:rPr>
      </w:pPr>
    </w:p>
    <w:p>
      <w:pPr>
        <w:ind w:left="980" w:hanging="648"/>
        <w:spacing w:after="0" w:line="250" w:lineRule="auto"/>
        <w:tabs>
          <w:tab w:leader="none" w:pos="6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$0.01 per share, of Derma (the "Derma Common Share"), at a price of $7.00 per Common Share (the "Derma Common Share Offer Price");</w:t>
      </w:r>
    </w:p>
    <w:p>
      <w:pPr>
        <w:ind w:left="980" w:hanging="648"/>
        <w:spacing w:after="0" w:line="261" w:lineRule="auto"/>
        <w:tabs>
          <w:tab w:leader="none" w:pos="6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Preferred Stock (as defined in the Merger Agreement) at a price of $32.00 per share of Series A Preferred Stock, which represents the Series A Liquidation Preference per share of Series A Preferred Stock (the “Derma Series A Offer Price”);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- 40</w:t>
      </w:r>
    </w:p>
    <w:p>
      <w:pPr>
        <w:sectPr>
          <w:pgSz w:w="11900" w:h="16838" w:orient="portrait"/>
          <w:cols w:equalWidth="0" w:num="1">
            <w:col w:w="11420"/>
          </w:cols>
          <w:pgMar w:left="240" w:top="117" w:right="2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980" w:hanging="648"/>
        <w:spacing w:after="0" w:line="266" w:lineRule="auto"/>
        <w:tabs>
          <w:tab w:leader="none" w:pos="6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Preferred Stock (as defined in the Merger Agreement) at price of $48.00 per share of Series B Preferred Stock (the “Derma Series B Offer Price” and, together with the Derma Sciences Common Share Offer Price and the Derma Sciences Series A Offer Price, as applicable, the “Derma Offer Price”).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acquisition price is approximately $207.6 million.</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soon as practicable following acceptance for payment of the Derma Common Shares, Series A Preferred Stock and Series B Preferred Stock pursuant to the Derma Tender Offer, Merger Sub will be merged with and into the Company, on the terms and subject to the conditions set forth in the Merger Agreement (the “Derma Merger”), pursuant to Section 251(h) of the General Corporation Law of the State of Delaware (the “DGCL”), with Derma surviving the Derma Merger as a wholly owned subsidiary of the Company. At the effective time of the Derma Merger (the “Effective Time”), each Derma Common Share or share of Company Preferred Stock (as defined in the Merger Agreement) not purchased in the Derma Tender Offer (other than Derma Common Shares or shares of Company Preferred Stock for which the holder thereof has properly demanded the appraisal of such shares in accordance with, and has complied in all respects with, the DGCL) will be converted into the right to receive an amount, in cash and without interest, equal to the applicable Derma Offer Price.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Johnson &amp; Johnson's Codman Neurosurgery Business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14, 2017, the Company entered into a binding offer letter (the “Offer Letter”) with DePuy Synthes, Inc., a Delaware corporation (“DePuy Synthes”) and wholly-owned subsidiary of Johnson &amp; Johnson, pursuant to which the Company made a binding offer (the “Binding Offer”) to acquire certain assets, and assume certain liabilities, of Johnson &amp; Johnson’s Codman neurosurgery business (the “Codman Neurosurgery Transaction”). The assets and liabilities subject to the proposed Codman Neurosurgery Transaction relate to the research, development, manufacture, marketing, distribution and sale of certain products used in connection with neurosurgery procedures (the “Codman Neurosurgery Business”). The purchase price for the Codman Neurosurgery Transaction is $1.0 billion, subject to adjustments set forth in the Purchase Agreement (as defined below) relating to the book value of inventory transferred to the Company at the closing of the Codman Neurosurgery Transaction, the book value of certain inventory retained by DePuy Synthes and the amount of certain prepaid taxes (as so adjusted, the “Purchase Price”).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Binding Offer expires on the earlier of (i) May 15, 2017 and (ii) the second business day after each of the employees’ representative bodies of DePuy Synthes and its affiliates in certain jurisdictions have concluded certain statutory information or consultation processes in connection with the Codman Neurosurgery Transaction (the “Specified Consultation Processes”). The Binding Offer can be extended by either party in certain circumstances to no later than August 14, 2017. Upon completion of the Specified Consultation Processes, the Company expects that DePuy Synthes will accept the Binding Offer by countersigning the asset purchase agreement attached to the Offer Letter (the “Purchase Agreement”). The Offer Letter provides that, until the Binding Offer is accepted or the Offer Letter is terminated, DePuy Synthes is prohibited from soliciting proposals from, negotiating or discussing with, or entering into an agreement with, third parties with respect to an alternative transaction relating to 25% or more of the assets of the Codman Neurosurgery Business. If DePuy Synthes does not accept the Binding Offer prior to its expiration, the Offer Letter requires DePuy Synthes to pay the Company $10.5 million as reimbursement for the Company’s expenses. The Offer Letter requires DePuy Synthes to pay a termination fee of $41.8 million if (i) the Company terminates the Offer Letter as a result of DePuy Synthes’s breach of its exclusivity obligations or (ii) any person has made an alternative proposal prior to the termination of the Binding Offer, DePuy Synthes fails to accept the Binding Offer and DePuy Synthes enters into a definitive agreement with respect to any alternative proposal within twelve months after the termination of the Offer Letter.</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obtained debt financing commitments (“Debt Commitments”) from Merrill Lynch, Pierce, Fenner &amp; Smith Incorporated, Bank of America, N.A. and JPMorgan Chase Bank, N.A. The aggregate proceeds of Debt Commitments (the “Financing”) will be used by the Company (i) to pay the purchase price and (ii) to pay fees and expenses incurred by the Company in connection with the Transaction. The availability of the Financing is subject to the satisfaction of customary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6, 2017, the Company entered into an additional two separate interest rate swaps with two financial institutions with notional amounts of $50.0 million and $100 million. The interest rate swap derivative instruments have an effective date of June 30, 2017 and is used to manage its earnings and cash flow exposure to changes in interest rates covering a portion of its floating rate debt. This interest rate swaps expire on June 30, 2020.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- 41</w:t>
      </w:r>
    </w:p>
    <w:p>
      <w:pPr>
        <w:sectPr>
          <w:pgSz w:w="11900" w:h="16838" w:orient="portrait"/>
          <w:cols w:equalWidth="0" w:num="1">
            <w:col w:w="11420"/>
          </w:cols>
          <w:pgMar w:left="240" w:top="117" w:right="2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SELECTED QUARTERLY INFORMATION -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1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60" w:type="dxa"/>
            <w:vAlign w:val="bottom"/>
          </w:tcPr>
          <w:p>
            <w:pPr>
              <w:spacing w:after="0"/>
              <w:rPr>
                <w:sz w:val="12"/>
                <w:szCs w:val="12"/>
                <w:color w:val="auto"/>
              </w:rPr>
            </w:pPr>
          </w:p>
        </w:tc>
        <w:tc>
          <w:tcPr>
            <w:tcW w:w="9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 Share - Basic</w:t>
            </w:r>
          </w:p>
        </w:tc>
        <w:tc>
          <w:tcPr>
            <w:tcW w:w="14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Per Share -</w:t>
            </w:r>
          </w:p>
        </w:tc>
        <w:tc>
          <w:tcPr>
            <w:tcW w:w="160" w:type="dxa"/>
            <w:vAlign w:val="bottom"/>
          </w:tcPr>
          <w:p>
            <w:pPr>
              <w:spacing w:after="0"/>
              <w:rPr>
                <w:sz w:val="12"/>
                <w:szCs w:val="12"/>
                <w:color w:val="auto"/>
              </w:rPr>
            </w:pP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Per Share - Basic</w:t>
            </w:r>
          </w:p>
        </w:tc>
        <w:tc>
          <w:tcPr>
            <w:tcW w:w="160" w:type="dxa"/>
            <w:vAlign w:val="bottom"/>
          </w:tcPr>
          <w:p>
            <w:pPr>
              <w:spacing w:after="0"/>
              <w:rPr>
                <w:sz w:val="12"/>
                <w:szCs w:val="12"/>
                <w:color w:val="auto"/>
              </w:rPr>
            </w:pPr>
          </w:p>
        </w:tc>
        <w:tc>
          <w:tcPr>
            <w:tcW w:w="9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Per Share -</w:t>
            </w:r>
          </w:p>
        </w:tc>
        <w:tc>
          <w:tcPr>
            <w:tcW w:w="0" w:type="dxa"/>
            <w:vAlign w:val="bottom"/>
          </w:tcPr>
          <w:p>
            <w:pPr>
              <w:spacing w:after="0"/>
              <w:rPr>
                <w:sz w:val="1"/>
                <w:szCs w:val="1"/>
                <w:color w:val="auto"/>
              </w:rPr>
            </w:pPr>
          </w:p>
        </w:tc>
      </w:tr>
      <w:tr>
        <w:trPr>
          <w:trHeight w:val="160"/>
        </w:trPr>
        <w:tc>
          <w:tcPr>
            <w:tcW w:w="11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center"/>
              <w:ind w:right="228"/>
              <w:spacing w:after="0" w:line="160"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Diluted (1)</w:t>
            </w: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408"/>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Diluted (1)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180" w:type="dxa"/>
            <w:vAlign w:val="bottom"/>
            <w:tcBorders>
              <w:top w:val="single" w:sz="8" w:color="CCEEFF"/>
            </w:tcBorders>
            <w:gridSpan w:val="3"/>
          </w:tcPr>
          <w:p>
            <w:pPr>
              <w:ind w:left="40"/>
              <w:spacing w:after="0"/>
              <w:rPr>
                <w:sz w:val="20"/>
                <w:szCs w:val="20"/>
                <w:color w:val="auto"/>
              </w:rPr>
            </w:pPr>
            <w:r>
              <w:rPr>
                <w:rFonts w:ascii="Times New Roman" w:cs="Times New Roman" w:eastAsia="Times New Roman" w:hAnsi="Times New Roman"/>
                <w:sz w:val="14"/>
                <w:szCs w:val="14"/>
                <w:color w:val="auto"/>
              </w:rPr>
              <w:t>First (2)</w:t>
            </w:r>
          </w:p>
        </w:tc>
        <w:tc>
          <w:tcPr>
            <w:tcW w:w="64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236,770</w:t>
            </w: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151,997</w:t>
            </w: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13,419</w:t>
            </w:r>
          </w:p>
        </w:tc>
        <w:tc>
          <w:tcPr>
            <w:tcW w:w="460" w:type="dxa"/>
            <w:vAlign w:val="bottom"/>
            <w:tcBorders>
              <w:top w:val="single" w:sz="8" w:color="CCEEFF"/>
            </w:tcBorders>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0.18</w:t>
            </w: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13,419</w:t>
            </w:r>
          </w:p>
        </w:tc>
        <w:tc>
          <w:tcPr>
            <w:tcW w:w="280" w:type="dxa"/>
            <w:vAlign w:val="bottom"/>
            <w:tcBorders>
              <w:top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275"/>
        </w:trPr>
        <w:tc>
          <w:tcPr>
            <w:tcW w:w="1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Second</w:t>
            </w:r>
          </w:p>
        </w:tc>
        <w:tc>
          <w:tcPr>
            <w:tcW w:w="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249,309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159,744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12,755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12,755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265"/>
        </w:trPr>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Third</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250,332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161,003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20,144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270"/>
        </w:trPr>
        <w:tc>
          <w:tcPr>
            <w:tcW w:w="1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Fourth</w:t>
            </w:r>
          </w:p>
        </w:tc>
        <w:tc>
          <w:tcPr>
            <w:tcW w:w="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255,664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170,242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28,246</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28,246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992,075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642,986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74,564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74,564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First</w:t>
            </w: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202,534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127,313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11,732</w:t>
            </w:r>
          </w:p>
        </w:tc>
        <w:tc>
          <w:tcPr>
            <w:tcW w:w="4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8,384</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65"/>
        </w:trPr>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Second</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212,673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137,422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12,020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75"/>
        </w:trPr>
        <w:tc>
          <w:tcPr>
            <w:tcW w:w="1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Third</w:t>
            </w:r>
          </w:p>
        </w:tc>
        <w:tc>
          <w:tcPr>
            <w:tcW w:w="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226,367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140,298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265"/>
        </w:trPr>
        <w:tc>
          <w:tcPr>
            <w:tcW w:w="118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4"/>
                <w:szCs w:val="14"/>
                <w:color w:val="auto"/>
              </w:rPr>
              <w:t>Fourth</w:t>
            </w:r>
          </w:p>
        </w:tc>
        <w:tc>
          <w:tcPr>
            <w:tcW w:w="2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241,160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151,159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14,980</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14,980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882,734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556,192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6,851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left="580" w:hanging="248"/>
        <w:spacing w:after="0" w:line="266" w:lineRule="auto"/>
        <w:tabs>
          <w:tab w:leader="none" w:pos="5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shares of its common stock during the year.</w:t>
      </w:r>
    </w:p>
    <w:p>
      <w:pPr>
        <w:spacing w:after="0" w:line="120" w:lineRule="exact"/>
        <w:rPr>
          <w:rFonts w:ascii="Times New Roman" w:cs="Times New Roman" w:eastAsia="Times New Roman" w:hAnsi="Times New Roman"/>
          <w:sz w:val="18"/>
          <w:szCs w:val="18"/>
          <w:color w:val="auto"/>
        </w:rPr>
      </w:pPr>
    </w:p>
    <w:p>
      <w:pPr>
        <w:ind w:left="580" w:hanging="248"/>
        <w:spacing w:after="0" w:line="284" w:lineRule="auto"/>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for first quarter of 2016 was restated to reflect the effect of the adoption of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in second quarter of 2016 of $1.8 million. The earning per share were also restated to reflect the adoption of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Description</w:t>
            </w:r>
          </w:p>
        </w:tc>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6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Pr>
          <w:p>
            <w:pPr>
              <w:spacing w:after="0"/>
              <w:rPr>
                <w:sz w:val="11"/>
                <w:szCs w:val="11"/>
                <w:color w:val="auto"/>
              </w:rPr>
            </w:pPr>
          </w:p>
        </w:tc>
        <w:tc>
          <w:tcPr>
            <w:tcW w:w="900" w:type="dxa"/>
            <w:vAlign w:val="bottom"/>
          </w:tcPr>
          <w:p>
            <w:pPr>
              <w:jc w:val="center"/>
              <w:ind w:right="99"/>
              <w:spacing w:after="0" w:line="127"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1"/>
                <w:szCs w:val="11"/>
                <w:color w:val="auto"/>
              </w:rPr>
            </w:pPr>
          </w:p>
        </w:tc>
        <w:tc>
          <w:tcPr>
            <w:tcW w:w="98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1"/>
                <w:szCs w:val="11"/>
                <w:color w:val="auto"/>
              </w:rPr>
            </w:pPr>
          </w:p>
        </w:tc>
        <w:tc>
          <w:tcPr>
            <w:tcW w:w="860" w:type="dxa"/>
            <w:vAlign w:val="bottom"/>
          </w:tcPr>
          <w:p>
            <w:pPr>
              <w:jc w:val="right"/>
              <w:ind w:right="158"/>
              <w:spacing w:after="0" w:line="127" w:lineRule="exact"/>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2016: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Allowance for doubtful accounts and sales returns and allowances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5,572</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 valuation allowance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4,887</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37"/>
        </w:trPr>
        <w:tc>
          <w:tcPr>
            <w:tcW w:w="69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Year ended December 31, 2015: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doubtful accounts and sales returns and allowances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5,659</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1,262</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5,572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asset valuation allowance</w:t>
            </w:r>
          </w:p>
        </w:tc>
        <w:tc>
          <w:tcPr>
            <w:tcW w:w="120" w:type="dxa"/>
            <w:vAlign w:val="bottom"/>
          </w:tcPr>
          <w:p>
            <w:pPr>
              <w:spacing w:after="0"/>
              <w:rPr>
                <w:sz w:val="20"/>
                <w:szCs w:val="20"/>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6,772</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4,887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2014: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Allowance for doubtful accounts and sales returns and allowances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5,126</w:t>
            </w:r>
          </w:p>
        </w:tc>
        <w:tc>
          <w:tcPr>
            <w:tcW w:w="24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2,211</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5,659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 valuation allowance</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7,283</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6,772</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- 42</w:t>
      </w:r>
    </w:p>
    <w:p>
      <w:pPr>
        <w:sectPr>
          <w:pgSz w:w="11900" w:h="16838" w:orient="portrait"/>
          <w:cols w:equalWidth="0" w:num="1">
            <w:col w:w="11420"/>
          </w:cols>
          <w:pgMar w:left="240" w:top="117"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40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2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Purchase Agreement, dated as of October 25, 2013, by and between Covidien Group S.A.R.L. and Integra LifeSciences</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Corporation (Incorporated by Reference to Exhibit 10.1 to the Company’s Current Report on Form 8-K filed on January 15, 2014)</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and Asset Purchase Agreement by and among Medtronic, Inc., Medtronic Xomed Instrumentation, SAS, and Integra LifeSciences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Corporation, dated as of September 12, 2014 (Incorporated by reference to Exhibit 2.1 to the Company's Current Report on Form 8-K</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filed on October 27, 2014)</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Separation and Distribution Agreement between Integra LifeSciences Holdings Corporation and SeaSpine Holdings Corporation, dated</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 June 30, 2015 (Incorporated by reference to Exhibit 2.1 to the Company’s Current Report on Form 8-K filed on July 7, 2015)</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Agreement and Plan of Merger by and among Integra LifeSciences Corporation, Patriot S1, Inc., TEI Biosciences Inc. and Dr. Yiannis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Monovoukas, dated as of June 26, 2015 (Incorporated by reference to Exhibit 2.1 to the Company's Current Report on Form 8-K filed on</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July 20, 2015)</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Agreement and Plan of Merger by and among Integra LifeSciences Corporation, Patriot S2, Inc., TEI Medical Inc. and Dr. Yiannis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Monovoukas, dated as of June 26, 2015 (Incorporated by reference to Exhibit 2.2 to the Company's Current Report on Form 8-K filed on</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July 20, 2015)</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Agreement and Plan of Merger by and among Integra LifeSciences Holdings Corporation, Integra Derma, Inc., and Derma Sciences, Inc.</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dated as of January 10, 2017 (Incorporated by reference to Exhibit 2.1 to the Company’s Current Report on Form 8-K filed on January</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11, 2017)</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Company dated February 16, 1993 (Incorporated by reference to Exhibit 3.1(a)</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the Company’s Annual Report on Form 10-K for the year ended December 31, 2005)</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Certificate of Amendment to Amended and Restated Certificate of Incorporation of the Company dated May 22, 1998 (Incorporated by</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reference to Exhibit 3.1(b) to the Company’s Annual Report on Form 10-K for the year ended December 31, 1998)</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3.1(c)</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Certificate of Amendment to Amended and Restated Certificate of Incorporation of the Company dated May 17, 1999 (Incorporated by</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reference to Exhibit 3.1(c) to the Company’s Annual Report on Form 10-K for the year ended December 31, 2004)</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3.1(d)</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Certificate of Amendment to Amended and Restated Certificate of Incorporation of the Company dated December 21, 2016 (Incorporated</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 reference to Exhibit 3.1 to the Company’s Current Report on Form 8-K filed on December 22, 2016)</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Amended and Restated Bylaws of the Company, effective as of May 17, 2012 (Incorporated by reference to Exhibit 3.2 to the Company’s</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Current Report on Form 8-K filed on April 13, 2012)</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 Agreement, dated June 9, 2011, by and between Integra LifeSciences Holdings Corporation and J.P. Morgan Securities LLC,</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Merrill Lynch, Pierce, Fenner &amp; Smith Incorporated, Morgan Stanley &amp; Co. LLC, Deutsche Bank Securities Inc., RBC Capital Markets,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LLC and Wells Fargo Securities, LLC (Incorporated by reference to Exhibit 4.1 to the Company’s Current Report on Form 8-K filed on</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June 15, 2011)</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Indenture, dated June 15, 2011, by and between Integra LifeSciences Holdings Corporation and Wells Fargo Bank, National Association,</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trustee (Incorporated by reference to Exhibit 4.2 to the Company’s Current Report on Form 8-K filed on June 15, 2011)</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4.3(a)</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Credit Agreement, dated as of December 22, 2005,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Agents, and Royal Bank of Canada and Wachovia Bank, National Association, as Co-Documentation Agents (Incorporated by reference</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Exhibit 10.1 to the Company’s Current Report on Form 8-K filed on December 29, 2005)</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4.3(b)</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First Amendment, dated as of February 15, 2006, among Integra LifeSciences Holdings Corporation, the lenders party thereto, Bank of</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America, N.A., as Administrative Agent, Swing Line Lender and L/C Issuer, Citibank FSB and SunTrust Bank, as Co-Syndication</w:t>
            </w:r>
          </w:p>
        </w:tc>
      </w:tr>
    </w:tbl>
    <w:p>
      <w:pPr>
        <w:ind w:left="1360"/>
        <w:spacing w:after="0" w:line="261" w:lineRule="auto"/>
        <w:rPr>
          <w:sz w:val="20"/>
          <w:szCs w:val="20"/>
          <w:color w:val="auto"/>
        </w:rPr>
      </w:pPr>
      <w:r>
        <w:rPr>
          <w:rFonts w:ascii="Times New Roman" w:cs="Times New Roman" w:eastAsia="Times New Roman" w:hAnsi="Times New Roman"/>
          <w:sz w:val="18"/>
          <w:szCs w:val="18"/>
          <w:color w:val="auto"/>
        </w:rPr>
        <w:t>Agents, and Royal Bank of Canada and Wachovia Bank, National Association, as Co-Documentation Agents (Incorporated by reference to Exhibit 4.3(b) to the Company’s Annual Report on Form 10-K for the year ended December 31, 2005)</w:t>
      </w:r>
    </w:p>
    <w:p>
      <w:pPr>
        <w:sectPr>
          <w:pgSz w:w="11900" w:h="16838" w:orient="portrait"/>
          <w:cols w:equalWidth="0" w:num="1">
            <w:col w:w="11300"/>
          </w:cols>
          <w:pgMar w:left="300" w:top="441" w:right="2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4.3(c)</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Second Amendment, dated as of February 23,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America, N.A., as Administrative Agent, Swing Line Lender and L/C Issuer, Citibank FSB and SunTrust Bank, as Co-Syndication</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Agents, and Royal Bank of Canada and Wachovia Bank, National Association, as Co-Documentation Agents (Incorporated by reference</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Exhibit 4.1 to the Company’s Current Report on Form 8-K filed on February 27, 2007)</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4.3(d)</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Third Amendment, dated as of June 4,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America, N.A., as Administrative Agent, Swing Line Lender and L/C Issuer, Citibank, N.A., successor by merger to Citibank, FSB, as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Syndication Agent and JPMorgan Chase Bank, N.A., Deutsche Bank Trust Company Americas and Royal Bank of Canada, as Co-</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Documentation Agents (Incorporated by reference to Exhibit 4.1 to the Company’s Current Report on Form 8-K filed on June 6, 2007)</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4.3(e)</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Fourth Amendment, dated as of September 5, 2007, among Integra LifeSciences Holdings Corporation, the lenders party thereto,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America, N.A., as Administrative Agent, Swing Line Lender and L/C Issuer, Citibank, N.A., successor by merger to Citibank FSB, as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Syndication Agent and JPMorgan Chase Bank, N.A., Deutsche Bank Trust Company Americas and Royal Bank of Canada, as Co-</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Documentation Agents (Incorporated by reference to Exhibit 4.1 to the Company’s Current Report on Form 8-K filed on September 6,</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2007)</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4.3(f)</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 and Restated Credit Agreement, dated as of August 10, 2010, among Integra LifeSciences Holdings Corporation, the lenders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party thereto, Bank of America, N.A., as Administrative Agent, Swing Line Lender and L/C Issuer, JP Morgan Chase Bank, as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Syndication Agent, and HSBC Bank USA, NA, RBC Capital Markets, Wells Fargo Bank, N.A., Fifth Third Bank, DNB NOR Bank ASA</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TD Bank, N.A., as Co-Documentation Agents (Incorporated by reference to Exhibit 10.1 to the Company’s Current Report on Form</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8-K filed on August 10, 2010)</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4.3(g)</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 June 8, 2011, among Integra LifeSciences Holdings Corporation, the</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lenders party thereto, Bank of America, N.A. as Administrative Agent, Swing Line Lender and L/C Issuer, JPMorgan Chase Bank N.A.</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Syndication Agent, and, HSBC Bank USA, NA, Royal Bank of Canada, Wells Fargo Bank, N.A., Fifth Third Bank, DNB NOR Bank</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ASA, and TD Bank, N.A., as Co-Documentation Agents (Incorporated by reference to Exhibit 4.3 to the Company’s Quarterly Report on</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10-Q filed on July 29, 2011)</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4.3(h)</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First Amendment, dated as of May 11, 2012, to Second Amended and Restated Credit Agreement dated as of June 8, 2011, among</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Integra LifeSciences Holdings Corporation, the lenders party thereto, Bank of America, N.A., as Administrative Agent, Swing Line</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Lender and L/C Issuer, JPMorgan Chase Bank, N.A., as Syndication Agent, and HSBC Bank, NA, Royal Bank of Canada, Wells Fargo</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Bank, NA, Fifth Third Bank, DNB Nor Bank ASA and TD Bank, N.A., as Co-Documentation Agents (Incorporated by reference to</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4.1 to the Company’s Current Report on Form 8-K filed on May 14, 2012)</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4.3(i)</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Second Amendment, dated as of June 21, 2013, to Second Amended and Restated Credit Agreement dated as of June 8, 2011, among</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Integra LifeSciences Holdings Corporation, the lenders party thereto, Bank of America, N.A., as Administrative Agent, Swing Line</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Lender and L/C Issuer, JPMorgan Chase Bank, N.A., as Syndication Agent, and HSBC Bank USA, National Association, Royal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Canada, Wells Fargo Bank, National Association, Fifth Third Bank, DNB Bank ASA and TD Bank, N.A., as Co-Documentation Agents</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(Incorporated by reference to Exhibit 4.1 to the Company's Current Report on Form 8-K filed on June 24, 2013)</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4.3(j)</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Third Amended and Restated Credit Agreement, dated as of July 2, 2014, among Integra LifeSciences Holdings Corporation, the other</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lenders party hereto, Bank of America, N.A., as Administrative Agent, Swing Line Lender and L/C Issuer, Wells Fargo Bank, National</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Association, as Syndication Agent and HSBC Bank USA, National Association, Royal Bank of Canada, Citizens Bank, National</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Association, DNB Capital LLC, Credit Agricole-Corporate and Investment Bank and TD Bank, N.A., as Co-Documentation Agents</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(Incorporated by reference to Exhibit 4.1 to the Company's Current Report on Form 8-K filed on July 9, 2014)</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4.3(k)</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First Amendment, dated as of December 19, 2014, to that Third Amended and Restated Credit Agreement, among Integra LifeSciences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Holdings Corporation, a syndicate of lending banks, Bank of America, N.A., as Administrative Agent, Swing Line Lender and L/C</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Issuer, Wells Fargo Bank, National Association, as Syndication Agent, and HSBC Bank USA, National Association, Royal Bank of</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Canada, Citizens Bank, National Association, DNB Capital LLC, Crédit Agricole-Corporate and Investment Bank, and TD Bank, N.A.,</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as Co-Documentation Agents (Incorporated by reference to Exhibit 4.1 to the Company's Current Report on Form 8-K filed on December</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29, 2014)</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4.3(l)</w:t>
            </w: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Second Amendment, dated August 28, 2015, to that Third Amended and Restated Credit Agreement, among Integra LifeSciences</w:t>
            </w:r>
          </w:p>
        </w:tc>
      </w:tr>
      <w:tr>
        <w:trPr>
          <w:trHeight w:val="216"/>
        </w:trPr>
        <w:tc>
          <w:tcPr>
            <w:tcW w:w="900" w:type="dxa"/>
            <w:vAlign w:val="bottom"/>
          </w:tcPr>
          <w:p>
            <w:pPr>
              <w:spacing w:after="0"/>
              <w:rPr>
                <w:sz w:val="18"/>
                <w:szCs w:val="18"/>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Holdings Corporation, a syndicate of lending banks, Bank of America, N.A., as Administrative Agent, Swing Line Lender and L/C</w:t>
            </w:r>
          </w:p>
        </w:tc>
      </w:tr>
      <w:tr>
        <w:trPr>
          <w:trHeight w:val="234"/>
        </w:trPr>
        <w:tc>
          <w:tcPr>
            <w:tcW w:w="900" w:type="dxa"/>
            <w:vAlign w:val="bottom"/>
          </w:tcPr>
          <w:p>
            <w:pPr>
              <w:spacing w:after="0"/>
              <w:rPr>
                <w:sz w:val="20"/>
                <w:szCs w:val="20"/>
                <w:color w:val="auto"/>
              </w:rPr>
            </w:pPr>
          </w:p>
        </w:tc>
        <w:tc>
          <w:tcPr>
            <w:tcW w:w="10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Issuer, Wells Fargo Bank, National Association, as Syndication Agent, and HSBC Bank USA, National Association, Royal Bank of</w:t>
            </w:r>
          </w:p>
        </w:tc>
      </w:tr>
    </w:tbl>
    <w:p>
      <w:pPr>
        <w:jc w:val="both"/>
        <w:ind w:left="1360"/>
        <w:spacing w:after="0" w:line="255" w:lineRule="auto"/>
        <w:rPr>
          <w:sz w:val="20"/>
          <w:szCs w:val="20"/>
          <w:color w:val="auto"/>
        </w:rPr>
      </w:pPr>
      <w:r>
        <w:rPr>
          <w:rFonts w:ascii="Times New Roman" w:cs="Times New Roman" w:eastAsia="Times New Roman" w:hAnsi="Times New Roman"/>
          <w:sz w:val="18"/>
          <w:szCs w:val="18"/>
          <w:color w:val="auto"/>
        </w:rPr>
        <w:t>Canada, Citizens Bank, National Association, DNB Capital LLC, Crédit Agricole-Corporate and Investment Bank and TD Bank, N.A., as Co-Documentation Agents (Incorporated by reference to Exhibit 4.1 to the Company’s Current Report on Form 8-K filed on September 1, 2015)</w:t>
      </w:r>
    </w:p>
    <w:p>
      <w:pPr>
        <w:sectPr>
          <w:pgSz w:w="11900" w:h="16838" w:orient="portrait"/>
          <w:cols w:equalWidth="0" w:num="1">
            <w:col w:w="11300"/>
          </w:cols>
          <w:pgMar w:left="300" w:top="607" w:right="2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4.3(m)</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Fourth Amended and Restated Credit Agreement, dated as of December 7, 2016, among Integra LifeSciences Holdings Corporation, the</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lenders party hereto, Bank of America, N.A., as Administrative Agent, Swing Line Lender and L/C Issuer, Securities, LLC,</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Citizens Bank, N.A., DNB Capital LLC, HSBC Bank PLC, HSBC Bank USA. N.A., The Bank of Tokyo-Mitsubishi UFJ, LTD., PNC</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Bank, N.A., Royal Bank of Canada, SunTrust Bank, TD Bank, N.A., JPMorgan and Chase Bank, N.A., Mizuho Bank, LTD., and Bank of</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Nova Scotia, as Co-Documentation Agents (Incorporated by reference to Exhibit 4.1 to the Company’s Current Report on Form 8-K filed</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on December 7, 2016)</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Security Agreement, dated as of December 22, 2005, among Integra LifeSciences Holdings Corporation and the additional grantors party</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thereto in favor of Bank of America, N.A., as administrative and collateral agent (Incorporated by reference to Exhibit 4.4 to the</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Pledge Agreement, dated as of December 22, 2005, among Integra LifeSciences Holdings Corporation and the additional grantors party</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thereto in favor of Bank of America, N.A., as administrative and collateral agent (Incorporated by reference to Exhibit 4.5 to the</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Subsidiary Guaranty Agreement, dated as of December 22, 2005, among the guarantors party thereto and individually as a “Guarantor”),</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favor of Bank of America, N.A., as administrative and collateral agent (Incorporated by reference to Exhibit 4.6 to the Company’s</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Indenture, dated June 11, 2007, among Integra LifeSciences Holdings Corporation, Integra LifeSciences Corporation and Wells Fargo</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 N.A., as trustee (Incorporated by reference to Exhibit 4.1 to the Company’s Current Report on Form 8-K filed on June 12, 2007)</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2.75% Senior Convertible Note due 2010 (included in Exhibit 4.8) (Incorporated by reference to Exhibit B to Exhibit 4.1 to the</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Company’s Current Report on Form 8-K filed on June 12, 2007)</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Indenture, dated June 11, 2007, among Integra LifeSciences Holdings Corporation, Integra LifeSciences Corporation and Wells Fargo</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 N.A., as trustee (Incorporated by reference to Exhibit 4.3 to the Company’s Current Report on Form 8-K filed on June 12, 2007)</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2.375% Senior Convertible Note due 2012 (included in Exhibit 4.10) (Incorporated by reference to Exhibit B to Exhibit 4.3 to</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Company’s Current Report on Form 8-K filed on June 12, 2007)</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Rights Agreement, dated June 11, 2007, among Integra LifeSciences Holdings Corporation, Banc of America Securities</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LLC, J.P. Morgan Securities Inc. and Morgan Stanley &amp; Co., Incorporated, as representatives of the several initial purchasers</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(Incorporated by reference to Exhibit 4.5 to the Company’s Current Report on Form 8-K filed on June 12, 2007)</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Rights Agreement, dated June 11, 2007, among Integra LifeSciences Holdings Corporation, Banc of America Securities</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LLC, J.P. Morgan Securities Inc. and Morgan Stanley &amp; Co., Incorporated, as representatives of the several initial purchasers</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(Incorporated by reference to Exhibit 4.6 to the Company’s Current Report on Form 8-K filed on June 12, 2007)</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10.1(a)</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Lease between Plainsboro Associates and American Biomaterials Corporation dated as of April 16, 1985, as assigned to Colla-Tec, Inc.</w:t>
            </w:r>
          </w:p>
        </w:tc>
      </w:tr>
      <w:tr>
        <w:trPr>
          <w:trHeight w:val="216"/>
        </w:trPr>
        <w:tc>
          <w:tcPr>
            <w:tcW w:w="96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on September 30, 1988 and as amended on November 1, 1992 as Lease Modification #1 (Incorporated by reference to Exhibit 10.30 to</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Company’s Registration Statement on Form 10/A (File No. 0-26224) which became effective on August 8, 1995)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10.1(b)</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Lease Modification #2 entered into as of October 28, 2005, by and between Plainsboro Associates and Integra LifeSciences Corporation</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 on November 2, 2005)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Lease Modification #3 entered into as of March 2, 2011, by and between Plainsboro Associates and Integra LifeSciences Corporation</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 on March 3, 2011)</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 (a)</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Equipment Lease Agreement between Medicus Corporation and the Company, dated as of June 1, 2000 (Incorporated by reference to</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Exhibit 10.1 to the Company’s Quarterly Report on Form 10-Q for the quarter ended June 30, 2000)</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10.2(b)</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First Amendment to Equipment Lease Agreement between Medicus Corporation and the Company, dated as of June 29, 2010</w:t>
            </w:r>
          </w:p>
        </w:tc>
      </w:tr>
      <w:tr>
        <w:trPr>
          <w:trHeight w:val="234"/>
        </w:trPr>
        <w:tc>
          <w:tcPr>
            <w:tcW w:w="96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(Incorporated by reference to Exhibit 10.2 to the Company’s Quarterly Report on Form 10-Q for the quarter ended June 30, 2010)</w:t>
            </w:r>
          </w:p>
        </w:tc>
      </w:tr>
    </w:tbl>
    <w:p>
      <w:pPr>
        <w:sectPr>
          <w:pgSz w:w="11900" w:h="16838" w:orient="portrait"/>
          <w:cols w:equalWidth="0" w:num="1">
            <w:col w:w="11300"/>
          </w:cols>
          <w:pgMar w:left="300" w:top="607" w:right="29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Indemnification Agreement between the Company and [ ] dated August 16, 1995, including a schedule identifying the</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individuals that are a party to such Indemnification Agreements (Incorporated by reference to Exhibit 10.37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Statement on Form S-1 (File No. 33-98698) which became effective on January 24, 1996)*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Indemnification Agreement for Non-Employee Directors and Officers (Incorporated by reference to Exhibit 10.1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December 24,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1996 Incentive Stock Option and Non-Qualified Stock Option Plan (as amended through December 27, 1997) (Incorporated by reference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Exhibit 10.4 to the Company’s Current Report on Form 8-K filed on February 3, 1998)*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1998 Stock Option Plan (amended and restated as of July 26, 2005) (Incorporated by reference to Exhibit 10.3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2005)*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1999 Stock Option Plan (amended and restated as of July 26, 2005) (Incorporated by reference to Exhibit 10.4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2005)*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 (as amended on May 17, 2004) (Incorporated by reference to Exhibit 4.1 to the Company’s Registration</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 on Form S-8 (Registration No. 333-127488) filed on August 12, 2005)*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First Amendment to Employee Stock Purchase Plan, dated October 26, 2005 (Incorporated by reference to Exhibit 10.1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Report on Form 8-K filed on November 1, 2005)*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2000 Equity Incentive Plan (amended and restated as of July 26, 2005) (Incorporated by reference to Exhibit 10.5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2005)*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2000 Equity Incentive Plan (effective as of May 17, 2012) (Incorporated by reference to Exhibit 10.7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2000 Equity Incentive Plan (effective as of January 1, 2013) (Incorporated by reference to Exhibit 10.8(c)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2001 Equity Incentive Plan (amended and restated as of July 26, 2005) (Incorporated by reference to Exhibit 10.6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2005)*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2001 Equity Incentive Plan (effective as of May 17, 2012) (Incorporated by reference to Exhibit 10.8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2001 Equity Incentive Plan (effective as of January 1, 2013) (Incorporated by reference to Exhibit 10.9(c)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Amended and Restated 2003 Equity Incentive Plan effective May 19, 2010 (Incorporated by reference to Exhibit 10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May 21,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the Second Amended and Restated 2003 Equity Incentive Plan effective May 17, 2012 (Incorporated by reference to</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10.9 to the Company’s Quarterly Report on Form 10-Q for the quarter ended June 30,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the Second Amended and Restated 2003 Equity Incentive Plan effective January 1, 2013 (Incorporated by reference to</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10.4 to the Company’s Quarterly Report on Form 10-Q for the quarter ended March 31,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10.10(d)</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Amended and Restated 2003 Equity Incentive Plan effective May 22, 2015 (Incorporated by reference to Exhibit 10.1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May 29, 2015)*</w:t>
            </w:r>
          </w:p>
        </w:tc>
      </w:tr>
      <w:tr>
        <w:trPr>
          <w:trHeight w:val="6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Amended and Restated Employment Agreement dated July 27, 2004 between the Company and Stuart M. Essig (Incorporated by</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10.1 to the Company’s Quarterly Report on Form 10-Q for the quarter ended September 30,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2006-1, dated as of December 19, 2006, to the Second Amended and Restated Employment Agreement, between the</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and Stuart M. Essig (Incorporated by reference to Exhibit 10.1 to the Company’s Current Report on Form 8-K filed on</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22, 2006)*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2008-1, dated as of March 6, 2008, to the Second Amended and Restated Employment Agreement, between the Company</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Stuart M. Essig (Incorporated by reference to Exhibit 10.12(c) to the Company’s Annual Report on Form 10-K for the year ended</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2007)*</w:t>
            </w:r>
          </w:p>
        </w:tc>
      </w:tr>
    </w:tbl>
    <w:p>
      <w:pPr>
        <w:sectPr>
          <w:pgSz w:w="11900" w:h="16838" w:orient="portrait"/>
          <w:cols w:equalWidth="0" w:num="1">
            <w:col w:w="11300"/>
          </w:cols>
          <w:pgMar w:left="300" w:top="607" w:right="29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10.11(d)</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2008-2, dated as of August 6, 2008, to the Second Amended and Restated Employment Agreement between Stuart M. Essig</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and the Company (Incorporated by reference to Exhibit 10.7 to the Company’s Quarterly Report on Form 10-Q for the quarter ended June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30,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10.11(e)</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2009-1, dated as of April 13, 2009, to the Second Amended and Restated Employment Agreement between Stuart M. Essig</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the Company (Incorporated by reference to Exhibit 10.2 to the Company’s Current Report on Form 8-K filed on April 13, 2009)*</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10.11(f)</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May 17, 2011 between the Company and Stuart M. Essig (Incorporated by reference to Exhibit 10.1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May 23,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10.11(g)</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dated December 20, 2011 from Stuart M. Essig to the Company (Incorporated by reference to Exhibit 10.3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Report on Form 8-K filed December 23,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10.11(h)</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7, 2012 between Stuart M. Essig and the Company (Incorporated by reference to Exhibit 10.1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June 7,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Indemnity letter agreement dated December 27, 1997 from the Company to Stuart M. Essig (Incorporated by reference to Exhibit 10.5 to</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Company’s Current Report on Form 8-K filed on February 3, 1998)*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Rights Provisions for Stuart M. Essig (Incorporated by reference to Exhibit B of Exhibit 10.1 to the Company’s Current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 on Form 8-K filed on February 3, 1998)*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Rights Provisions for Stuart M. Essig (Incorporated by reference to Exhibit 10.2 to the Company’s Current Report on Form</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 filed on January 8, 2001)*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Rights Provisions for Stuart M. Essig (Incorporated by reference to Exhibit B of Exhibit 10.1 to the Company’s Quarterly</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 on Form 10-Q for the quarter ended September 30,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2005 Employment Agreement between John B. Henneman, III and the Company dated December 19, 2005</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(Incorporated by reference to Exhibit 10.16 to the Company’s Annual Report on Form 10-K for the year ended December 31, 2005)*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2008-1, dated as of January 2, 2008,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Henneman, III and the Company (Incorporated by reference to Exhibit 10.15(b) to the Company’s Annual Report on Form 10-K for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year ended December 31, 2007)*</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2008-2, dated as of December 18, 2008,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Henneman, III and the Company (Incorporated by reference to Exhibit 10.2 to the Company’s Current Report on Form 8-K filed on</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24,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10.14(d)</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2009-1, dated as of April 13, 2009,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Henneman, III and the Company (Incorporated by reference to Exhibit 10.5 to the Company’s Current Report on Form 8-K filed on April</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 2009)*</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10.14(e)</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2010-1, dated as of October 12, 2010, to the Amended and Restated 2005 Employment Agreement between John B.</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Henneman, III and the Company (Incorporated by reference to Exhibit 10.3 to the Company’s Current Report on Form 8-K filed October</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10.14(f)</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dated as of February 22, 2012 from John B. Henneman, III to the Company (Incorporated by reference to Exhibit 10.1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February 22,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10.14(g)</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Amended and Restated 2005 Employment Agreement between the Company and John B. Henneman, III (Incorporated by</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May 23, 2014)*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Consulting Agreement, dated October 12, 2010, between the Company and Inception Surgical (Incorporated by reference to Exhibit 10.1</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the Company’s Current Report on Form 8-K filed on October 12,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Agreement between Richard D. Gorelick and the Company dated as of January 3, 2012 (Incorporated by reference to Exhibit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 to the Company’s Quarterly Report on Form 10-Q for the quarter ended March 31,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Agreement between Judith O’Grady and the Company dated as of January 4, 2010 (Incorporated by reference to Exhibit 10.17</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the Company’s Annual Report on Form 10-K for the year ended December 31, 2009)*</w:t>
            </w:r>
          </w:p>
        </w:tc>
      </w:tr>
    </w:tbl>
    <w:p>
      <w:pPr>
        <w:sectPr>
          <w:pgSz w:w="11900" w:h="16838" w:orient="portrait"/>
          <w:cols w:equalWidth="0" w:num="1">
            <w:col w:w="11300"/>
          </w:cols>
          <w:pgMar w:left="300" w:top="607" w:right="29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Agreement between Judith O’Grady and the Company dated as of January 3, 2011 (Incorporated by reference to Exhibit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10.17(a) to the Company’s Annual Report on Form 10-K for the year ended December 31,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Agreement between Judith O’Grady and the Company dated as of January 3, 2012 (Incorporated by reference to Exhibit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10.16(c) to the Company’s Annual Report on Form 10-K for the year ended December 31,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10.18(a)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 Agreement, dated as of October 12, 2010, between Peter J. Arduini and the Company (Incorporated by reference to Exhibit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 to the Company’s Current Report on Form 8-K filed October 12,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10.18(b)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and Restated Employment Agreement dated December 20, 2011 between Peter J. Arduini and the Company (Incorporated by</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December 23,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10.18(c)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Second Amended and Restated Employment Agreement between the Company and Peter J. Arduini (Incorporated by reference to Exhibit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 to the Company's Current Report on Form 8-K filed on June 20, 2014)*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Notice of Stock Option Grant with Eight-Year Term for Peter J. Arduini (Incorporated by reference to Exhibit 10.2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December 23,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February 19, 2013 between Peter J. Arduini and Integra LifeSciences Holdings Corporation (Incorporated by</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February 25,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Contract, dated April 1, 2005, between the Puerto Rico Industrial Development Company and Integra CI, Inc. (executed on</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15, 2006) (Incorporated by reference to Exhibit 10.3 to the Company’s Quarterly Report on Form 10-Q for the quarter ended</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30, 2006)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to Lease Contract dated as of November 2, 2011, between Integra CI, Inc. and Puerto Rico Industrial Development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 (Incorporated by reference to Exhibit 10.1 to the Company’s Current Report on Form 8-K filed on November 7,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Termination of Amendment to Lease Contract, dated as of April 2, 2012, between Integra CI, Inc. and Puerto Rico Industrial</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 Company (Incorporated by reference to Exhibit 10.2 to the Company’s Quarterly Report on Form 10-Q for the quarter</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ended March 31,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Units Agreement dated December 27, 1997 between the Company and Stuart M. Essig (Incorporated by reference to Exhibit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 to the Company’s Current Report on Form 8-K filed on February 3, 1998)*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 Grant and Agreement pursuant to 1999 Stock Option Plan dated December 22, 2000 between the Company and Stuart M.</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Essig (Incorporated by reference to Exhibit 4.1 to the Company’s Current Report on Form 8-K filed on January 8, 2001)*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 Grant and Agreement pursuant to 2000 Equity Incentive Plan dated December 22, 2000 between the Company and Stuart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 Essig (Incorporated by reference to Exhibit 4.2 to the Company’s Current Report on Form 8-K filed on January 8, 2001)*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10.25(a)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Units Agreement dated December 22, 2000 between the Company and Stuart M. Essig (Incorporated by reference to Exhibit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 to the Company’s Current Report on Form 8-K filed on January 8, 2001)*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10.25(b)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2006-1, dated as of October 30, 2006, to the Stuart M. Essig Restricted Units Agreement dated as of December 22, 2000</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 on November 3, 2006)*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 Grant and Agreement pursuant to 2003 Equity Incentive Plan dated July 27, 2004 between the Company and Stuart M.</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Essig (Incorporated by reference to Exhibit 10.30 to the Company’s Annual Report on Form 10-K for the year ended December 31,</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Stock/Restricted Units Agreement pursuant to 2003 Equity Incentive Plan dated July 27, 2004 between the Company and Stuart</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 Essig (Incorporated by reference to Exhibit 10.31 to the Company’s Annual Report on Form 10-K for the year ended December 31,</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2006-1, dated as of October 30, 2006, to the Stuart M. Essig Contract Stock/Restricted Units Agreement dated as of July 27,</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2004 (Incorporated by reference to Exhibit 10.2 to the Company’s Current Report on Form 8-K filed on November 3, 2006)*</w:t>
            </w:r>
          </w:p>
        </w:tc>
      </w:tr>
    </w:tbl>
    <w:p>
      <w:pPr>
        <w:sectPr>
          <w:pgSz w:w="11900" w:h="16838" w:orient="portrait"/>
          <w:cols w:equalWidth="0" w:num="1">
            <w:col w:w="11300"/>
          </w:cols>
          <w:pgMar w:left="300" w:top="607" w:right="29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2008-1, dated as of March 6, 2008, to the Stuart M. Essig Contract Stock/Restricted Units Agreement dated as of July 27,</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2004 (Incorporated by reference to Exhibit 10.25(c) to the Company’s Annual Report on Form 10-K for the year ended December 31,</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2007)*</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10.27(d)</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Amendment 2011-1, dated as of May 17, 2011, to the Stuart M. Essig Contract Stock/Restricted Units Agreement dated as of July 24,</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2004 (Incorporated by reference to Exhibit 10.6 to the Company’s Quarterly Report on Form 10-Q for the quarter ended June 30,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Stock/Units Agreement dated as of May 17, 2011 between the Company and Stuart M. Essig (Incorporated by reference to</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10.2 to the Company’s Current Report on Form 8-K filed on</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23,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Amendment 2011-1 to Contract Stock/Restricted Units Agreements between the Company and Mr. Essig (Incorporated by</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10.5 to the Company’s Quarterly Report on Form 10-Q for the quarter ended June 30,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Form of Stock Option Grant and Agreement between the Company and Stuart M. Essig (Incorporated by reference to Exhibit 10.32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10.31(a)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Contract Stock/Restricted Units Agreement for Stuart M. Essig (Incorporated by reference to Exhibit 10.8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10.31(b)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Form of Contract Stock/Restricted Units Agreement (for Annual Equity Awards) for Stuart M. Essig (Incorporated by reference to</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10.28(b) to the Company’s Annual Report on Form 10-K for the year ended December 31,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10.31(c)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Amendment 2011-1 to Contract Stock/Restricted Units Agreement between the Company and Mr. Essig (Incorporated by</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10.4 to the Company’s Quarterly Report on Form 10-Q for the quarter ended June 30,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Form of Performance Stock Agreement for Stuart M. Essig (Incorporated by reference to Exhibit 10.9 to the Company’s Quarterly Report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Form 10-Q for the quarter ended June 30,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Stuart M. Essig for 2009 (Incorporated by reference to Exhibit 10.3 to the Company’s Current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 on Form 8-K filed April 13, 2009)*</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10.34(a)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Performance Stock Agreement (Executive Officers) (Incorporated by reference to Exhibit 10.2 to the Company's Current Report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Form 8-K filed on February 25,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10.34(b)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Performance Stock Agreement (Executive Officers) (Incorporated by reference to Exhibit 10.1 to the Company’s Current Report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Form 8-K filed on February 29, 2016)*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10.34(c)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Performance Stock Agreement for Peter J. Arduini (Incorporated by reference to Exhibit 10.2 to the Company’s Report on Form</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 filed on February 29, 2016)*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 Incentive Compensation Plan effective January 1, 2013 (Incorporated by reference to Exhibit 10.3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Form of Contract Stock/Restricted Units Agreement pursuant to 2003 Equity Incentive Plan (for 2011) Annual Equity Award for</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Stuart M. Essig) (Incorporated by reference to Exhibit 10.3 to the Company’s Quarterly Report on Form 10-Q for the quarter ended June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30,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Notice of Grant of Stock Option and Stock Option Agreement (Incorporated by reference to Exhibit 10.1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Report on Form 8-K filed on July 29, 2005)*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Non-Qualified Stock Option Agreement (Non-Directors) (Incorporated by reference to Exhibit 10.35 to the Company’s Annual</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 on Form 10-K for the year ended December 31,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Incentive Stock Option Agreement (Incorporated by reference to Exhibit 10.36 to the Company’s Annual Report on Form 10-K</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the year ended December 31,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Non-Qualified Stock Option Agreement (Directors) (Incorporated by reference to Exhibit 10.37 to the Company’s Annual</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 on Form 10-K for the year ended December 31, 2004)*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Stock Option Agreement (Executive Officers) (Incorporated by reference to Exhibit 10.1 to the Company’s Quarterly Report on</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10-Q for the quarter ended March 31, 2015)*</w:t>
            </w:r>
          </w:p>
        </w:tc>
      </w:tr>
    </w:tbl>
    <w:p>
      <w:pPr>
        <w:sectPr>
          <w:pgSz w:w="11900" w:h="16838" w:orient="portrait"/>
          <w:cols w:equalWidth="0" w:num="1">
            <w:col w:w="11300"/>
          </w:cols>
          <w:pgMar w:left="300" w:top="607" w:right="29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Stock Option Agreement for Glenn Coleman (Incorporated by reference to Exhibit 10.2 to the Company’s Quarterly Report on</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10-Q for the quarter ended March 31, 2015)*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Agreement and General Release by and between Robert Paltridge and Integra LifeSciences Corporation (Incorporated by reference to</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10.1 to the Company’s Quarterly Report on Form 10-Q for the quarter ended March 31, 2015)*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10.44(a)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Change in Control Severance Agreement (Incorporated by reference to Exhibit 10.1 to the Company's Current Report on Form</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 filed on May 1, 2014)*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10.44(b)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Change in Control Severance Agreement (Incorporated by reference to Exhibit 10.1 to the Company's Current Report on Form</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 filed on January 30, 2015)*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10.44(c)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Change in Control Severance Agreement (Incorporated by reference to Exhibit 10.1 to the Company’s Current Report on Form</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 filed on February 3, 2016)*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10.45(a)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of Directors of the Company effective May 17, 2011 (Incorporated by reference to Exhibit 10.1 to the Company’s Current</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 on Form 8-K filed on December 16, 2010)*</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10.45(b)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of Non-Employee Directors of the Company effective May 17, 2012 (Incorporated by reference to Exhibit 10.1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April 13,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10.45(c)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of Non-Employee Directors of the Company effective May 22, 2013 (Incorporated by reference to Exhibit 10.1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December 14,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10.45(d)</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of Non-Employee Directors of the Company effective July 24, 2013 (Incorporated by reference to Exhibit 10.1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July 29,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10.45(e)</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of Non-Employee Directors of the Company effective May 22, 2015 (Incorporated by reference to Exhibit 10.1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December 18, 2014)*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10.45(f)</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of Non-Employee Directors of the Company effective May 24, 2016 (Incorporated by reference to Exhibit 10.1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December 17, 2015)*</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Non-Employee Directors under the 2003 Equity Incentive Plan (Incorporated by reference to</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Exhibit 10.4 to the Company’s Quarterly Report on Form 10-Q for the quarter ended June 30,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Form of Restricted Stock Agreement for Non-Employee Directors under the 2003 Equity Incentive Plan (Incorporated by reference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Exhibit 10.38(b) to the Company’s Annual Report on Form 10-K for the year ended December 31,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Executive Officers - Annual Vesting (Incorporated by reference to Exhibit 10.1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on February 25, 2009)*</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10.46(d)</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Executive Officers - Annual Vesting (Incorporated by reference to Exhibit 10.5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Quarterly Report on Form 10-Q for the quarter ended June 30,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10.46(e)</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Form of Restricted Stock Agreement for Executive Officers - Annual Vesting (Incorporated by reference to Exhibit 10.38(e)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10.46(f)</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Executive Officers - Cliff Vesting (Incorporated by reference to Exhibit 10.8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 Report on Form 10-Q for the quarter ended March 31, 2009)*</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10.46(g)</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Executive Officers - Cliff Vesting (Incorporated by reference to Exhibit 10.6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10.46(h)</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Form of Restricted Stock Agreement for Executive Officers - Cliff Vesting (Incorporated by reference to Exhibit 10.38(h)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2012)*</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10.46(i)</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Restricted Stock Agreement for Mr. Henneman for 2008 and 2009 (Incorporated by reference to Exhibit 10.6 to the Company’s</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Report on Form 8-K filed on April 13, 2009)*</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10.46(j)</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Contract Stock/Restricted Units Agreement pursuant to 2003 Equity Incentive Plan for Mr. Henneman (Incorporated by</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10.4 to the Company’s Current Report on Form 8-K filed on December 24,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10.46(k)</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Option Agreement for John B. Henneman, III (Incorporated by reference to Exhibit 10.1 to the Company’s Current Report on</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8-K filed on June 6, 2008)*</w:t>
            </w:r>
          </w:p>
        </w:tc>
      </w:tr>
    </w:tbl>
    <w:p>
      <w:pPr>
        <w:sectPr>
          <w:pgSz w:w="11900" w:h="16838" w:orient="portrait"/>
          <w:cols w:equalWidth="0" w:num="1">
            <w:col w:w="11300"/>
          </w:cols>
          <w:pgMar w:left="300" w:top="607" w:right="29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10.46(l)</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Performance Stock Agreement for John B. Henneman, III (Incorporated by reference to Exhibit 10.37(b) to the Company’s</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2007)*</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10.46(m)</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Contract Stock/Restricted Units Agreement (for Signing Grant) for Mr. Arduini (Incorporated by reference to Exhibit 10.4 to the</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Company’s Current Report on Form 8-K filed on October 12, 2010)*</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10.46(n)</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Contract Stock/Restricted Units Agreement (for Annual Equity Awards) for Mr. Arduini (Incorporated by reference to Exhibit</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 to the Company’s Current Report on Form 8-K filed on October 12, 2010)*</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10.46(o)</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Non-Qualified Stock Option Agreement for Mr. Arduini (Incorporated by reference to Exhibit 10.6 to the Company’s Current</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 on Form 8-K filed on October 12, 2010)*</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10.46(p)</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Restricted Stock Agreement for Mr. Henneman (Incorporated by reference to Exhibit 10.7 to the Company’s Current Report on</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8-K filed on October 12, 2010)*</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10.46(q)</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Restricted Stock Agreement (Annual Vesting) for Mr. Henneman (Incorporated by reference to Exhibit 10.39(n) to the</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Company’s Annual Report on Form 10-K for the year ended December 31, 2011)*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10.47(a)</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Coleman Promotion Summary, effective December 1, 2016 (Incorporated by reference to Exhibit 10.1 to the Company’s Current Report</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Form 8-K filed on December 5, 2016)*</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10.47(b)</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Davis Promotion Summary, effective December 1, 2016 (Incorporated by reference to Exhibit 10.2 to the Company’s Current Report on</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8-K filed on December 5, 2016)*</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Annual Executive Physical Medical Exam Arrangement (Incorporated by reference to the Exhibit 10.2 to the Company’s Current Report</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 Form 8-K filed on July 29, 2013)*</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Reimbursement of Legal Fees Arrangement for CFO (Incorporated by reference to Exhibit 10.3 to the Company’s Current Report on</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8-K filed on July 29, 2013)*</w:t>
            </w:r>
          </w:p>
        </w:tc>
      </w:tr>
      <w:tr>
        <w:trPr>
          <w:trHeight w:val="42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and Restated Management Incentive Compensation Plan, as of January 1, 2008 (Incorporated by reference to Exhibit 10.43(c)</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the Company’s Annual Report on Form 10-K for the year ended December 31, 2007)*</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2010 Convertible Bond Hedge Transaction Confirmation, dated June 6, 2007, between Integra LifeSciences Holdings</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Corporation and dealer (Incorporated by reference to Exhibit 10.1 to the Company’s Current Report on Form 8-K filed on June 12, 2007)</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2012 Convertible Bond Hedge Transaction Confirmation, dated June 6, 2007, between Integra LifeSciences Holdings</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Corporation and dealer (Incorporated by reference to Exhibit 10.2 to the Company’s Current Report on Form 8-K filed on June 12, 2007)</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2010 Amended and Restated Issuer Warrant Transaction Confirmation, dated June 6, 2007, between Integra LifeSciences</w:t>
            </w:r>
          </w:p>
        </w:tc>
      </w:tr>
      <w:tr>
        <w:trPr>
          <w:trHeight w:val="216"/>
        </w:trPr>
        <w:tc>
          <w:tcPr>
            <w:tcW w:w="102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Holdings Corporation and dealer (Incorporated by reference to Exhibit 10.3 to the Company’s Current Report on Form 8-K filed on June</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12, 2007)</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2012 Amended and Restated Issuer Warrant Transaction Confirmation, dated June 6, 2007, between Integra LifeSciences</w:t>
            </w:r>
          </w:p>
        </w:tc>
      </w:tr>
      <w:tr>
        <w:trPr>
          <w:trHeight w:val="216"/>
        </w:trPr>
        <w:tc>
          <w:tcPr>
            <w:tcW w:w="102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Holdings Corporation and dealer (Incorporated by reference to Exhibit 10.4 to the Company’s Current Report on Form 8-K filed on June</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12, 2007)</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Agreement, dated June 9, 2011, between Deutsche Bank AG, London Branch and Integra LifeSciences Holdings Corporation,</w:t>
            </w:r>
          </w:p>
        </w:tc>
      </w:tr>
      <w:tr>
        <w:trPr>
          <w:trHeight w:val="216"/>
        </w:trPr>
        <w:tc>
          <w:tcPr>
            <w:tcW w:w="102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regarding the Base Call Option Transaction (Incorporated by reference to Exhibit 10.4 to the Company’s Form 8-K filed on June 15,</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Agreement, dated June 9, 2011, between Royal Bank of Canada and Integra LifeSciences Holdings Corporation, regarding the</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Base Call Option Transaction (Incorporated by reference to Exhibit 10.8 to the Company’s Form 8-K filed on June 15, 2011)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Agreement, dated June 9, 2011, between The Royal Bank of Scotland plc and Integra LifeSciences Holdings Corporation,</w:t>
            </w:r>
          </w:p>
        </w:tc>
      </w:tr>
      <w:tr>
        <w:trPr>
          <w:trHeight w:val="216"/>
        </w:trPr>
        <w:tc>
          <w:tcPr>
            <w:tcW w:w="102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regarding the Base Call Option Transaction (Incorporated by reference to Exhibit 10.6 to the Company’s Form 8-K filed on June 15,</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Agreement, dated June 9, 2011, between Wells Fargo Bank, National Association and Integra LifeSciences Holdings Corporation,</w:t>
            </w:r>
          </w:p>
        </w:tc>
      </w:tr>
      <w:tr>
        <w:trPr>
          <w:trHeight w:val="216"/>
        </w:trPr>
        <w:tc>
          <w:tcPr>
            <w:tcW w:w="102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regarding the Base Call Option Transaction (Incorporated by reference to Exhibit 10.2 to the Company’s Form 8-K filed on June 15,</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Agreement, dated June 9, 2011, between Deutsche Bank AG, London Branch and Integra LifeSciences Holdings Corporation,</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regarding the Base Warrant Transaction (Incorporated by reference to Exhibit 10.3 to the Company’s Form 8-K filed on June 15, 2011)</w:t>
            </w:r>
          </w:p>
        </w:tc>
      </w:tr>
    </w:tbl>
    <w:p>
      <w:pPr>
        <w:sectPr>
          <w:pgSz w:w="11900" w:h="16838" w:orient="portrait"/>
          <w:cols w:equalWidth="0" w:num="1">
            <w:col w:w="11300"/>
          </w:cols>
          <w:pgMar w:left="300" w:top="769" w:right="29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9, 2011, between Royal Bank of Canada and Integra LifeSciences Holdings Corporation, regarding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Base Warrant Transaction (Incorporated by reference to Exhibit 10.7 to the Company’s Form 8-K filed on June 15,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9, 2011, between The Royal Bank of Scotland plc and Integra LifeSciences Holdings Corporation,</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regarding the Base Warrant Transaction (Incorporated by reference to Exhibit 10.5 to the Company’s Form 8-K filed on June 15,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9, 2011, between Wells Fargo Bank, National Association and Integra LifeSciences Holdings Corporation,</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regarding the Base Warrant Transaction (Incorporated by reference to Exhibit 10.1 to the Company’s Form 8-K filed on June 15,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14, 2011, between Deutsche Bank AG, London Branch and Integra LifeSciences Holdings Corporation,</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regarding the Additional Call Option Transaction (Incorporated by reference to Exhibit 10.9 to the Company’s Form 8-K filed on</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15,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14, 2011, between Royal Bank of Canada and Integra LifeSciences Holdings Corporation, regarding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Call Option Transaction (Incorporated by reference to Exhibit 10.10 to the Company’s Form 8-K filed on June 15,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14, 2011, between The Royal Bank of Scotland plc and Integra LifeSciences Holdings Corporation,</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regarding the Additional Call Option Transaction (Incorporated by reference to Exhibit 10.11 to the Company’s Form 8-K filed on June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Letter Agreement, dated June 14, 2011, between Wells Fargo Bank, National Association and Integra LifeSciences Holdings Corporation,</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regarding the Additional Call Option Transaction (Incorporated by reference to Exhibit 10.12 to the Company’s Form 8-K filed on June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14, 2011, between Deutsche Bank AG, London Branch and Integra LifeSciences Holdings Corporation,</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regarding the Additional Warrant Transaction (Incorporated by reference to Exhibit 10.13 to the Company’s Form 8-K filed on June 15,</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14, 2011, between Royal Bank of Canada and Integra LifeSciences Holdings Corporation, regarding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Warrant Transaction (Incorporated by reference to Exhibit 10.14 to the Company’s Form 8-K filed on June 15, 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Agreement, dated June 14, 2011, between The Royal Bank of Scotland plc and Integra LifeSciences Holdings Corporation,</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regarding the Additional Warrant Transaction (Incorporated by reference to Exhibit 10.15 to the Company’s Form 8-K filed on June 15,</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10.70</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Letter Agreement, dated June 14, 2011, between Wells Fargo Bank, National Association and Integra LifeSciences Holdings Corporation,</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regarding the Additional Warrant Transaction (Incorporated by reference to Exhibit 10.16 to the Company’s Form 8-K filed on June 15,</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Piggyback Registration Rights Agreement dated December 22, 2008 between Integra LifeSciences Holdings Corporation and George</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Heenan, Thomas Gilliam and Michael Evers, as trustees of The Bruce A. LeVahn 2008 Trust and Steven M. LeVahn (Incorporated by</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December 29,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10.72(a)</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Agreement between 109 Morgan Lane, LLC and Integra LifeSciences Corporation, dated May 15, 2008 (Incorporated by reference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 Exhibit 10.10 to the Company’s Quarterly Report on Form 10-Q for the quarter ended June 30, 2008)</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10.72(b)</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Amendment to Lease Agreement between 109 Morgan Lane, LLC and Integra LifeSciences Corporation, dated March 9, 2009</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(Incorporated by reference to Exhibit 10.9 to the Company’s Quarterly Report on Form 10-Q for the quarter ended March 31, 2009)</w:t>
            </w:r>
          </w:p>
        </w:tc>
      </w:tr>
      <w:tr>
        <w:trPr>
          <w:trHeight w:val="25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10.72(c)</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Agreement dated as of July 1, 2013, between 109 Morgan Lane, LLC and Integra LifeSciences Corporation (Incorporated by</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July 1, 2013)</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 Letter between Glenn Coleman and the Company (Incorporated by reference to Exhibit 10.1 to the Company's Current Report on</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8-K filed on April 29, 2014)*</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Statement Regarding the Computation of Ratio of Earnings to Fixed Charges and Preferred Share Dividends for the Years Ended 2015,</w:t>
            </w:r>
          </w:p>
        </w:tc>
      </w:tr>
      <w:tr>
        <w:trPr>
          <w:trHeight w:val="216"/>
        </w:trPr>
        <w:tc>
          <w:tcPr>
            <w:tcW w:w="100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2014, 2013, 2012 and 2011, and the Nine Months Ended September 30, 2016 (Incorporated by reference to Exhibit 12.1 to the</w:t>
            </w:r>
          </w:p>
        </w:tc>
      </w:tr>
      <w:tr>
        <w:trPr>
          <w:trHeight w:val="234"/>
        </w:trPr>
        <w:tc>
          <w:tcPr>
            <w:tcW w:w="100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Registration Statement on Form S-3 ASR filed November 4, 2016)</w:t>
            </w:r>
          </w:p>
        </w:tc>
      </w:tr>
    </w:tbl>
    <w:p>
      <w:pPr>
        <w:sectPr>
          <w:pgSz w:w="11900" w:h="16838" w:orient="portrait"/>
          <w:cols w:equalWidth="0" w:num="1">
            <w:col w:w="11300"/>
          </w:cols>
          <w:pgMar w:left="300" w:top="769" w:right="299" w:bottom="1440" w:gutter="0" w:footer="0" w:header="0"/>
        </w:sectPr>
      </w:pPr>
    </w:p>
    <w:bookmarkStart w:id="118" w:name="page119"/>
    <w:bookmarkEnd w:id="118"/>
    <w:p>
      <w:pPr>
        <w:spacing w:after="0" w:line="1" w:lineRule="exact"/>
        <w:rPr>
          <w:sz w:val="20"/>
          <w:szCs w:val="20"/>
          <w:color w:val="auto"/>
        </w:rPr>
      </w:pPr>
    </w:p>
    <w:tbl>
      <w:tblPr>
        <w:tblLayout w:type="fixed"/>
        <w:tblInd w:w="25"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18.1</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Preferability letter of Independent Public Accounting Firm dated May 1, 2014 (Incorporated by reference to Exhibit 18 to the Company's</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2014)</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18.2</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Preferability Letter of Independent Public Accounting Firm dated July 31, 2012 (Incorporated by reference to Exhibit 18.1 to the</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Company’s Quarterly Report on Form 10-Q for the quarter ended June 30, 2012)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 of PricewaterhouseCoopers LLP+</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906 of the Sarbanes-Oxley Act of 2002+</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dated December 21, 2011, from the United States Food and Drug Administration to Integra LifeSciences Corporation</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99.1 to the Company’s Current Report on Form 8-K filed on January 5, 2012)</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Drug Administration Form FDA-483, dated July 30, 2012, relating to inspection of Plainsboro, NJ manufacturing facility</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99.1 to the Company’s Quarterly Report on Form 10-Q for the quarter ended June 30, 2012)</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dated November 1, 2012, from the United States Food and Drug Administration to Integra NeuroSciences Ltd. (Incorporated by</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reference to Exhibit 99.1 to the Company’s Current Report on Form 8-K filed on November 13, 2012)</w:t>
            </w:r>
          </w:p>
        </w:tc>
      </w:tr>
      <w:tr>
        <w:trPr>
          <w:trHeight w:val="25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dated February 13, 2013, from the United States Federal Drug Administration to Integra LifeSciences Corporation (Incorporated</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 reference to Exhibit 99.1 to the Company’s Current Report on Form 8-K filed on February 19, 2013)</w:t>
            </w:r>
          </w:p>
        </w:tc>
      </w:tr>
      <w:tr>
        <w:trPr>
          <w:trHeight w:val="25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dated September 24, 2013, from the United States Federal Drug Administration to Integra LifeSciences Corporation (Incorporated</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 reference to Exhibit 99.1 to the Company’s Current Report on Form 8-K filed on September 27, 2013)</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Drug Administration Form FDA-483, dated November 26, 2013, relating to the inspection of the Añasco Facility (Incorporated</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 reference to Exhibit 99.1 to the Company’s Current Report on Form 8-K filed on December 3, 2013)</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99.7</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dated January 14, 2015, from the United States Food and Drug Administration to Integra LifeSciences Corporation (Incorporated</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 reference to Exhibit 99.1 to the Company’s Current Report on Form 8-K filed on January 20, 2015)</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99.8</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dated May 29, 2015, from the United States Food and Drug Administration to TEI Biosciences Inc. (Incorporated by reference to</w:t>
            </w:r>
          </w:p>
        </w:tc>
      </w:tr>
      <w:tr>
        <w:trPr>
          <w:trHeight w:val="234"/>
        </w:trPr>
        <w:tc>
          <w:tcPr>
            <w:tcW w:w="102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 99.1 to the Company’s Quarterly Report on Form 10-Q for the quarter ended June 30, 2015)</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99.9</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Letter, dated June 30, 2015, from the United States Food and Drug Administration to Integra LifeSciences (Ireland) Limited</w:t>
            </w:r>
          </w:p>
        </w:tc>
      </w:tr>
      <w:tr>
        <w:trPr>
          <w:trHeight w:val="234"/>
        </w:trPr>
        <w:tc>
          <w:tcPr>
            <w:tcW w:w="1020" w:type="dxa"/>
            <w:vAlign w:val="bottom"/>
          </w:tcPr>
          <w:p>
            <w:pPr>
              <w:spacing w:after="0"/>
              <w:rPr>
                <w:sz w:val="20"/>
                <w:szCs w:val="20"/>
                <w:color w:val="auto"/>
              </w:rPr>
            </w:pP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(Incorporated by reference to Exhibit 99.2 to the Company’s Quarterly Report on Form 10-Q for the quarter ended June 30, 2015)</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52" w:lineRule="exact"/>
        <w:rPr>
          <w:sz w:val="20"/>
          <w:szCs w:val="20"/>
          <w:color w:val="auto"/>
        </w:rPr>
      </w:pPr>
    </w:p>
    <w:p>
      <w:pPr>
        <w:ind w:left="5" w:right="5940" w:hanging="5"/>
        <w:spacing w:after="0" w:line="501" w:lineRule="auto"/>
        <w:tabs>
          <w:tab w:leader="none" w:pos="2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 + Indicates this document is filed as an exhibit herewith.</w:t>
      </w:r>
    </w:p>
    <w:p>
      <w:pPr>
        <w:sectPr>
          <w:pgSz w:w="11900" w:h="16838" w:orient="portrait"/>
          <w:cols w:equalWidth="0" w:num="1">
            <w:col w:w="11325"/>
          </w:cols>
          <w:pgMar w:left="275" w:top="607" w:right="299" w:bottom="1440" w:gutter="0" w:footer="0" w:header="0"/>
        </w:sectPr>
      </w:pPr>
    </w:p>
    <w:bookmarkStart w:id="119" w:name="page120"/>
    <w:bookmarkEnd w:id="119"/>
    <w:p>
      <w:pPr>
        <w:jc w:val="both"/>
        <w:ind w:left="260" w:hanging="225"/>
        <w:spacing w:after="0" w:line="258"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Annual Report on Form 10-K for the year ended December 31, 2016 filed on February 23, 2017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Commission File Number for Reports on Form 10-K, Form 10-Q and Form 8-K is 0-26224.</w:t>
      </w:r>
    </w:p>
    <w:p>
      <w:pPr>
        <w:sectPr>
          <w:pgSz w:w="11900" w:h="16838" w:orient="portrait"/>
          <w:cols w:equalWidth="0" w:num="1">
            <w:col w:w="11380"/>
          </w:cols>
          <w:pgMar w:left="240" w:top="526" w:right="27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Name of Subsidiary</w:t>
            </w:r>
          </w:p>
        </w:tc>
        <w:tc>
          <w:tcPr>
            <w:tcW w:w="42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State or Country of Incorporation or Organization</w:t>
            </w:r>
          </w:p>
        </w:tc>
      </w:tr>
      <w:tr>
        <w:trPr>
          <w:trHeight w:val="57"/>
        </w:trPr>
        <w:tc>
          <w:tcPr>
            <w:tcW w:w="6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3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Ascension Orthopedics,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Ascension Orthopedics, Ltd.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Bimeco,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Florida</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CardioDyne,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Cathtec, Incorporated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Caveangle Limited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Confluent Surgical,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EndoSolutions,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Fiber Imaging Technologies,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GMS, Gesellschaft für medizinische Sondentechnik mbH</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ILS Financing (Ireland) Limited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ILS Services Switzerland Ltd.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Burlington MA, Inc. (formerly known as Integra Radionics,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Canada ULC (formerly known as Canada Microsurgical ULC)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CI,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Euro Holdings,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France Holdings SAS</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German Holdings GmbH</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GmbH</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Japan K.K.</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LifeSciences (Canada) Holdings,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LifeSciences (Ireland) Limited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LifeSciences Corporation</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LifeSciences Italy S.r.l.</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 Sciences Ltda.</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LifeSciences NR Ireland Limited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LifeSciences Sales LLC (f/k/a Integra Healthcare Products LLC)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LifeSciences Sales (Ireland) Limited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LifeSciences Services (France) SAS</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LifeSciences Shared Services (Ireland) Limited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LifeSciences Singapore Pte. Ltd.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LS (Benelux) NV</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Luxtec,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ME GmbH</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MicroFrance SAS</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NeuroSciences (International), Inc.</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NeuroSciences Holdings (UK) Limited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NeuroSciences Holdings B.V.</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NeuroSciences Implants (France) SAS</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Integra NeuroSciences Limited</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420"/>
          </w:cols>
          <w:pgMar w:left="240" w:top="576"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Integra Neurosciences Pty Ltd. (AUS)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Neurosciences Pty Ltd. (NZ)</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Sales,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Selector Corporation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(Shanghai) Distribution Consulting Co.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Integra York PA, Inc. (formerly known as Miltex, Inc.)</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IsoTis NV</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IsoTis T.E. Facility B.V.</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Jamner Surgical Instruments,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Jarit GmbH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LXU Healthcare, Inc. - Medical Specialty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Miltex GmbH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 Scientific,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Newdeal SAS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Newdeal,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Precise Dental Holding Corp.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Precise Dental Internacional, S.A. de C.V.</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Precise Dental Products,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Dental International,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Spembly Cryosurgery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Spembly Medical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Tarsus Medical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TEI Biosciences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TEI Biosciences (UK)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TEI Medical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Jersey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5680" w:space="720"/>
            <w:col w:w="3779"/>
          </w:cols>
          <w:pgMar w:left="280" w:top="742" w:right="1440" w:bottom="1440" w:gutter="0" w:footer="0" w:header="0"/>
        </w:sectPr>
      </w:pPr>
    </w:p>
    <w:bookmarkStart w:id="122" w:name="page123"/>
    <w:bookmarkEnd w:id="122"/>
    <w:p>
      <w:pPr>
        <w:ind w:left="7140"/>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(File Nos. 333-46024, 333-82233, 333-58235, 333-06577, 333-73512, 333-109042, 333-127488, 333-155263 and 333-170210) and Form S-3 (File No. 333-214430) of Integra LifeSciences Holdings Corporation and its subsidiaries of our report dated February 23, 2017 relating to the consolidated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2017</w:t>
      </w:r>
    </w:p>
    <w:p>
      <w:pPr>
        <w:sectPr>
          <w:pgSz w:w="11900" w:h="16838" w:orient="portrait"/>
          <w:cols w:equalWidth="0" w:num="1">
            <w:col w:w="11420"/>
          </w:cols>
          <w:pgMar w:left="240" w:top="684"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20"/>
        <w:spacing w:after="0"/>
        <w:tabs>
          <w:tab w:leader="none" w:pos="1040" w:val="left"/>
          <w:tab w:leader="none" w:pos="5940" w:val="left"/>
        </w:tabs>
        <w:rPr>
          <w:sz w:val="20"/>
          <w:szCs w:val="20"/>
          <w:color w:val="auto"/>
        </w:rPr>
      </w:pPr>
      <w:r>
        <w:rPr>
          <w:rFonts w:ascii="Times New Roman" w:cs="Times New Roman" w:eastAsia="Times New Roman" w:hAnsi="Times New Roman"/>
          <w:sz w:val="18"/>
          <w:szCs w:val="18"/>
          <w:color w:val="auto"/>
        </w:rPr>
        <w:t>Date:</w:t>
        <w:tab/>
        <w:t>February 23, 2017</w:t>
      </w:r>
      <w:r>
        <w:rPr>
          <w:sz w:val="20"/>
          <w:szCs w:val="20"/>
          <w:color w:val="auto"/>
        </w:rPr>
        <w:tab/>
      </w:r>
      <w:r>
        <w:rPr>
          <w:rFonts w:ascii="Times New Roman" w:cs="Times New Roman" w:eastAsia="Times New Roman" w:hAnsi="Times New Roman"/>
          <w:sz w:val="17"/>
          <w:szCs w:val="17"/>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34290</wp:posOffset>
            </wp:positionV>
            <wp:extent cx="32416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Peter J. Arduini</w:t>
      </w:r>
    </w:p>
    <w:p>
      <w:pPr>
        <w:spacing w:after="0" w:line="6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20"/>
        <w:spacing w:after="0"/>
        <w:tabs>
          <w:tab w:leader="none" w:pos="880" w:val="left"/>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23, 2017</w:t>
      </w:r>
      <w:r>
        <w:rPr>
          <w:sz w:val="20"/>
          <w:szCs w:val="20"/>
          <w:color w:val="auto"/>
        </w:rPr>
        <w:tab/>
      </w:r>
      <w:r>
        <w:rPr>
          <w:rFonts w:ascii="Times New Roman" w:cs="Times New Roman" w:eastAsia="Times New Roman" w:hAnsi="Times New Roman"/>
          <w:sz w:val="18"/>
          <w:szCs w:val="18"/>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507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Glenn G. Coleman</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Corporate Vice President and Chief Financial Officer</w:t>
      </w:r>
    </w:p>
    <w:p>
      <w:pPr>
        <w:sectPr>
          <w:pgSz w:w="11900" w:h="16838" w:orient="portrait"/>
          <w:cols w:equalWidth="0" w:num="1">
            <w:col w:w="11420"/>
          </w:cols>
          <w:pgMar w:left="240" w:top="117"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Peter J. Arduini, President and Chief Executive Officer of Integra LifeSciences Holdings Corporation (the “Company”), hereby certify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2016 (the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320"/>
        <w:spacing w:after="0"/>
        <w:tabs>
          <w:tab w:leader="none" w:pos="960" w:val="left"/>
          <w:tab w:leader="none" w:pos="5840" w:val="left"/>
        </w:tabs>
        <w:rPr>
          <w:sz w:val="20"/>
          <w:szCs w:val="20"/>
          <w:color w:val="auto"/>
        </w:rPr>
      </w:pPr>
      <w:r>
        <w:rPr>
          <w:rFonts w:ascii="Times New Roman" w:cs="Times New Roman" w:eastAsia="Times New Roman" w:hAnsi="Times New Roman"/>
          <w:sz w:val="18"/>
          <w:szCs w:val="18"/>
          <w:color w:val="auto"/>
        </w:rPr>
        <w:t>Date:</w:t>
        <w:tab/>
        <w:t>February 23, 2017</w:t>
      </w:r>
      <w:r>
        <w:rPr>
          <w:sz w:val="20"/>
          <w:szCs w:val="20"/>
          <w:color w:val="auto"/>
        </w:rPr>
        <w:tab/>
      </w:r>
      <w:r>
        <w:rPr>
          <w:rFonts w:ascii="Times New Roman" w:cs="Times New Roman" w:eastAsia="Times New Roman" w:hAnsi="Times New Roman"/>
          <w:sz w:val="18"/>
          <w:szCs w:val="18"/>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34290</wp:posOffset>
            </wp:positionV>
            <wp:extent cx="33616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Peter J. Arduini</w:t>
      </w:r>
    </w:p>
    <w:p>
      <w:pPr>
        <w:spacing w:after="0" w:line="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Glenn G. Coleman, Corporate Vice President and Chief Financial Officer of Integra LifeSciences Holdings Corporation (the “Company”), hereby certify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2016 (the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120"/>
        <w:spacing w:after="0"/>
        <w:tabs>
          <w:tab w:leader="none" w:pos="78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23, 2017</w:t>
      </w:r>
      <w:r>
        <w:rPr>
          <w:sz w:val="20"/>
          <w:szCs w:val="20"/>
          <w:color w:val="auto"/>
        </w:rPr>
        <w:tab/>
      </w:r>
      <w:r>
        <w:rPr>
          <w:rFonts w:ascii="Times New Roman" w:cs="Times New Roman" w:eastAsia="Times New Roman" w:hAnsi="Times New Roman"/>
          <w:sz w:val="17"/>
          <w:szCs w:val="17"/>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360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Glenn G. Coleman</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Corporate Vice President and 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7"/>
    </w:lvl>
  </w:abstractNum>
  <w:abstractNum w:abstractNumId="14">
    <w:nsid w:val="2901D82"/>
    <w:multiLevelType w:val="hybridMultilevel"/>
    <w:lvl w:ilvl="0">
      <w:lvlJc w:val="left"/>
      <w:lvlText w:val="(%1)"/>
      <w:numFmt w:val="decimal"/>
      <w:start w:val="1"/>
    </w:lvl>
    <w:lvl w:ilvl="1">
      <w:lvlJc w:val="left"/>
      <w:lvlText w:val="(%2)"/>
      <w:numFmt w:val="decimal"/>
      <w:start w:val="2"/>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lowerRoman"/>
      <w:start w:val="1"/>
    </w:lvl>
  </w:abstractNum>
  <w:abstractNum w:abstractNumId="18">
    <w:nsid w:val="7C3DBD3D"/>
    <w:multiLevelType w:val="hybridMultilevel"/>
    <w:lvl w:ilvl="0">
      <w:lvlJc w:val="left"/>
      <w:lvlText w:val="%1."/>
      <w:numFmt w:val="lowerRoman"/>
      <w:start w:val="2"/>
    </w:lvl>
  </w:abstractNum>
  <w:abstractNum w:abstractNumId="19">
    <w:nsid w:val="737B8DDC"/>
    <w:multiLevelType w:val="hybridMultilevel"/>
    <w:lvl w:ilvl="0">
      <w:lvlJc w:val="left"/>
      <w:lvlText w:val="%1."/>
      <w:numFmt w:val="lowerRoman"/>
      <w:start w:val="1"/>
    </w:lvl>
    <w:lvl w:ilvl="1">
      <w:lvlJc w:val="left"/>
      <w:lvlText w:val="%2."/>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4"/>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1."/>
      <w:numFmt w:val="lowerRoman"/>
      <w:start w:val="1"/>
    </w:lvl>
    <w:lvl w:ilvl="1">
      <w:lvlJc w:val="left"/>
      <w:lvlText w:val="%2."/>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2019-12-29T08:20:25Z</dcterms:created>
  <dcterms:modified xsi:type="dcterms:W3CDTF">2019-12-29T08:20:25Z</dcterms:modified>
</cp:coreProperties>
</file>