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2018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18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tabs>
          <w:tab w:leader="none" w:pos="680" w:val="left"/>
          <w:tab w:leader="none" w:pos="1240" w:val="left"/>
        </w:tabs>
        <w:rPr>
          <w:sz w:val="20"/>
          <w:szCs w:val="20"/>
          <w:color w:val="auto"/>
        </w:rPr>
      </w:pPr>
      <w:r>
        <w:rPr>
          <w:rFonts w:ascii="Arial" w:cs="Arial" w:eastAsia="Arial" w:hAnsi="Arial"/>
          <w:sz w:val="16"/>
          <w:szCs w:val="16"/>
          <w:color w:val="auto"/>
        </w:rPr>
        <w:t>90 days.</w:t>
        <w:tab/>
        <w:t>Yes x</w:t>
        <w:tab/>
        <w:t>No o</w:t>
      </w:r>
    </w:p>
    <w:p>
      <w:pPr>
        <w:spacing w:after="0" w:line="15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 (Check one):</w:t>
      </w:r>
    </w:p>
    <w:p>
      <w:pPr>
        <w:spacing w:after="0" w:line="129"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860" w:type="dxa"/>
            <w:vAlign w:val="bottom"/>
          </w:tcPr>
          <w:p>
            <w:pPr>
              <w:ind w:left="540"/>
              <w:spacing w:after="0"/>
              <w:rPr>
                <w:sz w:val="20"/>
                <w:szCs w:val="20"/>
                <w:color w:val="auto"/>
              </w:rPr>
            </w:pPr>
            <w:r>
              <w:rPr>
                <w:rFonts w:ascii="Arial" w:cs="Arial" w:eastAsia="Arial" w:hAnsi="Arial"/>
                <w:sz w:val="16"/>
                <w:szCs w:val="16"/>
                <w:color w:val="auto"/>
              </w:rPr>
              <w:t>x</w:t>
            </w:r>
          </w:p>
        </w:tc>
        <w:tc>
          <w:tcPr>
            <w:tcW w:w="3300" w:type="dxa"/>
            <w:vAlign w:val="bottom"/>
          </w:tcPr>
          <w:p>
            <w:pPr>
              <w:ind w:left="116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446"/>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4860" w:type="dxa"/>
            <w:vAlign w:val="bottom"/>
          </w:tcPr>
          <w:p>
            <w:pPr>
              <w:ind w:left="540"/>
              <w:spacing w:after="0"/>
              <w:rPr>
                <w:sz w:val="20"/>
                <w:szCs w:val="20"/>
                <w:color w:val="auto"/>
              </w:rPr>
            </w:pPr>
            <w:r>
              <w:rPr>
                <w:rFonts w:ascii="Arial" w:cs="Arial" w:eastAsia="Arial" w:hAnsi="Arial"/>
                <w:sz w:val="16"/>
                <w:szCs w:val="16"/>
                <w:color w:val="auto"/>
              </w:rPr>
              <w:t>o (Do not check if a smaller reporting company)</w:t>
            </w:r>
          </w:p>
        </w:tc>
        <w:tc>
          <w:tcPr>
            <w:tcW w:w="3300" w:type="dxa"/>
            <w:vAlign w:val="bottom"/>
          </w:tcPr>
          <w:p>
            <w:pPr>
              <w:ind w:left="116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459"/>
        </w:trPr>
        <w:tc>
          <w:tcPr>
            <w:tcW w:w="23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860" w:type="dxa"/>
            <w:vAlign w:val="bottom"/>
          </w:tcPr>
          <w:p>
            <w:pPr>
              <w:ind w:left="540"/>
              <w:spacing w:after="0"/>
              <w:rPr>
                <w:sz w:val="20"/>
                <w:szCs w:val="20"/>
                <w:color w:val="auto"/>
              </w:rPr>
            </w:pPr>
            <w:r>
              <w:rPr>
                <w:rFonts w:ascii="Arial" w:cs="Arial" w:eastAsia="Arial" w:hAnsi="Arial"/>
                <w:sz w:val="16"/>
                <w:szCs w:val="16"/>
                <w:color w:val="auto"/>
              </w:rPr>
              <w:t>o</w:t>
            </w:r>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12" w:lineRule="exact"/>
        <w:rPr>
          <w:sz w:val="24"/>
          <w:szCs w:val="24"/>
          <w:color w:val="auto"/>
        </w:rPr>
      </w:pPr>
    </w:p>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o No </w:t>
      </w:r>
      <w:r>
        <w:rPr>
          <w:rFonts w:ascii="MS PGothic" w:cs="MS PGothic" w:eastAsia="MS PGothic" w:hAnsi="MS PGothic"/>
          <w:sz w:val="16"/>
          <w:szCs w:val="16"/>
          <w:color w:val="auto"/>
        </w:rPr>
        <w:t>☒</w:t>
      </w:r>
    </w:p>
    <w:p>
      <w:pPr>
        <w:spacing w:after="0" w:line="98" w:lineRule="exact"/>
        <w:rPr>
          <w:sz w:val="24"/>
          <w:szCs w:val="24"/>
          <w:color w:val="auto"/>
        </w:rPr>
      </w:pPr>
    </w:p>
    <w:p>
      <w:pPr>
        <w:ind w:right="2900"/>
        <w:spacing w:after="0" w:line="29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o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the registrant’s Common Stock, $0.01 par value, outstanding as of April 24, 2018 was 78,948,346.</w:t>
      </w:r>
    </w:p>
    <w:p>
      <w:pPr>
        <w:sectPr>
          <w:pgSz w:w="11900" w:h="16838" w:orient="portrait"/>
          <w:cols w:equalWidth="0" w:num="1">
            <w:col w:w="11420"/>
          </w:cols>
          <w:pgMar w:left="240" w:top="26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6"/>
            <w:vMerge w:val="restart"/>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6"/>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9"/>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6"/>
          </w:tcPr>
          <w:p>
            <w:pPr>
              <w:spacing w:after="0"/>
              <w:rPr>
                <w:sz w:val="20"/>
                <w:szCs w:val="20"/>
                <w:color w:val="auto"/>
              </w:rPr>
            </w:pPr>
            <w:r>
              <w:rPr>
                <w:rFonts w:ascii="Arial" w:cs="Arial" w:eastAsia="Arial" w:hAnsi="Arial"/>
                <w:sz w:val="16"/>
                <w:szCs w:val="16"/>
                <w:color w:val="0000FF"/>
                <w:w w:val="97"/>
              </w:rPr>
              <w:t>Condensed Consolidated Statements of Operations and Comprehensive Income for the three months ended March 31, 2018 and 2017 (Unaudited)</w:t>
            </w: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80" w:type="dxa"/>
            <w:vAlign w:val="bottom"/>
            <w:gridSpan w:val="13"/>
          </w:tcPr>
          <w:p>
            <w:pPr>
              <w:spacing w:after="0"/>
              <w:rPr>
                <w:sz w:val="20"/>
                <w:szCs w:val="20"/>
                <w:color w:val="auto"/>
              </w:rPr>
            </w:pPr>
            <w:r>
              <w:rPr>
                <w:rFonts w:ascii="Arial" w:cs="Arial" w:eastAsia="Arial" w:hAnsi="Arial"/>
                <w:sz w:val="16"/>
                <w:szCs w:val="16"/>
                <w:color w:val="0000FF"/>
                <w:w w:val="90"/>
              </w:rPr>
              <w:t>Condensed Consolidated Balance Sheets as of March 31, 2018 and December 31, 2017 (Unaudited)</w:t>
            </w:r>
          </w:p>
        </w:tc>
        <w:tc>
          <w:tcPr>
            <w:tcW w:w="298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60" w:type="dxa"/>
            <w:vAlign w:val="bottom"/>
            <w:gridSpan w:val="14"/>
          </w:tcPr>
          <w:p>
            <w:pPr>
              <w:spacing w:after="0"/>
              <w:rPr>
                <w:sz w:val="20"/>
                <w:szCs w:val="20"/>
                <w:color w:val="auto"/>
              </w:rPr>
            </w:pPr>
            <w:r>
              <w:rPr>
                <w:rFonts w:ascii="Arial" w:cs="Arial" w:eastAsia="Arial" w:hAnsi="Arial"/>
                <w:sz w:val="16"/>
                <w:szCs w:val="16"/>
                <w:color w:val="0000FF"/>
                <w:w w:val="90"/>
              </w:rPr>
              <w:t>Condensed Consolidated Statements of Cash Flows for the three months ended March 31, 2018 and 2017 (Unaudited)</w:t>
            </w:r>
          </w:p>
        </w:tc>
        <w:tc>
          <w:tcPr>
            <w:tcW w:w="248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60" w:type="dxa"/>
            <w:vAlign w:val="bottom"/>
            <w:gridSpan w:val="14"/>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Unaudited Condensed Consolidated Financial Statements</w:t>
              </w:r>
            </w:hyperlink>
          </w:p>
        </w:tc>
        <w:tc>
          <w:tcPr>
            <w:tcW w:w="248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2"/>
          </w:tcPr>
          <w:p>
            <w:pPr>
              <w:spacing w:after="0"/>
              <w:rPr>
                <w:rFonts w:ascii="Arial" w:cs="Arial" w:eastAsia="Arial" w:hAnsi="Arial"/>
                <w:sz w:val="16"/>
                <w:szCs w:val="16"/>
                <w:color w:val="0000FF"/>
                <w:w w:val="92"/>
              </w:rPr>
            </w:pPr>
            <w:hyperlink w:anchor="page29">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9">
              <w:r>
                <w:rPr>
                  <w:rFonts w:ascii="Arial" w:cs="Arial" w:eastAsia="Arial" w:hAnsi="Arial"/>
                  <w:sz w:val="16"/>
                  <w:szCs w:val="16"/>
                  <w:color w:val="0000FF"/>
                </w:rPr>
                <w:t>28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1"/>
          </w:tcPr>
          <w:p>
            <w:pPr>
              <w:spacing w:after="0"/>
              <w:rPr>
                <w:rFonts w:ascii="Arial" w:cs="Arial" w:eastAsia="Arial" w:hAnsi="Arial"/>
                <w:sz w:val="16"/>
                <w:szCs w:val="16"/>
                <w:color w:val="0000FF"/>
                <w:w w:val="92"/>
              </w:rPr>
            </w:pPr>
            <w:hyperlink w:anchor="page38">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5740" w:type="dxa"/>
            <w:vAlign w:val="bottom"/>
            <w:tcBorders>
              <w:left w:val="single" w:sz="8" w:color="0000FF"/>
            </w:tcBorders>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1"/>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4. Controls and Procedures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8">
              <w:r>
                <w:rPr>
                  <w:rFonts w:ascii="Arial" w:cs="Arial" w:eastAsia="Arial" w:hAnsi="Arial"/>
                  <w:sz w:val="16"/>
                  <w:szCs w:val="16"/>
                  <w:color w:val="0000FF"/>
                </w:rPr>
                <w:t>37</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8"/>
          </w:tcPr>
          <w:p>
            <w:pPr>
              <w:spacing w:after="0"/>
              <w:rPr>
                <w:rFonts w:ascii="Arial" w:cs="Arial" w:eastAsia="Arial" w:hAnsi="Arial"/>
                <w:sz w:val="16"/>
                <w:szCs w:val="16"/>
                <w:color w:val="0000FF"/>
                <w:w w:val="96"/>
              </w:rPr>
            </w:pPr>
            <w:hyperlink w:anchor="page39">
              <w:r>
                <w:rPr>
                  <w:rFonts w:ascii="Arial" w:cs="Arial" w:eastAsia="Arial" w:hAnsi="Arial"/>
                  <w:sz w:val="16"/>
                  <w:szCs w:val="16"/>
                  <w:color w:val="0000FF"/>
                  <w:w w:val="96"/>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5"/>
          </w:tcPr>
          <w:p>
            <w:pPr>
              <w:spacing w:after="0"/>
              <w:rPr>
                <w:rFonts w:ascii="Arial" w:cs="Arial" w:eastAsia="Arial" w:hAnsi="Arial"/>
                <w:sz w:val="16"/>
                <w:szCs w:val="16"/>
                <w:color w:val="0000FF"/>
                <w:w w:val="88"/>
              </w:rPr>
            </w:pPr>
            <w:hyperlink w:anchor="page39">
              <w:r>
                <w:rPr>
                  <w:rFonts w:ascii="Arial" w:cs="Arial" w:eastAsia="Arial" w:hAnsi="Arial"/>
                  <w:sz w:val="16"/>
                  <w:szCs w:val="16"/>
                  <w:color w:val="0000FF"/>
                  <w:w w:val="88"/>
                </w:rPr>
                <w:t>Item 1. Legal Proceedings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9">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5"/>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1A. Risk Factors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6"/>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1"/>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5"/>
          </w:tcPr>
          <w:p>
            <w:pPr>
              <w:spacing w:after="0"/>
              <w:rPr>
                <w:sz w:val="20"/>
                <w:szCs w:val="20"/>
                <w:color w:val="auto"/>
              </w:rPr>
            </w:pPr>
            <w:r>
              <w:rPr>
                <w:rFonts w:ascii="Arial" w:cs="Arial" w:eastAsia="Arial" w:hAnsi="Arial"/>
                <w:sz w:val="16"/>
                <w:szCs w:val="16"/>
                <w:color w:val="0000FF"/>
                <w:w w:val="92"/>
              </w:rPr>
              <w:t>Item 5. Other Information</w:t>
            </w:r>
          </w:p>
        </w:tc>
        <w:tc>
          <w:tcPr>
            <w:tcW w:w="400" w:type="dxa"/>
            <w:vAlign w:val="bottom"/>
            <w:gridSpan w:val="2"/>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rFonts w:ascii="Arial" w:cs="Arial" w:eastAsia="Arial" w:hAnsi="Arial"/>
                <w:sz w:val="16"/>
                <w:szCs w:val="16"/>
                <w:color w:val="0000FF"/>
                <w:w w:val="85"/>
              </w:rPr>
            </w:pPr>
            <w:hyperlink w:anchor="page41">
              <w:r>
                <w:rPr>
                  <w:rFonts w:ascii="Arial" w:cs="Arial" w:eastAsia="Arial" w:hAnsi="Arial"/>
                  <w:sz w:val="16"/>
                  <w:szCs w:val="16"/>
                  <w:color w:val="0000FF"/>
                  <w:w w:val="85"/>
                </w:rPr>
                <w:t>Item 6. Exhibits</w:t>
              </w:r>
            </w:hyperlink>
          </w:p>
        </w:tc>
        <w:tc>
          <w:tcPr>
            <w:tcW w:w="700" w:type="dxa"/>
            <w:vAlign w:val="bottom"/>
            <w:gridSpan w:val="3"/>
          </w:tcPr>
          <w:p>
            <w:pPr>
              <w:spacing w:after="0"/>
              <w:rPr>
                <w:sz w:val="24"/>
                <w:szCs w:val="24"/>
                <w:color w:val="auto"/>
              </w:rPr>
            </w:pPr>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rFonts w:ascii="Arial" w:cs="Arial" w:eastAsia="Arial" w:hAnsi="Arial"/>
                <w:sz w:val="16"/>
                <w:szCs w:val="16"/>
                <w:color w:val="0000FF"/>
                <w:w w:val="90"/>
              </w:rPr>
            </w:pPr>
            <w:hyperlink w:anchor="page42">
              <w:r>
                <w:rPr>
                  <w:rFonts w:ascii="Arial" w:cs="Arial" w:eastAsia="Arial" w:hAnsi="Arial"/>
                  <w:sz w:val="16"/>
                  <w:szCs w:val="16"/>
                  <w:color w:val="0000FF"/>
                  <w:w w:val="90"/>
                </w:rPr>
                <w:t>SIGNATURES</w:t>
              </w:r>
            </w:hyperlink>
          </w:p>
        </w:tc>
        <w:tc>
          <w:tcPr>
            <w:tcW w:w="9160" w:type="dxa"/>
            <w:vAlign w:val="bottom"/>
            <w:gridSpan w:val="1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Exhibit 10.1</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5"/>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Exhibit 10.2</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5"/>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Exhibit 31.1</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5"/>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Exhibit 31.2</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5"/>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Exhibit 32.1</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Exhibit 32.2</w:t>
        </w:r>
      </w:hyperlink>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380"/>
          </w:cols>
          <w:pgMar w:left="280" w:top="55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357,082</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258,636</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144,222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86,585</w:t>
            </w:r>
          </w:p>
        </w:tc>
      </w:tr>
      <w:tr>
        <w:trPr>
          <w:trHeight w:val="243"/>
        </w:trPr>
        <w:tc>
          <w:tcPr>
            <w:tcW w:w="84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18,325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15,494</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163,566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142,497</w:t>
            </w:r>
          </w:p>
        </w:tc>
      </w:tr>
      <w:tr>
        <w:trPr>
          <w:trHeight w:val="243"/>
        </w:trPr>
        <w:tc>
          <w:tcPr>
            <w:tcW w:w="846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5,390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4,101</w:t>
            </w: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331,503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248,677</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25,579</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9,959</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(18,768)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(5,131)</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9,132</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4,745</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97"/>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10,992</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6,394</w:t>
            </w:r>
          </w:p>
        </w:tc>
      </w:tr>
      <w:tr>
        <w:trPr>
          <w:trHeight w:val="311"/>
        </w:trPr>
        <w:tc>
          <w:tcPr>
            <w:tcW w:w="8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0.08</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8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 (See Note 12):</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78,552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74,765</w:t>
            </w:r>
          </w:p>
        </w:tc>
      </w:tr>
      <w:tr>
        <w:trPr>
          <w:trHeight w:val="243"/>
        </w:trPr>
        <w:tc>
          <w:tcPr>
            <w:tcW w:w="8460" w:type="dxa"/>
            <w:vAlign w:val="bottom"/>
          </w:tcPr>
          <w:p>
            <w:pPr>
              <w:ind w:left="5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79,834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78,394</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(See Note 13)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32,604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12,095</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174,935</w:t>
            </w:r>
          </w:p>
        </w:tc>
        <w:tc>
          <w:tcPr>
            <w:tcW w:w="0" w:type="dxa"/>
            <w:vAlign w:val="bottom"/>
          </w:tcPr>
          <w:p>
            <w:pPr>
              <w:spacing w:after="0"/>
              <w:rPr>
                <w:sz w:val="1"/>
                <w:szCs w:val="1"/>
                <w:color w:val="auto"/>
              </w:rPr>
            </w:pPr>
          </w:p>
        </w:tc>
      </w:tr>
      <w:tr>
        <w:trPr>
          <w:trHeight w:val="237"/>
        </w:trPr>
        <w:tc>
          <w:tcPr>
            <w:tcW w:w="7860" w:type="dxa"/>
            <w:vAlign w:val="bottom"/>
          </w:tcPr>
          <w:p>
            <w:pPr>
              <w:ind w:left="200"/>
              <w:spacing w:after="0"/>
              <w:rPr>
                <w:sz w:val="20"/>
                <w:szCs w:val="20"/>
                <w:color w:val="auto"/>
              </w:rPr>
            </w:pPr>
            <w:r>
              <w:rPr>
                <w:rFonts w:ascii="Arial" w:cs="Arial" w:eastAsia="Arial" w:hAnsi="Arial"/>
                <w:sz w:val="16"/>
                <w:szCs w:val="16"/>
                <w:color w:val="auto"/>
              </w:rPr>
              <w:t>Trade accounts receivable, net of allowances of $4,596 and $8,882</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272,260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251,799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296,332</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96,520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99,080</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848,650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822,146</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274,029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269,251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1,147,954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1,159,627</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944,495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937,905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26,101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16,078</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3,247,693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3,211,257</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Short-term portion of borrowings under senior credit facility</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60,000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payable, trade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86,995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93,967</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56,991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73,392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Short-term portion of 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22,793</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107,819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98,759</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336,020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348,911</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1,772,027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1,781,142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65,130</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68,327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53,768</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2,249,253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2,248,951</w:t>
            </w:r>
          </w:p>
        </w:tc>
        <w:tc>
          <w:tcPr>
            <w:tcW w:w="0" w:type="dxa"/>
            <w:vAlign w:val="bottom"/>
          </w:tcPr>
          <w:p>
            <w:pPr>
              <w:spacing w:after="0"/>
              <w:rPr>
                <w:sz w:val="1"/>
                <w:szCs w:val="1"/>
                <w:color w:val="auto"/>
              </w:rPr>
            </w:pP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6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8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Common stock; $0.01 par value; 240,000 authorized shares; 81,711 and 81,306 issued at March 31, 2018 and</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December 31, 2017,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822,520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821,758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4"/>
              </w:rPr>
              <w:t>Treasury stock, at cost; 2,890 shares and 2,912 shares at March 31, 2018 and December 31, 2017,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(120,734)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(121,644)</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(23,807)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297,500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285,186</w:t>
            </w:r>
          </w:p>
        </w:tc>
        <w:tc>
          <w:tcPr>
            <w:tcW w:w="0" w:type="dxa"/>
            <w:vAlign w:val="bottom"/>
          </w:tcPr>
          <w:p>
            <w:pPr>
              <w:spacing w:after="0"/>
              <w:rPr>
                <w:sz w:val="1"/>
                <w:szCs w:val="1"/>
                <w:color w:val="auto"/>
              </w:rPr>
            </w:pPr>
          </w:p>
        </w:tc>
      </w:tr>
      <w:tr>
        <w:trPr>
          <w:trHeight w:val="217"/>
        </w:trPr>
        <w:tc>
          <w:tcPr>
            <w:tcW w:w="786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998,440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962,306</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3,247,693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3,211,257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3520" w:type="dxa"/>
            <w:vAlign w:val="bottom"/>
            <w:gridSpan w:val="5"/>
          </w:tcPr>
          <w:p>
            <w:pPr>
              <w:jc w:val="right"/>
              <w:ind w:right="55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8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2017</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10,992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6,394</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27,096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19,717</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Change in fair value of contingent consideration and other</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business acquisitions: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(18,400)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(5,207)</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accrued expenses and other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10,189</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(5,685)</w:t>
            </w:r>
          </w:p>
        </w:tc>
      </w:tr>
      <w:tr>
        <w:trPr>
          <w:trHeight w:val="27"/>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28,882</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(15,387)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sale of short-term investments</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9,976</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note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in) business acquisition</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(193,928)</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(193,143)</w:t>
            </w:r>
          </w:p>
        </w:tc>
      </w:tr>
      <w:tr>
        <w:trPr>
          <w:trHeight w:val="27"/>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Borrowings under senior credit facility</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210,000</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under senior credit facility</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Net cash paid for financing liability from business acquisition</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exercised stock options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Cash taxes paid in net equity settlement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(6,128)</w:t>
            </w:r>
          </w:p>
        </w:tc>
      </w:tr>
      <w:tr>
        <w:trPr>
          <w:trHeight w:val="27"/>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(20,886)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185,039</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1,280</w:t>
            </w:r>
          </w:p>
        </w:tc>
      </w:tr>
      <w:tr>
        <w:trPr>
          <w:trHeight w:val="27"/>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22,058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174,935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102,055</w:t>
            </w:r>
          </w:p>
        </w:tc>
      </w:tr>
      <w:tr>
        <w:trPr>
          <w:trHeight w:val="27"/>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189,396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124,113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opinion of management, the March 31, 2018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2017 included in the Company’s Annual Report on Form 10-K. The December 31, 2017 consolidated balance sheet was derived from audited financial statements, but does not include all disclosures required by accounting principles generally accepted in the United States. Operating results for the three-month period ended March 31, 2018 are not necessarily indicative of the results to be expected for the entire year.</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pension assets and liabilities,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FASB issued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became effective for all annual periods and interim reporting periods beginning after December 15, 2017. The Company adopted Topic 606 as of January 1, 2018 using the modified retrospective method. See Note 3, </w:t>
      </w:r>
      <w:r>
        <w:rPr>
          <w:rFonts w:ascii="Arial" w:cs="Arial" w:eastAsia="Arial" w:hAnsi="Arial"/>
          <w:sz w:val="18"/>
          <w:szCs w:val="18"/>
          <w:i w:val="1"/>
          <w:iCs w:val="1"/>
          <w:color w:val="auto"/>
        </w:rPr>
        <w:t>Revenues</w:t>
      </w:r>
      <w:r>
        <w:rPr>
          <w:rFonts w:ascii="Arial" w:cs="Arial" w:eastAsia="Arial" w:hAnsi="Arial"/>
          <w:sz w:val="18"/>
          <w:szCs w:val="18"/>
          <w:color w:val="auto"/>
        </w:rPr>
        <w:t>, for further details.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current accounting guidance, an entity is not required to report operating leases on the balance sheet. The amendment requires that lessees recognize virtually all of their leases on the balance sheet by recording a right-of-use asset and lease liability (other than leases that meet the definition of a "short-term lease"). This update will become effective for all annual periods and interim reporting periods beginning after December 15, 2018. The new standard must be adopted using a modified retrospective transition. Early adoption is permitted. The Company is in the process of evaluating the impact of this standard on its consolidated financial statements.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2016, the FASB issued Update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The guidance addresses the classification of cash flows related to debt repayment or extinguishment costs, settlement of zero-coupon debt instruments or debt instruments with coupon rates that are insignificant in relation to the effective interest rate of the borrowing, contingent consideration payments made after business combinations, proceeds from the settlement of insurance claims and corporate-owned life insurance, distribution received from equity method investees and beneficial interest in securitization transaction. This update became effective for all annual periods and interim reporting periods beginning after December 15, 2017. The Company adopted </w:t>
      </w:r>
      <w:r>
        <w:rPr>
          <w:rFonts w:ascii="Arial" w:cs="Arial" w:eastAsia="Arial" w:hAnsi="Arial"/>
          <w:sz w:val="18"/>
          <w:szCs w:val="18"/>
          <w:i w:val="1"/>
          <w:iCs w:val="1"/>
          <w:color w:val="auto"/>
        </w:rPr>
        <w:t>ASU 2016-15</w:t>
      </w:r>
      <w:r>
        <w:rPr>
          <w:rFonts w:ascii="Arial" w:cs="Arial" w:eastAsia="Arial" w:hAnsi="Arial"/>
          <w:sz w:val="18"/>
          <w:szCs w:val="18"/>
          <w:color w:val="auto"/>
        </w:rPr>
        <w:t xml:space="preserve"> effective January 1, 2018 on a retrospective basis. The adoption of this guidance had no significant impact on its consolidated financial statements.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October 2016, the FASB issued Update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The guidance requires the income tax consequences of intra-entity transfers of assets other than inventory to be recognized as current-period income tax expense or benefit and removes the requirement to defer and amortize the consolidated tax consequences of intra-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entity transfers. The new standard became effective for all annual periods beginning after December 15, 2017. The Company adopted </w:t>
      </w:r>
      <w:r>
        <w:rPr>
          <w:rFonts w:ascii="Arial" w:cs="Arial" w:eastAsia="Arial" w:hAnsi="Arial"/>
          <w:sz w:val="18"/>
          <w:szCs w:val="18"/>
          <w:i w:val="1"/>
          <w:iCs w:val="1"/>
          <w:color w:val="auto"/>
        </w:rPr>
        <w:t>ASU 2016-16</w:t>
      </w:r>
      <w:r>
        <w:rPr>
          <w:rFonts w:ascii="Arial" w:cs="Arial" w:eastAsia="Arial" w:hAnsi="Arial"/>
          <w:sz w:val="18"/>
          <w:szCs w:val="18"/>
          <w:color w:val="auto"/>
        </w:rPr>
        <w:t xml:space="preserve"> effective January 1, 2018, and this guidance had no significant impact on its consolidated financial statements.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March 2017, the FASB issued Update No. 2017-07, </w:t>
      </w:r>
      <w:r>
        <w:rPr>
          <w:rFonts w:ascii="Arial" w:cs="Arial" w:eastAsia="Arial" w:hAnsi="Arial"/>
          <w:sz w:val="16"/>
          <w:szCs w:val="16"/>
          <w:i w:val="1"/>
          <w:iCs w:val="1"/>
          <w:color w:val="auto"/>
        </w:rPr>
        <w:t>Compensation - 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The guidance requires that an employer report the service cost component in the same line item or items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 In addition, the amendments also allow only the service cost component to be eligible for capitalization when applicable. The new standard became effective for annual periods beginning after December 15, 2017. The Company adopted </w:t>
      </w:r>
      <w:r>
        <w:rPr>
          <w:rFonts w:ascii="Arial" w:cs="Arial" w:eastAsia="Arial" w:hAnsi="Arial"/>
          <w:sz w:val="16"/>
          <w:szCs w:val="16"/>
          <w:i w:val="1"/>
          <w:iCs w:val="1"/>
          <w:color w:val="auto"/>
        </w:rPr>
        <w:t>ASU 2017-07</w:t>
      </w:r>
      <w:r>
        <w:rPr>
          <w:rFonts w:ascii="Arial" w:cs="Arial" w:eastAsia="Arial" w:hAnsi="Arial"/>
          <w:sz w:val="16"/>
          <w:szCs w:val="16"/>
          <w:color w:val="auto"/>
        </w:rPr>
        <w:t xml:space="preserve"> effective January 1, 2018. The Company recognized the components of net periodic benefit cost other than the service cost component in other (expense) income, net in the consolidated statements of operations. The adoption of this guidance had no significant impact on its prior-year consolidated financial statements.</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Stock Compensation (Topic 718): Scope of Modification Accounting</w:t>
      </w:r>
      <w:r>
        <w:rPr>
          <w:rFonts w:ascii="Arial" w:cs="Arial" w:eastAsia="Arial" w:hAnsi="Arial"/>
          <w:sz w:val="16"/>
          <w:szCs w:val="16"/>
          <w:color w:val="auto"/>
        </w:rPr>
        <w:t xml:space="preserve">. The update provide clarity and reduce both (1) diversity in practice and (2) cost and complexity when applying the guidance in Topic 718, Compensation-Stock Compensation, to a change to the terms or conditions of a share-based payment award. The new standard became effective for all annual periods beginning after December 15, 2017. The Company adopted </w:t>
      </w:r>
      <w:r>
        <w:rPr>
          <w:rFonts w:ascii="Arial" w:cs="Arial" w:eastAsia="Arial" w:hAnsi="Arial"/>
          <w:sz w:val="16"/>
          <w:szCs w:val="16"/>
          <w:i w:val="1"/>
          <w:iCs w:val="1"/>
          <w:color w:val="auto"/>
        </w:rPr>
        <w:t>ASU 2017-09</w:t>
      </w:r>
      <w:r>
        <w:rPr>
          <w:rFonts w:ascii="Arial" w:cs="Arial" w:eastAsia="Arial" w:hAnsi="Arial"/>
          <w:sz w:val="16"/>
          <w:szCs w:val="16"/>
          <w:color w:val="auto"/>
        </w:rPr>
        <w:t xml:space="preserve"> effective January 1, 2018, and there was no significant impact of this guidance on its consolidated financial statements.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xml:space="preserve">. This update amends the hedge accounting rules to simplify the application of hedge accounting guidance and better portray the economic results of risk management activities in the financial statements. The guidance expands the ability to hedge nonfinancial and financial risk components, reduces complexity in fair value hedges of interest rate risk, eliminates the requirement to separately measure and report hedge ineffectiveness, as well as eases certain hedge effectiveness assessment requirements. This update will become effective for all annual periods and interim reporting periods beginning after December 15, 2018. Early adoption is permitted. The Company elected to early adopt </w:t>
      </w:r>
      <w:r>
        <w:rPr>
          <w:rFonts w:ascii="Arial" w:cs="Arial" w:eastAsia="Arial" w:hAnsi="Arial"/>
          <w:sz w:val="16"/>
          <w:szCs w:val="16"/>
          <w:i w:val="1"/>
          <w:iCs w:val="1"/>
          <w:color w:val="auto"/>
        </w:rPr>
        <w:t>ASU 2017-12</w:t>
      </w:r>
      <w:r>
        <w:rPr>
          <w:rFonts w:ascii="Arial" w:cs="Arial" w:eastAsia="Arial" w:hAnsi="Arial"/>
          <w:sz w:val="16"/>
          <w:szCs w:val="16"/>
          <w:color w:val="auto"/>
        </w:rPr>
        <w:t xml:space="preserve"> effective January 1, 2017 using modified retrospective method. The implementation of the amended guidance did not have any significant impact on the Company's consolidated financial statements.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xml:space="preserve"> This amendment allows a reclassification from accumulated other comprehensive income to retained earnings for stranded tax effects resulting from the 2017 Tax Act (as defined in Note 11,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This guidance is effective for annual and interim periods beginning after December 15, 2018. Early adoption is permitted. The Company elected to early adopt the </w:t>
      </w:r>
      <w:r>
        <w:rPr>
          <w:rFonts w:ascii="Arial" w:cs="Arial" w:eastAsia="Arial" w:hAnsi="Arial"/>
          <w:sz w:val="17"/>
          <w:szCs w:val="17"/>
          <w:i w:val="1"/>
          <w:iCs w:val="1"/>
          <w:color w:val="auto"/>
        </w:rPr>
        <w:t>ASU 2018-02</w:t>
      </w:r>
      <w:r>
        <w:rPr>
          <w:rFonts w:ascii="Arial" w:cs="Arial" w:eastAsia="Arial" w:hAnsi="Arial"/>
          <w:sz w:val="17"/>
          <w:szCs w:val="17"/>
          <w:color w:val="auto"/>
        </w:rPr>
        <w:t xml:space="preserve"> effective January 1, 2018, which resulted in the reclassification of $0.5 million from accumulated other comprehensive loss to retained earnings related to net unrealized loss on cash flow hedges.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0" w:lineRule="exact"/>
        <w:rPr>
          <w:sz w:val="20"/>
          <w:szCs w:val="20"/>
          <w:color w:val="auto"/>
        </w:rPr>
      </w:pPr>
    </w:p>
    <w:p>
      <w:pPr>
        <w:ind w:right="7260" w:firstLine="8"/>
        <w:spacing w:after="0" w:line="367"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ACQUISITIONS AND DIVESTITURE </w:t>
      </w:r>
      <w:r>
        <w:rPr>
          <w:rFonts w:ascii="Arial" w:cs="Arial" w:eastAsia="Arial" w:hAnsi="Arial"/>
          <w:sz w:val="17"/>
          <w:szCs w:val="17"/>
          <w:i w:val="1"/>
          <w:iCs w:val="1"/>
          <w:u w:val="single" w:color="auto"/>
          <w:color w:val="auto"/>
        </w:rPr>
        <w:t>Johnson &amp; Johnson's Codman Neurosurgery Business</w:t>
      </w:r>
    </w:p>
    <w:p>
      <w:pPr>
        <w:jc w:val="both"/>
        <w:spacing w:after="0" w:line="273" w:lineRule="auto"/>
        <w:rPr>
          <w:sz w:val="20"/>
          <w:szCs w:val="20"/>
          <w:color w:val="auto"/>
        </w:rPr>
      </w:pPr>
      <w:r>
        <w:rPr>
          <w:rFonts w:ascii="Arial" w:cs="Arial" w:eastAsia="Arial" w:hAnsi="Arial"/>
          <w:sz w:val="17"/>
          <w:szCs w:val="17"/>
          <w:color w:val="auto"/>
        </w:rPr>
        <w:t>On October 2, 2017, upon the terms and subject to the conditions set forth in the asset purchase agreement entered into by the Company with DePuy Synthes, Inc., a Delaware corporation (“DePuy Synthes”), a wholly-owned subsidiary of Johnson &amp; Johnson (the "Purchase Agreement"), the Company completed the acquisition of certain assets, and assumed certain liabilities of Johnson &amp; Johnson’s Codman neurosurgery business (the "Codman Acquisition"). Under the terms of the Purchase Agreement, the Company paid an aggregate purchase price of $1.014 billion, subject to adjustments set forth in the Purchase Agreement relating to the book value of inventory transferred to the Company at the closing of the Codman Acquisition, the book value of certain inventory retained by DePuy Synthes will be transferred to the Company in the future along with certain prepaid taxes.</w:t>
      </w:r>
    </w:p>
    <w:p>
      <w:pPr>
        <w:spacing w:after="0" w:line="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To facilitate the completion of the Codman Acquisition, the Company drew $700.0 million from the Term Loan A-1 component of the Senior Credit Facility (as defined in Note 6, </w:t>
      </w:r>
      <w:r>
        <w:rPr>
          <w:rFonts w:ascii="Arial" w:cs="Arial" w:eastAsia="Arial" w:hAnsi="Arial"/>
          <w:sz w:val="18"/>
          <w:szCs w:val="18"/>
          <w:i w:val="1"/>
          <w:iCs w:val="1"/>
          <w:color w:val="auto"/>
        </w:rPr>
        <w:t>Debt</w:t>
      </w:r>
      <w:r>
        <w:rPr>
          <w:rFonts w:ascii="Arial" w:cs="Arial" w:eastAsia="Arial" w:hAnsi="Arial"/>
          <w:sz w:val="18"/>
          <w:szCs w:val="18"/>
          <w:color w:val="auto"/>
        </w:rPr>
        <w:t>) and used cash available as of October 2,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Codman Acquisition was accounted for using the acquisition method of business combination under ASC 805, </w:t>
      </w: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Codman Neurosurgery of approximately $77.9 million, in the condensed consolidated statements of operations and comprehensive income for the three months ended March 31, 2018. The net income or loss attributable to this acquisition cannot be identified on a stand-alone basis because it is in the process of being integrated into the Company's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preliminary allocation of the purchase price based on the fair value of the assets acquired and liabilities assumed: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Preliminary Purchase Price</w:t>
            </w:r>
          </w:p>
        </w:tc>
        <w:tc>
          <w:tcPr>
            <w:tcW w:w="120" w:type="dxa"/>
            <w:vAlign w:val="bottom"/>
          </w:tcPr>
          <w:p>
            <w:pPr>
              <w:spacing w:after="0"/>
              <w:rPr>
                <w:sz w:val="14"/>
                <w:szCs w:val="14"/>
                <w:color w:val="auto"/>
              </w:rPr>
            </w:pPr>
          </w:p>
        </w:tc>
        <w:tc>
          <w:tcPr>
            <w:tcW w:w="1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Weighted Average Life</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Allocation</w:t>
            </w:r>
          </w:p>
        </w:tc>
        <w:tc>
          <w:tcPr>
            <w:tcW w:w="12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74,962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30,813</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35,949</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Codman corporate trade name</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162,900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Completed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379,900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22 years</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343,437</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1,035,738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19,917</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20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1,014,091</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first quarter of 2018, the Company adjusted its preliminary purchase price allocation of goodwill by $2.8 million due to working capital adjustments of $5.7 million that were offset by inventory adjustments of $2.9 million because of additional information obtained about the acquired assets.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2018, the Company received cash of $5.7 million from Depuy Synthes related to working capital adjustments, which was recorded within investing activities on the consolidated statements of cash flows. On April 4, 2018, the Company received an additional $21.0 million related to working capital adjustments.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2018, the Company paid $7.8 million for inventory that was included in the initial purchase price allocation. The payment was included within financing activities on the consolidated statements of cash flows.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certain amounts relating to the valuation of property, plant and equipment have not been finalized. The finalization of these matters may result in changes to goodwill.</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related to Codman Acquisition was allocated to the Codman Special Surgical segment. Goodwill is the excess of the consideration transferred over the net assets recognized and represents the expected revenue and cost synergies of the combined company and assembled workforce. Goodwill recognized as a result of the acquisition is generally deductible for income tax purposes.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fourth quarter of 2017, the Company wrote-off construction in progress of $6.3 million related to a project acquired from Codman Neurosurgery that the Company decided to discontinue after the Codman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Divestiture to Natus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8, 2017, to facilitate the acquisition of the Codman Neurosurgery Business and to comply with legal requirements, the Company and certain of its subsidiaries entered into an asset purchase agreement (the “Divestiture Agreement”) with Natus Medical Incorporated (“Natus”), pursuant to which the Company agreed to divest its global Camino® Intracranial Pressure monitoring product lines and the U.S. rights to its fixed pressure shunts business within its Codman Specialty Surgical segment together with certain neurosurgery assets acquired as part of the Codman Acquisition, which includes Codman U.S. dural graft implant, external ventricular drainage catheter and cerebrospinal fluid collection systems businesses (the “Divestiture”). The Divestiture Agreement was entered into in connection with the review of the Codman Acquisition by the Federal Trade Commission and the antitrust authority of Spain.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6, 2017, upon the terms and subject to the conditions of the Divestiture Agreement, the Divestiture was completed and Natus paid an aggregate purchase price of $46.4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divested consisted of the following as of October 6, 2017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8,348</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30,813</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2,861</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divested</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43,180</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9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divested</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held for sale includes assets and liabilities related to U.S. dural graft implant, external ventricular drainage catheters and cerebrospinal fluid collection systems businesses acquired as part of the Codman Acquisition.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transitional supply agreement with Natus requires the Company to provide to Natus certain assets defined in the transitional supply agreement upon termination. The Company recognized a liability of $1.3 million, included in other liabilities in consolidated balance sheet, related to estimated cost of assets to be provided to Natus upon termination of the transitional supply agreement.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Divestiture does not represent a strategic shift that will have a major effect on the Company's operations and financial statements. Goodwill was allocated to the assets and liabilities divested using the relative fair value method. The Company recognized a pretax gain on sale of business of $2.6 million included in other income, net in its consolidated statement of operations for the year ended December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Derma Sciences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of the outstanding shares of Derma Sciences, Inc., a Delaware corporation ("Derma Sciences") for an aggregate purchase price of approximately $210.8 million, including payment of certain of Derma Sciences' closing expenses and settlement of stock-based compensation plans of $4.8 million and $4.3 million, respectively. The purchase price consisted of a cash payment to the former shareholders of Derma Sciences of approximately $201.7 million upon the closing of the transaction.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Derma Sciences of approximately $24.7 million and $10.4 million in the condensed consolidated statements of operations and comprehensive income for three months ended March 31, 2018 and 2017, respectively. The net income or loss attributable to this acquisition cannot be identified on a stand-alone basis because it has been integrated into the Company's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allocation of the purchase price based on the fair value of the assets acquired and liabilities assumed: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172"/>
              <w:spacing w:after="0"/>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2"/>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16,512</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19,238</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17,977</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4,311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243"/>
        </w:trPr>
        <w:tc>
          <w:tcPr>
            <w:tcW w:w="75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Customer relationship</w:t>
            </w:r>
          </w:p>
        </w:tc>
        <w:tc>
          <w:tcPr>
            <w:tcW w:w="300" w:type="dxa"/>
            <w:vAlign w:val="bottom"/>
            <w:tcBorders>
              <w:top w:val="single" w:sz="8" w:color="CCEEFF"/>
            </w:tcBorders>
          </w:tcPr>
          <w:p>
            <w:pPr>
              <w:spacing w:after="0"/>
              <w:rPr>
                <w:sz w:val="21"/>
                <w:szCs w:val="21"/>
                <w:color w:val="auto"/>
              </w:rPr>
            </w:pPr>
          </w:p>
        </w:tc>
        <w:tc>
          <w:tcPr>
            <w:tcW w:w="19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78,300</w:t>
            </w: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14 years</w:t>
            </w:r>
          </w:p>
        </w:tc>
        <w:tc>
          <w:tcPr>
            <w:tcW w:w="440" w:type="dxa"/>
            <w:vAlign w:val="bottom"/>
            <w:tcBorders>
              <w:top w:val="single" w:sz="8" w:color="CCEEFF"/>
            </w:tcBorders>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Trademarks/brand names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15 years</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Completed technology</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11,600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14 years</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 year</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73,765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14,524</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263,426</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4,560</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Contingent liability</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37,174</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3,805</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57"/>
        </w:trPr>
        <w:tc>
          <w:tcPr>
            <w:tcW w:w="754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210,478</w:t>
            </w: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related to Derma Sciences acquisition was allocated to the Orthopedics and Tissue Technologies segment. Goodwill is the excess of the consideration transferred over the net assets recognized and represents the expected revenue and cost synergies of the combined company and assembled workforce. Goodwill recognized as a result of the acquisition is not deductible for income tax purposes.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Investments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Short-term investments recognized at the acquisition date of Derma Sciences are investments in equity and debt securities including certificates of deposit purchased with an original maturity greater than three months which are deposited in various U.S. financial institutions and are fully insured by the Federal Deposit Insurance Corporation. The Company considers securities with original maturities of greater than 90 days to be available for sale securities. Securities under this classification are recorded at fair value and unrealized gains and losses are recorded within accumulated other comprehensive income. The estimated fair value of the available for sale securities is determined based on quoted market prices. The Company evaluates securities with unrealized losses to determine whether such losses, if any, are other than temporary. Short-term investments are classified as Level 1 in fair value hierarchy. Fair values of short-term investments are determined using the unadjusted quoted prices in active markets for identical assets or liabilities that the Company has the ability to access at the balance sheet date.</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second quarter of 2017, the Company sold the acquired short-term investments and recognized a realized loss of $2.3 million included in other expense, net in the consolidated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acquired deferred taxes of $14.5 million include a deferred tax asset of $39.7 million related to a federal net operating loss which the Company expects to utilize against income in future periods and a deferred tax asset of $16.4 million related to intangibles acquired by Derma Sciences in previous periods, offset by a deferred tax liability of $41.1 million for new intangibles for which the Company will not receive a tax benefit and a deferred tax liability of $0.5 million related to various deferred items. In the second quarter of 2017, the Company decreased the preliminary estimated value of this deferred tax liability by $1.5 million to reflect the adjustments to preliminary estimated fair values of assets and liabilities acquired. In the fourth quarter of 2017, the Company decreased the preliminary value of the deferred tax asset by $3.3 million to reflect returns filed for periods prior to the acquisition date and adjustments for expected effective state tax rates.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United States Food and Drug Administration ("FDA") Untitled Letter</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22, 2015, the FDA issued an Untitled Letter (the "Untitled Letter") alleging that BioD morselized amniotic membrane based products do not meet the criteria for regulation as human cellular tissue-based products (“HCT/Ps”) solely under Section 361 of the Public Health Service Act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do not fall within the HCT/Ps. The FDA has not changed its position that certain of the BioD acquired products are not eligible for marketing solely under Section 361.</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2017, the FDA issued its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 based products do not meet the criteria for regulation solely as HCT/Ps. In addition, the FDA articulated a risk-based approach to enforcement and, while some uses for amniotic membrane tissue-based products would enjoy as much as thirty-six months of enforcement discretion, other high risk uses could be subject to immediate enforcement action. The Company does not believe the uses for its amniotic membrane tissue based products fall into the high risk category. Nonetheless, the Company can make no assurances that the FDA will continue to exercise its enforcement discretion with respect to the Company’s amniotic membrane tissue based products, and any potential action of the FDA could have a financial impact regarding the sales of such products. Although the Company continues to disagree with the FDA's position, the Company has been considering and continues to consider regulatory approval pathways for its amniotic membrane tissue based products. Revenues from BioD morselized amniotic material based products for the three months ended March 31, 2018 and 2017 were less than 1.0% of consolidated revenues.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assumed contingent consideration incurred by Derma Sciences related to its acquisitions of BioD and the intellectual property related to the Medihoney product. The Company accounted for the contingent liabilities by recording their fair value on the date of the acquisition based on a discounted cash-flow model. The contingent liabilities recognized as part of the Derma Sciences acquisition relate to the following:</w:t>
      </w:r>
    </w:p>
    <w:p>
      <w:pPr>
        <w:spacing w:after="0" w:line="166"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former equity owners of BioD if net sales of BioD products exceed a certain amount for the twelve-month periods ending June 30, 2017 and 2018 ("BioD Earnout Payments");</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contractual incentive payment that could be made to the former equity owners if there has been no specific enforcement action or notice by the FDA against the specific BioD products as a result of the Untitled Letter for a certain period after closing as defined by the agreement ("Product Payment"); and</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the former owner of the intellectual property relating to the Medihoney product line, if net sales of Medihoney products exceed certain amounts defined in the agreement between Derma Sciences and the former owner of the intellectual property of Medihoney for any twelve-month period ("Medihoney Earnout Payments").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date of the acquisition, net sales used in estimating the BioD Earnout Payments is based on the weighted average of different possible scenarios using a revenue volatility of 13.5%. The BioD Earnout Payments were valued using a discount rate of 3.0%. The maximum payout related to the BioD Earnout Payments is $26.5 million. The estimated fair value as of February 24, 2017 was $9.1 million. In August 2017, the Company paid $4.8 million for the twelve-month period ending June 30, 2017 component of the BioD Earnout Payments. As of March 31, 2018 and December 31, 2017, the estimated fair value of the remaining portion of the BioD Earnout Payments was $0.3 million.</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date of acquisition, the Company estimated that the probability of the Product Payment was 98.0% and valued it at a discount rate of 2.5%. The maximum payout related to the Product Payment is $29.7 million. The estimated fair value as of February 24, 2017 was $26.8 million. In the second quarter of 2017, the Company adjusted the preliminary estimated fair value to increase the Product Payment by $0.9 million related to additional products that should have been included in the preliminary estimate based on the Merger Agreement. On May 25, 2017, the Company made full payment for the Product Payment of $26.6 million. The payment was included in cash used in business acquisition, net of cash acquired within investing activities in the condensed consolidated statements of cash flows since the payment was made shortly after the acquisition.</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date of the acquisition, the net sales used in estimating the Medihoney Earnout Payments were based on the weighted average of different possible scenarios using revenue volatility of 27.5%. The Medihoney Earnout Payments were valued using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discount rate of 4.5%. The maximum payout related to the Medihoney Earnout Payments is $5.0 million. The estimated fair value as of February 24, 2017, December 31, 2017 and March 31, 2018 was $1.4 million.</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fair value measurements were based on significant inputs not observed in the market and thus represented a Level 3 measurement. The contingent considerations are re-measured to fair value at each reporting date until the contingency is resolved, and those changes in fair value are recognized in earnings. Depending on the expected timing of the estimated payments, the acquisition date fair values and subsequent remeasurement could be different.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three months ended March 31, 2017 as if the acquisitions of Codman Neurosurgery, Derma Sciences and TGX Medical Systems LLC and Divestiture to Natus, which were completed by the Company during 2017 had been completed as of the beginning of 2016. The pro forma results are based upon certain assumptions and estimates, and they give effect to actual operating results prior to the acquisitions and adjustments to reflect (i) the change in interest expense, depreciation expenses, intangible asset amortization and inventory step-up, (ii) timing of recognition for certain expenses that will not be recurring in a post-acquisition period, which includes $2.9 million incurred by Derma Sciences prior to the acquisition and $9.0 million incurred by Integra, and (iii) income taxes at a rate consistent with the Company’s statutory rate at the date of the acquisitions. No effect has been given to other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92"/>
        </w:trPr>
        <w:tc>
          <w:tcPr>
            <w:tcW w:w="9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9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(pro forma)</w:t>
            </w:r>
          </w:p>
        </w:tc>
      </w:tr>
      <w:tr>
        <w:trPr>
          <w:trHeight w:val="152"/>
        </w:trPr>
        <w:tc>
          <w:tcPr>
            <w:tcW w:w="9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tcPr>
          <w:p>
            <w:pPr>
              <w:jc w:val="center"/>
              <w:ind w:right="61"/>
              <w:spacing w:after="0" w:line="153" w:lineRule="exact"/>
              <w:rPr>
                <w:sz w:val="20"/>
                <w:szCs w:val="20"/>
                <w:color w:val="auto"/>
              </w:rPr>
            </w:pPr>
            <w:r>
              <w:rPr>
                <w:rFonts w:ascii="Arial" w:cs="Arial" w:eastAsia="Arial" w:hAnsi="Arial"/>
                <w:sz w:val="14"/>
                <w:szCs w:val="14"/>
                <w:b w:val="1"/>
                <w:bCs w:val="1"/>
                <w:color w:val="auto"/>
                <w:w w:val="91"/>
              </w:rPr>
              <w:t>(In thousands, except per share</w:t>
            </w:r>
          </w:p>
        </w:tc>
      </w:tr>
      <w:tr>
        <w:trPr>
          <w:trHeight w:val="192"/>
        </w:trPr>
        <w:tc>
          <w:tcPr>
            <w:tcW w:w="9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Pr>
          <w:p>
            <w:pPr>
              <w:jc w:val="center"/>
              <w:ind w:right="61"/>
              <w:spacing w:after="0"/>
              <w:rPr>
                <w:sz w:val="20"/>
                <w:szCs w:val="20"/>
                <w:color w:val="auto"/>
              </w:rPr>
            </w:pPr>
            <w:r>
              <w:rPr>
                <w:rFonts w:ascii="Arial" w:cs="Arial" w:eastAsia="Arial" w:hAnsi="Arial"/>
                <w:sz w:val="14"/>
                <w:szCs w:val="14"/>
                <w:b w:val="1"/>
                <w:bCs w:val="1"/>
                <w:color w:val="auto"/>
                <w:w w:val="88"/>
              </w:rPr>
              <w:t>amounts)</w:t>
            </w:r>
          </w:p>
        </w:tc>
      </w:tr>
      <w:tr>
        <w:trPr>
          <w:trHeight w:val="256"/>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346,655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21"/>
              <w:spacing w:after="0"/>
              <w:rPr>
                <w:sz w:val="20"/>
                <w:szCs w:val="20"/>
                <w:color w:val="auto"/>
              </w:rPr>
            </w:pPr>
            <w:r>
              <w:rPr>
                <w:rFonts w:ascii="Arial" w:cs="Arial" w:eastAsia="Arial" w:hAnsi="Arial"/>
                <w:sz w:val="18"/>
                <w:szCs w:val="18"/>
                <w:color w:val="auto"/>
              </w:rPr>
              <w:t>8,619</w:t>
            </w:r>
          </w:p>
        </w:tc>
      </w:tr>
      <w:tr>
        <w:trPr>
          <w:trHeight w:val="27"/>
        </w:trPr>
        <w:tc>
          <w:tcPr>
            <w:tcW w:w="9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0.12</w:t>
            </w:r>
          </w:p>
        </w:tc>
      </w:tr>
      <w:tr>
        <w:trPr>
          <w:trHeight w:val="27"/>
        </w:trPr>
        <w:tc>
          <w:tcPr>
            <w:tcW w:w="9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ind w:right="6840" w:firstLine="8"/>
        <w:spacing w:after="0" w:line="443" w:lineRule="auto"/>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REVENUES FROM CONTRACT WITH CUSTOMERS </w:t>
      </w:r>
      <w:r>
        <w:rPr>
          <w:rFonts w:ascii="Arial" w:cs="Arial" w:eastAsia="Arial" w:hAnsi="Arial"/>
          <w:sz w:val="16"/>
          <w:szCs w:val="16"/>
          <w:b w:val="1"/>
          <w:bCs w:val="1"/>
          <w:i w:val="1"/>
          <w:iCs w:val="1"/>
          <w:u w:val="single" w:color="auto"/>
          <w:color w:val="auto"/>
        </w:rPr>
        <w:t>Summary of Accounting Policies on Revenue Recognition</w:t>
      </w: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from services.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products sales, the Company retains control until the product has been used or implanted, at which time revenue is recognized.</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30 days after the invoice date. The Company performs a review of each specific customer's credit worthiness and ability to pay prior to acceptance as a customer. Further, the Company performs periodic reviews of its customers' creditworthiness prospectively.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performance obligations consist mainly of transferring control of goods and services identified in the contracts, purchase orders or invoices.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significant multi-element contracts with customers.</w:t>
      </w:r>
    </w:p>
    <w:p>
      <w:pPr>
        <w:sectPr>
          <w:pgSz w:w="11900" w:h="16838" w:orient="portrait"/>
          <w:cols w:equalWidth="0" w:num="1">
            <w:col w:w="11420"/>
          </w:cols>
          <w:pgMar w:left="240" w:top="121"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discounts allowances using the expected value method based on historical trends and other known factors. Rebate allowances are estimated using the most likely method based on each customer contract.</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return policy, as set forth in its product catalogs and sales invoices, requires the Company to review and authorize the return of product in advance. Upon the authorization, a credit will be issued for the goods returned within a set amount of days from the shipment, which is generally ninety days.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 or services will be one year or less. The Company has no significant revenues recognized on payments expected to be received more than one year after the transfer of control of products or services to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 and Liability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summarized the changes in the contract asset and liability balances for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Contract Asset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asset, January 1, 2018</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3,552</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Transferred to trade receivable of contract asset included</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in beginning of the year contract asset</w:t>
            </w:r>
          </w:p>
        </w:tc>
        <w:tc>
          <w:tcPr>
            <w:tcW w:w="8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46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4,856</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Contract asset, March 31, 2018</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4,856</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92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Contract Liability</w:t>
            </w:r>
          </w:p>
        </w:tc>
        <w:tc>
          <w:tcPr>
            <w:tcW w:w="8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79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liability, January 1, 2018</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11,059</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460"/>
              <w:spacing w:after="0"/>
              <w:rPr>
                <w:sz w:val="20"/>
                <w:szCs w:val="20"/>
                <w:color w:val="auto"/>
              </w:rPr>
            </w:pPr>
            <w:r>
              <w:rPr>
                <w:rFonts w:ascii="Arial" w:cs="Arial" w:eastAsia="Arial" w:hAnsi="Arial"/>
                <w:sz w:val="18"/>
                <w:szCs w:val="18"/>
                <w:color w:val="auto"/>
              </w:rPr>
              <w:t>Contract liability, net of revenue recognized on contracts during the period</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2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40" w:type="dxa"/>
            <w:vAlign w:val="bottom"/>
          </w:tcPr>
          <w:p>
            <w:pPr>
              <w:spacing w:after="0"/>
              <w:rPr>
                <w:sz w:val="22"/>
                <w:szCs w:val="22"/>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liability, March 31, 2018</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10,268</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2018, the short-term portion of the contract liability of $3.6 million and the long-term portion of $6.7 million were included in accrued expenses and other current liabilities and other liabilities in the consolidated balance sheet.</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the Company is expected to recognize revenue of approximately $2.7 million for the remainder of 2018, $3.4 million in 2019, $0.6 million in 2020, $0.6 million in 2021, $0.6 million in 2022 and $2.4 million thereafter.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Fees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reusable and are designed to operate over long periods of time. These products are sold with warranties which may extend for up to two years from the date of the purchase. Warranties are not considered as a separate performance obligation. The Company estimates the product warranties using the expected value method based on historical trends and other known factors, and includes them in accrued expenses and other current liabilities in the consolidated balance sheet.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Collected from Customers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Disaggregated Revenue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revenues disaggregated by the major sources of revenues for the three months ended March 31, 2018 (amounts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080" w:type="dxa"/>
            <w:vAlign w:val="bottom"/>
            <w:gridSpan w:val="2"/>
          </w:tcPr>
          <w:p>
            <w:pPr>
              <w:ind w:left="20"/>
              <w:spacing w:after="0"/>
              <w:rPr>
                <w:sz w:val="20"/>
                <w:szCs w:val="20"/>
                <w:color w:val="auto"/>
              </w:rPr>
            </w:pPr>
            <w:r>
              <w:rPr>
                <w:rFonts w:ascii="Arial" w:cs="Arial" w:eastAsia="Arial" w:hAnsi="Arial"/>
                <w:sz w:val="18"/>
                <w:szCs w:val="18"/>
                <w:color w:val="auto"/>
              </w:rPr>
              <w:t>Neurosurgery</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166,898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Precision Tools and Instruments</w:t>
            </w:r>
          </w:p>
        </w:tc>
        <w:tc>
          <w:tcPr>
            <w:tcW w:w="8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69,217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080" w:type="dxa"/>
            <w:vAlign w:val="bottom"/>
            <w:gridSpan w:val="2"/>
          </w:tcPr>
          <w:p>
            <w:pPr>
              <w:ind w:left="280"/>
              <w:spacing w:after="0"/>
              <w:rPr>
                <w:sz w:val="20"/>
                <w:szCs w:val="20"/>
                <w:color w:val="auto"/>
              </w:rPr>
            </w:pPr>
            <w:r>
              <w:rPr>
                <w:rFonts w:ascii="Arial" w:cs="Arial" w:eastAsia="Arial" w:hAnsi="Arial"/>
                <w:sz w:val="18"/>
                <w:szCs w:val="18"/>
                <w:color w:val="auto"/>
              </w:rPr>
              <w:t>Total Codman Specialty Surgical</w:t>
            </w:r>
          </w:p>
        </w:tc>
        <w:tc>
          <w:tcPr>
            <w:tcW w:w="8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236,115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6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80" w:type="dxa"/>
            <w:vAlign w:val="bottom"/>
            <w:gridSpan w:val="2"/>
          </w:tcPr>
          <w:p>
            <w:pPr>
              <w:ind w:left="20"/>
              <w:spacing w:after="0"/>
              <w:rPr>
                <w:sz w:val="20"/>
                <w:szCs w:val="20"/>
                <w:color w:val="auto"/>
              </w:rPr>
            </w:pPr>
            <w:r>
              <w:rPr>
                <w:rFonts w:ascii="Arial" w:cs="Arial" w:eastAsia="Arial" w:hAnsi="Arial"/>
                <w:sz w:val="18"/>
                <w:szCs w:val="18"/>
                <w:color w:val="auto"/>
              </w:rPr>
              <w:t>Wound Reconstruction and Care</w:t>
            </w:r>
          </w:p>
        </w:tc>
        <w:tc>
          <w:tcPr>
            <w:tcW w:w="8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70,112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Extremity Orthopedics</w:t>
            </w:r>
          </w:p>
        </w:tc>
        <w:tc>
          <w:tcPr>
            <w:tcW w:w="8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080" w:type="dxa"/>
            <w:vAlign w:val="bottom"/>
            <w:gridSpan w:val="2"/>
          </w:tcPr>
          <w:p>
            <w:pPr>
              <w:ind w:left="20"/>
              <w:spacing w:after="0"/>
              <w:rPr>
                <w:sz w:val="20"/>
                <w:szCs w:val="20"/>
                <w:color w:val="auto"/>
              </w:rPr>
            </w:pPr>
            <w:r>
              <w:rPr>
                <w:rFonts w:ascii="Arial" w:cs="Arial" w:eastAsia="Arial" w:hAnsi="Arial"/>
                <w:sz w:val="18"/>
                <w:szCs w:val="18"/>
                <w:color w:val="auto"/>
              </w:rPr>
              <w:t>Private Label</w:t>
            </w:r>
          </w:p>
        </w:tc>
        <w:tc>
          <w:tcPr>
            <w:tcW w:w="8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26,045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Orthopedics and Tissue Technologies</w:t>
            </w:r>
          </w:p>
        </w:tc>
        <w:tc>
          <w:tcPr>
            <w:tcW w:w="8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120,967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9080" w:type="dxa"/>
            <w:vAlign w:val="bottom"/>
            <w:gridSpan w:val="2"/>
          </w:tcPr>
          <w:p>
            <w:pPr>
              <w:ind w:left="280"/>
              <w:spacing w:after="0"/>
              <w:rPr>
                <w:sz w:val="20"/>
                <w:szCs w:val="20"/>
                <w:color w:val="auto"/>
              </w:rPr>
            </w:pPr>
            <w:r>
              <w:rPr>
                <w:rFonts w:ascii="Arial" w:cs="Arial" w:eastAsia="Arial" w:hAnsi="Arial"/>
                <w:sz w:val="18"/>
                <w:szCs w:val="18"/>
                <w:color w:val="auto"/>
              </w:rPr>
              <w:t>Total revenue</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357,082</w:t>
            </w:r>
          </w:p>
        </w:tc>
        <w:tc>
          <w:tcPr>
            <w:tcW w:w="0" w:type="dxa"/>
            <w:vAlign w:val="bottom"/>
          </w:tcPr>
          <w:p>
            <w:pPr>
              <w:spacing w:after="0"/>
              <w:rPr>
                <w:sz w:val="1"/>
                <w:szCs w:val="1"/>
                <w:color w:val="auto"/>
              </w:rPr>
            </w:pPr>
          </w:p>
        </w:tc>
      </w:tr>
      <w:tr>
        <w:trPr>
          <w:trHeight w:val="20"/>
        </w:trPr>
        <w:tc>
          <w:tcPr>
            <w:tcW w:w="9120" w:type="dxa"/>
            <w:vAlign w:val="bottom"/>
            <w:gridSpan w:val="3"/>
            <w:vMerge w:val="restart"/>
          </w:tcPr>
          <w:p>
            <w:pPr>
              <w:spacing w:after="0"/>
              <w:rPr>
                <w:sz w:val="20"/>
                <w:szCs w:val="20"/>
                <w:color w:val="auto"/>
              </w:rPr>
            </w:pPr>
            <w:r>
              <w:rPr>
                <w:rFonts w:ascii="Arial" w:cs="Arial" w:eastAsia="Arial" w:hAnsi="Arial"/>
                <w:sz w:val="18"/>
                <w:szCs w:val="18"/>
                <w:color w:val="auto"/>
                <w:w w:val="98"/>
              </w:rPr>
              <w:t xml:space="preserve">See Note 14, </w:t>
            </w:r>
            <w:r>
              <w:rPr>
                <w:rFonts w:ascii="Arial" w:cs="Arial" w:eastAsia="Arial" w:hAnsi="Arial"/>
                <w:sz w:val="18"/>
                <w:szCs w:val="18"/>
                <w:i w:val="1"/>
                <w:iCs w:val="1"/>
                <w:color w:val="auto"/>
                <w:w w:val="98"/>
              </w:rPr>
              <w:t>Segment and Geographical Information</w:t>
            </w:r>
            <w:r>
              <w:rPr>
                <w:rFonts w:ascii="Arial" w:cs="Arial" w:eastAsia="Arial" w:hAnsi="Arial"/>
                <w:sz w:val="18"/>
                <w:szCs w:val="18"/>
                <w:color w:val="auto"/>
                <w:w w:val="98"/>
              </w:rPr>
              <w:t>, for details of revenues based on the location of the customer.</w:t>
            </w: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12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7"/>
              </w:rPr>
              <w:t>Effect of Adoption of ASC Topic 606</w:t>
            </w:r>
          </w:p>
        </w:tc>
        <w:tc>
          <w:tcPr>
            <w:tcW w:w="6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January 1, 2018, the Company adopted Topic 606 using the modified retrospective method applied to all contracts which were not completed as of January 1, 2018. Result of operations for the reporting periods after January 1, 2018 are presented under Topic 606, while prior period amounts are not adjusted and continue to be reported in accordance with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adoption of Topic 606 resulted in an increase to the opening retained earnings of $1.9 million as of January 1, 2018 to reflect the change in timing of the recognition of revenue related to the Company's private label business from point in time to over time during the manufacturing process and goods in transit for which control was transferred to customers at the time of shipment, net of tax effect. The total assets and the total liabilities increased by $7.1 million and $5.2 million, respectively, as of January 1, 2018.</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impact of adoption of Topic 606 to the Company's consolidated statement of operations for the three months ended March 31, 2018 was as follows:</w:t>
      </w:r>
    </w:p>
    <w:p>
      <w:pPr>
        <w:spacing w:after="0" w:line="324" w:lineRule="exact"/>
        <w:rPr>
          <w:sz w:val="20"/>
          <w:szCs w:val="20"/>
          <w:color w:val="auto"/>
        </w:rPr>
      </w:pPr>
    </w:p>
    <w:tbl>
      <w:tblPr>
        <w:tblLayout w:type="fixed"/>
        <w:tblInd w:w="7780" w:type="dxa"/>
        <w:tblCellMar>
          <w:top w:w="0" w:type="dxa"/>
          <w:left w:w="0" w:type="dxa"/>
          <w:bottom w:w="0" w:type="dxa"/>
          <w:right w:w="0" w:type="dxa"/>
        </w:tblCellMar>
      </w:tblPr>
      <w:tr>
        <w:trPr>
          <w:trHeight w:val="161"/>
        </w:trPr>
        <w:tc>
          <w:tcPr>
            <w:tcW w:w="16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As Reported</w:t>
            </w:r>
          </w:p>
        </w:tc>
        <w:tc>
          <w:tcPr>
            <w:tcW w:w="204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Excluding Impact of Topic</w:t>
            </w:r>
          </w:p>
        </w:tc>
        <w:tc>
          <w:tcPr>
            <w:tcW w:w="0" w:type="dxa"/>
            <w:vAlign w:val="bottom"/>
          </w:tcPr>
          <w:p>
            <w:pPr>
              <w:spacing w:after="0"/>
              <w:rPr>
                <w:sz w:val="1"/>
                <w:szCs w:val="1"/>
                <w:color w:val="auto"/>
              </w:rPr>
            </w:pPr>
          </w:p>
        </w:tc>
      </w:tr>
      <w:tr>
        <w:trPr>
          <w:trHeight w:val="192"/>
        </w:trPr>
        <w:tc>
          <w:tcPr>
            <w:tcW w:w="160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606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3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 net</w:t>
            </w:r>
          </w:p>
        </w:tc>
        <w:tc>
          <w:tcPr>
            <w:tcW w:w="3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357,082</w:t>
            </w:r>
          </w:p>
        </w:tc>
        <w:tc>
          <w:tcPr>
            <w:tcW w:w="6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356,622</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Cost of goods sold</w:t>
            </w:r>
          </w:p>
        </w:tc>
        <w:tc>
          <w:tcPr>
            <w:tcW w:w="35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144,222</w:t>
            </w:r>
          </w:p>
        </w:tc>
        <w:tc>
          <w:tcPr>
            <w:tcW w:w="6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144,019</w:t>
            </w:r>
          </w:p>
        </w:tc>
      </w:tr>
      <w:tr>
        <w:trPr>
          <w:trHeight w:val="27"/>
        </w:trPr>
        <w:tc>
          <w:tcPr>
            <w:tcW w:w="48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3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5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10,992</w:t>
            </w:r>
          </w:p>
        </w:tc>
        <w:tc>
          <w:tcPr>
            <w:tcW w:w="6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10,799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Topic 606 had no significant impact on the Company's consolidated balance sheet as of March 31,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December 31, 2017</w:t>
            </w:r>
          </w:p>
        </w:tc>
      </w:tr>
      <w:tr>
        <w:trPr>
          <w:trHeight w:val="196"/>
        </w:trPr>
        <w:tc>
          <w:tcPr>
            <w:tcW w:w="7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8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185,203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190,100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59,924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58,637</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45,347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47,595</w:t>
            </w:r>
          </w:p>
        </w:tc>
      </w:tr>
      <w:tr>
        <w:trPr>
          <w:trHeight w:val="237"/>
        </w:trPr>
        <w:tc>
          <w:tcPr>
            <w:tcW w:w="76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290,474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296,332</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three-month period ended March 31, 2018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Codman Specialty</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Orthopedics and</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Surgical</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Tissue Technologies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634,767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303,138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937,905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Codman acquisition purchase price allocation adjustments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9,373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March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638,319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306,176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944,495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w w:val="94"/>
              </w:rPr>
              <w:t>March 31, 2018</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25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19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873,943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(135,897)</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738,046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276"/>
              <w:spacing w:after="0"/>
              <w:rPr>
                <w:sz w:val="20"/>
                <w:szCs w:val="20"/>
                <w:color w:val="auto"/>
              </w:rPr>
            </w:pPr>
            <w:r>
              <w:rPr>
                <w:rFonts w:ascii="Arial" w:cs="Arial" w:eastAsia="Arial" w:hAnsi="Arial"/>
                <w:sz w:val="18"/>
                <w:szCs w:val="18"/>
                <w:color w:val="auto"/>
                <w:w w:val="86"/>
              </w:rPr>
              <w:t>13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233,922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(95,942)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137,980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28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105,187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81,929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Codman trade name</w:t>
            </w:r>
          </w:p>
        </w:tc>
        <w:tc>
          <w:tcPr>
            <w:tcW w:w="120" w:type="dxa"/>
            <w:vAlign w:val="bottom"/>
          </w:tcPr>
          <w:p>
            <w:pPr>
              <w:spacing w:after="0"/>
              <w:rPr>
                <w:sz w:val="21"/>
                <w:szCs w:val="21"/>
                <w:color w:val="auto"/>
              </w:rPr>
            </w:pPr>
          </w:p>
        </w:tc>
        <w:tc>
          <w:tcPr>
            <w:tcW w:w="1600" w:type="dxa"/>
            <w:vAlign w:val="bottom"/>
          </w:tcPr>
          <w:p>
            <w:pPr>
              <w:jc w:val="center"/>
              <w:ind w:right="256"/>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162,900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162,900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27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19,272</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center"/>
              <w:ind w:right="276"/>
              <w:spacing w:after="0"/>
              <w:rPr>
                <w:sz w:val="20"/>
                <w:szCs w:val="20"/>
                <w:color w:val="auto"/>
              </w:rPr>
            </w:pPr>
            <w:r>
              <w:rPr>
                <w:rFonts w:ascii="Arial" w:cs="Arial" w:eastAsia="Arial" w:hAnsi="Arial"/>
                <w:sz w:val="18"/>
                <w:szCs w:val="18"/>
                <w:color w:val="auto"/>
                <w:w w:val="88"/>
              </w:rPr>
              <w:t>4 years</w:t>
            </w: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11,347</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w:t>
            </w: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1,422,020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(274,066)</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1,147,954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December 31, 2017</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19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869,174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(124,096)</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745,078</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116"/>
              <w:spacing w:after="0"/>
              <w:rPr>
                <w:sz w:val="20"/>
                <w:szCs w:val="20"/>
                <w:color w:val="auto"/>
              </w:rPr>
            </w:pPr>
            <w:r>
              <w:rPr>
                <w:rFonts w:ascii="Arial" w:cs="Arial" w:eastAsia="Arial" w:hAnsi="Arial"/>
                <w:sz w:val="18"/>
                <w:szCs w:val="18"/>
                <w:color w:val="auto"/>
                <w:w w:val="86"/>
              </w:rPr>
              <w:t>13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233,430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(91,961)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141,469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28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104,879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82,586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Codman trade name</w:t>
            </w:r>
          </w:p>
        </w:tc>
        <w:tc>
          <w:tcPr>
            <w:tcW w:w="120" w:type="dxa"/>
            <w:vAlign w:val="bottom"/>
          </w:tcPr>
          <w:p>
            <w:pPr>
              <w:spacing w:after="0"/>
              <w:rPr>
                <w:sz w:val="21"/>
                <w:szCs w:val="21"/>
                <w:color w:val="auto"/>
              </w:rPr>
            </w:pPr>
          </w:p>
        </w:tc>
        <w:tc>
          <w:tcPr>
            <w:tcW w:w="1600" w:type="dxa"/>
            <w:vAlign w:val="bottom"/>
          </w:tcPr>
          <w:p>
            <w:pPr>
              <w:jc w:val="center"/>
              <w:ind w:right="136"/>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162,900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162,900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27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19,629</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center"/>
              <w:ind w:right="116"/>
              <w:spacing w:after="0"/>
              <w:rPr>
                <w:sz w:val="20"/>
                <w:szCs w:val="20"/>
                <w:color w:val="auto"/>
              </w:rPr>
            </w:pPr>
            <w:r>
              <w:rPr>
                <w:rFonts w:ascii="Arial" w:cs="Arial" w:eastAsia="Arial" w:hAnsi="Arial"/>
                <w:sz w:val="18"/>
                <w:szCs w:val="18"/>
                <w:color w:val="auto"/>
                <w:w w:val="88"/>
              </w:rPr>
              <w:t>4 years</w:t>
            </w:r>
          </w:p>
        </w:tc>
        <w:tc>
          <w:tcPr>
            <w:tcW w:w="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11,511</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w:t>
            </w: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7,965</w:t>
            </w: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1,416,615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(256,988)</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1,159,627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gridSpan w:val="2"/>
            <w:vMerge w:val="restart"/>
          </w:tcPr>
          <w:p>
            <w:pPr>
              <w:jc w:val="right"/>
              <w:ind w:right="636"/>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00" w:type="dxa"/>
            <w:vAlign w:val="bottom"/>
          </w:tcPr>
          <w:p>
            <w:pPr>
              <w:spacing w:after="0"/>
              <w:rPr>
                <w:sz w:val="24"/>
                <w:szCs w:val="24"/>
                <w:color w:val="auto"/>
              </w:rPr>
            </w:pPr>
          </w:p>
        </w:tc>
        <w:tc>
          <w:tcPr>
            <w:tcW w:w="17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ind w:left="340" w:hanging="332"/>
        <w:spacing w:after="0" w:line="216"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At March 31, 2018 and December 31, 2017, all other included in-process research and development ("IPR&amp;D") costs of $1.0 million in both periods, which was indefinite-lived.</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2017, the Company recorded an impairment charge of $3.3 million in cost of goods sold related to completed technology assets acquired from Tarsus Medical, Inc. ("Tarsus Technology"), since the underlying product will no longer be sold. Tarsus Technology was included in the Orthopedic and Tissue Technology segment.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quarter-end exchange rates, annual amortization expense (including amounts reported in cost of product revenues, but excluding any possible future amortization associated with acquired IPR&amp;D) is expected to be approximately $67.5 million in 2018, $67.4 million in 2019, $67.2 million in 2020, $66.2 million in 2021, $62.7 million in 2022, $61.8 million in 2023 and $603.9 million thereafter. Identifiable intangible assets are initially recorded at fair market value at the time of acquisition using an income or cost approach.</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31, 2017, the Company entered into an amendment ("March 2017 Amendment") to its fourth amended and restated Senior Credit Facility (the "Senior Credit Facility") with a syndicate of lending banks with Bank of America, N.A., as Administrative Agent. The March 2017 Amendment increased the aggregate principal amount from $1.5 billion to $2.2 billion available to the Company through the following facilities:</w:t>
      </w:r>
    </w:p>
    <w:p>
      <w:pPr>
        <w:spacing w:after="0" w:line="1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$500.0 million Term Loan A facility;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$700.0 million Term Loan A-1, which was used in a single drawing on a delayed basis at the time of closing of the Codman Acquisition; and</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$1.0 billion revolving credit facility, which includes a $60.0 million sublimit for the issuance of standby letters of credit and a $60.0 million sublimit for swingline loans.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connection with the March 2017 Amendment, the Company’s maximum consolidated total leverage ratio in the financial covenants as defined in the Senior Credit Facility was increased to the following:</w:t>
      </w:r>
    </w:p>
    <w:p>
      <w:pPr>
        <w:spacing w:after="0" w:line="9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Consolidated Total Leverage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364"/>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December 31, 2016 through before the first fiscal quarter after the delayed draw date of Term Loan A-1</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4.50 : 1.00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fiscal quarter ended after the delayed draw date of Term Loan A-1 through September 30, 2018</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5.50 : 1.00</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October 1, 2018 through September 30, 2019</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5.00 : 1.00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2019 through September 30, 2020</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4.50 : 1.00</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October 1, 2020 and thereafter</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4.00 : 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was no change in the maturity date, which remains at December 7,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6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Eurodollar Rate (as defined in the Senior Credit Facility) in effect from time to time plus the applicable rate (ranging from 1.00% to 2.00%), or</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prime lending rate of Bank of America, N.A.,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on the use or investment thereof to (b) consolidated EBITDA at the time of the applicable borrowing.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pay an annual commitment fee ranging from 0.15% to 0.35%, based on the Company's consolidated total leverage ratio, on the amount available for borrowing under the revolving credit facility.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Senior Credit Facility is collateralized by substantially all of the assets of the Company’s U.S. subsidiaries, excluding intangible assets. The Senior Credit Facility is subject to various financial and negative covenants and at March 31, 2018, the Company was in compliance with all such covenants. The Company capitalized $0.5 million of incremental financing costs in 2017 in connection with the modifications to the Senior Credit Facility. There were no financing costs capitalized in the first quarter of 2018. No previously capitalized financing costs were written-off in the first quarter of 2018 and the fiscal year 2017.</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the Company capitalized $19.1 million of incremental financing costs related to the drawing of Term A-1 component of the Senior Credit Facility.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2018 and December 31, 2017, there were $660.0 million and $655.0 million outstanding, respectively, under the revolving credit component of the Senior Credit Facility at a weighted average interest rate of 3.7%. At March 31, 2018 and December 31, 2017, there were $493.8 million and $500.0 million outstanding, respectively, under the Term Loan A component of the Senior Credit Facility at a weighted average interest rate of 3.8% and 3.6%, respectively. At March 31, 2018 and December 31, 2017, there were $691.3 million and $700.0 million outstanding, respectively, under the Term Loan A-1 component of Senior Credit Facility at a weighted average interest rate of 3.6%. At March 31, 2018, there was approximately $340.0 million available for borrowing under the Senior Credit Facility.</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outstanding borrowings of the Senior Credit Facility's revolving credit facility, Term Loan A and Term A-1 components at March 31, 2018 was approximately $660.0 million, $492.3 million and $689.2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outstanding as of March 31, 2018 and December 31, 2017 totaled $0.6 million. There were no amounts drawn as of March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A and Term A-1 components of Senior Credit Facility are due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Principal Repayment</w:t>
            </w:r>
          </w:p>
        </w:tc>
      </w:tr>
      <w:tr>
        <w:trPr>
          <w:trHeight w:val="285"/>
        </w:trPr>
        <w:tc>
          <w:tcPr>
            <w:tcW w:w="36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4"/>
                <w:szCs w:val="24"/>
                <w:color w:val="auto"/>
              </w:rPr>
            </w:pPr>
          </w:p>
        </w:tc>
      </w:tr>
      <w:tr>
        <w:trPr>
          <w:trHeight w:val="256"/>
        </w:trPr>
        <w:tc>
          <w:tcPr>
            <w:tcW w:w="9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2019</w:t>
            </w: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60,000</w:t>
            </w:r>
          </w:p>
        </w:tc>
      </w:tr>
      <w:tr>
        <w:trPr>
          <w:trHeight w:val="27"/>
        </w:trPr>
        <w:tc>
          <w:tcPr>
            <w:tcW w:w="3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2021</w:t>
            </w: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990,000</w:t>
            </w:r>
          </w:p>
        </w:tc>
      </w:tr>
      <w:tr>
        <w:trPr>
          <w:trHeight w:val="27"/>
        </w:trPr>
        <w:tc>
          <w:tcPr>
            <w:tcW w:w="36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9440" w:type="dxa"/>
            <w:vAlign w:val="bottom"/>
            <w:tcBorders>
              <w:bottom w:val="single" w:sz="8" w:color="CCEEFF"/>
            </w:tcBorders>
            <w:gridSpan w:val="4"/>
            <w:shd w:val="clear" w:color="auto" w:fill="CCEEFF"/>
          </w:tcPr>
          <w:p>
            <w:pPr>
              <w:ind w:left="91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1,185,000</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December 7,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our expected LIBOR-indexed floating-rate borrowings. The Company held the following interest rate swaps as of March 31, 2018 (amounts in thousands):</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Fixed</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Estimated Fair</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Hedged Item</w:t>
            </w:r>
          </w:p>
        </w:tc>
        <w:tc>
          <w:tcPr>
            <w:tcW w:w="1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Designation Date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Effective Date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 Date</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Interest Rate</w:t>
            </w: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Floating Rate</w:t>
            </w:r>
          </w:p>
        </w:tc>
        <w:tc>
          <w:tcPr>
            <w:tcW w:w="140" w:type="dxa"/>
            <w:vAlign w:val="bottom"/>
          </w:tcPr>
          <w:p>
            <w:pPr>
              <w:spacing w:after="0"/>
              <w:rPr>
                <w:sz w:val="15"/>
                <w:szCs w:val="15"/>
                <w:color w:val="auto"/>
              </w:rPr>
            </w:pPr>
          </w:p>
        </w:tc>
        <w:tc>
          <w:tcPr>
            <w:tcW w:w="860" w:type="dxa"/>
            <w:vAlign w:val="bottom"/>
          </w:tcPr>
          <w:p>
            <w:pPr>
              <w:jc w:val="center"/>
              <w:ind w:right="72"/>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3"/>
        </w:trPr>
        <w:tc>
          <w:tcPr>
            <w:tcW w:w="1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ind w:right="72"/>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82"/>
        </w:trPr>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4"/>
                <w:szCs w:val="14"/>
                <w:b w:val="1"/>
                <w:bCs w:val="1"/>
                <w:color w:val="auto"/>
                <w:w w:val="91"/>
              </w:rPr>
              <w:t>(Liabilities)</w:t>
            </w:r>
          </w:p>
        </w:tc>
        <w:tc>
          <w:tcPr>
            <w:tcW w:w="0" w:type="dxa"/>
            <w:vAlign w:val="bottom"/>
          </w:tcPr>
          <w:p>
            <w:pPr>
              <w:spacing w:after="0"/>
              <w:rPr>
                <w:sz w:val="1"/>
                <w:szCs w:val="1"/>
                <w:color w:val="auto"/>
              </w:rPr>
            </w:pPr>
          </w:p>
        </w:tc>
      </w:tr>
      <w:tr>
        <w:trPr>
          <w:trHeight w:val="250"/>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3-month USD LIBOR Loan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June 22, 2016</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June 30, 2019</w:t>
            </w:r>
          </w:p>
        </w:tc>
        <w:tc>
          <w:tcPr>
            <w:tcW w:w="82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21"/>
                <w:szCs w:val="21"/>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3-month USD LIBOR</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June 22, 2016</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3"/>
              </w:rPr>
              <w:t>June 30, 2019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26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2"/>
                <w:szCs w:val="2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July 12, 2016</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June 30, 2019</w:t>
            </w:r>
          </w:p>
        </w:tc>
        <w:tc>
          <w:tcPr>
            <w:tcW w:w="820" w:type="dxa"/>
            <w:vAlign w:val="bottom"/>
          </w:tcPr>
          <w:p>
            <w:pPr>
              <w:jc w:val="right"/>
              <w:spacing w:after="0"/>
              <w:rPr>
                <w:sz w:val="20"/>
                <w:szCs w:val="20"/>
                <w:color w:val="auto"/>
              </w:rPr>
            </w:pPr>
            <w:r>
              <w:rPr>
                <w:rFonts w:ascii="Arial" w:cs="Arial" w:eastAsia="Arial" w:hAnsi="Arial"/>
                <w:sz w:val="14"/>
                <w:szCs w:val="14"/>
                <w:color w:val="auto"/>
              </w:rPr>
              <w:t>0.825%</w:t>
            </w:r>
          </w:p>
        </w:tc>
        <w:tc>
          <w:tcPr>
            <w:tcW w:w="100" w:type="dxa"/>
            <w:vAlign w:val="bottom"/>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February 6, 2017</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3"/>
              </w:rPr>
              <w:t>June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26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February 6, 2017</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2017</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June 30, 2020</w:t>
            </w:r>
          </w:p>
        </w:tc>
        <w:tc>
          <w:tcPr>
            <w:tcW w:w="820" w:type="dxa"/>
            <w:vAlign w:val="bottom"/>
          </w:tcPr>
          <w:p>
            <w:pPr>
              <w:jc w:val="right"/>
              <w:spacing w:after="0"/>
              <w:rPr>
                <w:sz w:val="20"/>
                <w:szCs w:val="20"/>
                <w:color w:val="auto"/>
              </w:rPr>
            </w:pPr>
            <w:r>
              <w:rPr>
                <w:rFonts w:ascii="Arial" w:cs="Arial" w:eastAsia="Arial" w:hAnsi="Arial"/>
                <w:sz w:val="14"/>
                <w:szCs w:val="14"/>
                <w:color w:val="auto"/>
              </w:rPr>
              <w:t>1.652%</w:t>
            </w:r>
          </w:p>
        </w:tc>
        <w:tc>
          <w:tcPr>
            <w:tcW w:w="100" w:type="dxa"/>
            <w:vAlign w:val="bottom"/>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March 27,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3"/>
              </w:rPr>
              <w:t>June 30, 2021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26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January 1, 2018</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2022</w:t>
            </w:r>
          </w:p>
        </w:tc>
        <w:tc>
          <w:tcPr>
            <w:tcW w:w="820" w:type="dxa"/>
            <w:vAlign w:val="bottom"/>
          </w:tcPr>
          <w:p>
            <w:pPr>
              <w:jc w:val="right"/>
              <w:spacing w:after="0"/>
              <w:rPr>
                <w:sz w:val="20"/>
                <w:szCs w:val="20"/>
                <w:color w:val="auto"/>
              </w:rPr>
            </w:pPr>
            <w:r>
              <w:rPr>
                <w:rFonts w:ascii="Arial" w:cs="Arial" w:eastAsia="Arial" w:hAnsi="Arial"/>
                <w:sz w:val="14"/>
                <w:szCs w:val="14"/>
                <w:color w:val="auto"/>
              </w:rPr>
              <w:t>2.201%</w:t>
            </w:r>
          </w:p>
        </w:tc>
        <w:tc>
          <w:tcPr>
            <w:tcW w:w="100" w:type="dxa"/>
            <w:vAlign w:val="bottom"/>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2,343</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January 1, 2018</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21, 2022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2,284</w:t>
            </w:r>
          </w:p>
        </w:tc>
        <w:tc>
          <w:tcPr>
            <w:tcW w:w="0" w:type="dxa"/>
            <w:vAlign w:val="bottom"/>
          </w:tcPr>
          <w:p>
            <w:pPr>
              <w:spacing w:after="0"/>
              <w:rPr>
                <w:sz w:val="1"/>
                <w:szCs w:val="1"/>
                <w:color w:val="auto"/>
              </w:rPr>
            </w:pPr>
          </w:p>
        </w:tc>
      </w:tr>
      <w:tr>
        <w:trPr>
          <w:trHeight w:val="26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July 1, 2019</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June 30, 2024</w:t>
            </w:r>
          </w:p>
        </w:tc>
        <w:tc>
          <w:tcPr>
            <w:tcW w:w="820" w:type="dxa"/>
            <w:vAlign w:val="bottom"/>
          </w:tcPr>
          <w:p>
            <w:pPr>
              <w:jc w:val="right"/>
              <w:spacing w:after="0"/>
              <w:rPr>
                <w:sz w:val="20"/>
                <w:szCs w:val="20"/>
                <w:color w:val="auto"/>
              </w:rPr>
            </w:pPr>
            <w:r>
              <w:rPr>
                <w:rFonts w:ascii="Arial" w:cs="Arial" w:eastAsia="Arial" w:hAnsi="Arial"/>
                <w:sz w:val="14"/>
                <w:szCs w:val="14"/>
                <w:color w:val="auto"/>
              </w:rPr>
              <w:t>2.423%</w:t>
            </w:r>
          </w:p>
        </w:tc>
        <w:tc>
          <w:tcPr>
            <w:tcW w:w="100" w:type="dxa"/>
            <w:vAlign w:val="bottom"/>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July 1, 2019</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3"/>
              </w:rPr>
              <w:t>June 30, 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64"/>
        </w:trPr>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85"/>
              </w:rPr>
              <w:t>January 1, 2018</w:t>
            </w:r>
          </w:p>
        </w:tc>
        <w:tc>
          <w:tcPr>
            <w:tcW w:w="15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86"/>
              </w:rPr>
              <w:t>December 31, 2024</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2.313%</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3,437</w:t>
            </w:r>
          </w:p>
        </w:tc>
        <w:tc>
          <w:tcPr>
            <w:tcW w:w="0" w:type="dxa"/>
            <w:vAlign w:val="bottom"/>
          </w:tcPr>
          <w:p>
            <w:pPr>
              <w:spacing w:after="0"/>
              <w:rPr>
                <w:sz w:val="1"/>
                <w:szCs w:val="1"/>
                <w:color w:val="auto"/>
              </w:rPr>
            </w:pPr>
          </w:p>
        </w:tc>
      </w:tr>
      <w:tr>
        <w:trPr>
          <w:trHeight w:val="151"/>
        </w:trPr>
        <w:tc>
          <w:tcPr>
            <w:tcW w:w="19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w w:val="96"/>
              </w:rPr>
              <w:t>Total interested rate derivatives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designated as cash flow</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9"/>
              </w:rPr>
              <w:t>1,050,000</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16,188</w:t>
            </w:r>
          </w:p>
        </w:tc>
        <w:tc>
          <w:tcPr>
            <w:tcW w:w="0" w:type="dxa"/>
            <w:vAlign w:val="bottom"/>
          </w:tcPr>
          <w:p>
            <w:pPr>
              <w:spacing w:after="0"/>
              <w:rPr>
                <w:sz w:val="1"/>
                <w:szCs w:val="1"/>
                <w:color w:val="auto"/>
              </w:rPr>
            </w:pPr>
          </w:p>
        </w:tc>
      </w:tr>
      <w:tr>
        <w:trPr>
          <w:trHeight w:val="173"/>
        </w:trPr>
        <w:tc>
          <w:tcPr>
            <w:tcW w:w="1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hedge</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121" w:right="239" w:bottom="0" w:gutter="0" w:footer="0" w:header="0"/>
        </w:sectPr>
      </w:pPr>
    </w:p>
    <w:p>
      <w:pPr>
        <w:jc w:val="both"/>
        <w:spacing w:after="0" w:line="312" w:lineRule="auto"/>
        <w:rPr>
          <w:sz w:val="20"/>
          <w:szCs w:val="20"/>
          <w:color w:val="auto"/>
        </w:rPr>
      </w:pPr>
      <w:r>
        <w:rPr>
          <w:rFonts w:ascii="Arial" w:cs="Arial" w:eastAsia="Arial" w:hAnsi="Arial"/>
          <w:sz w:val="16"/>
          <w:szCs w:val="16"/>
          <w:color w:val="auto"/>
        </w:rPr>
        <w:t>The Company has designated these derivative instruments as cash flow hedges. The Company records the effectiveness of these derivative instruments and has recorded the changes in the fair value of the derivative instrument designated as a cash flow hedge as unrealized gains or losses in accumulated other comprehensive income (“AOCI”), net of tax, until the hedged item affected earnings, at which point any gain or loss was reclassified to earnings. If the</w:t>
      </w:r>
    </w:p>
    <w:p>
      <w:pPr>
        <w:sectPr>
          <w:pgSz w:w="11900" w:h="16838" w:orient="portrait"/>
          <w:cols w:equalWidth="0" w:num="1">
            <w:col w:w="11420"/>
          </w:cols>
          <w:pgMar w:left="240" w:top="121" w:right="239" w:bottom="0" w:gutter="0" w:footer="0" w:header="0"/>
          <w:type w:val="continuous"/>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hedged cash flow does not occur, or if it becomes probable that it will not occur, the Company will reclassify the remaining amount of any gain or loss on the related cash flow hedge recorded in AOCI to interest expense at that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until the hedged item affects earnings. Once the related hedged item affects earnings, the Company reclassifies amounts recorded in AOCI to earnings. If the hedged forecasted transaction does not occur, or if it becomes probable that it will not occur, the Company will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reclassify the amount of any gain or loss on the related cash flow hedge to earnings at that time. For contracts not designated as hedging instruments, the changes in fair value of the contracts are recognized in other income (expense), net in the consolidated statements of operation, along with the offsetting foreign currency gain or loss on the underlying assets or liabilities.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28, 2017, the Company entered into a foreign currency forward contract, with a notional amount of $8.9 million to mitigate the foreign currency exchange risk related to a certain intercompany loan denominated in Swiss Francs ("CHF"). The contract is not designated as a hedging instrument. For the three months ended March 31, 2018, the Company recognized $0.2 million loss from the change in fair value of the contract, which was included in other income (expense), net in the consolidated statement of operations. The fair value of the foreign currency forward contact was a liability of $0.1 million as of March 31, 2018, that is included in accrued expenses and other current liabilities in the consolidated balance sheet.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Cross-Currency Rate Swap</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 2017, the Company entered into cross currency swap agreements to convert a notional amount of $300.0 million equivalent to 291.2 million of CHF denominated intercompany loans into U.S. dollars. The CHF-denominated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March 31, 2018 (dollar amounts in thousands):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4"/>
                <w:szCs w:val="14"/>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Fixed Rate</w:t>
            </w:r>
          </w:p>
        </w:tc>
        <w:tc>
          <w:tcPr>
            <w:tcW w:w="17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Aggregate Notional</w:t>
            </w:r>
          </w:p>
        </w:tc>
        <w:tc>
          <w:tcPr>
            <w:tcW w:w="380" w:type="dxa"/>
            <w:vAlign w:val="bottom"/>
          </w:tcPr>
          <w:p>
            <w:pPr>
              <w:spacing w:after="0"/>
              <w:rPr>
                <w:sz w:val="14"/>
                <w:szCs w:val="14"/>
                <w:color w:val="auto"/>
              </w:rPr>
            </w:pPr>
          </w:p>
        </w:tc>
        <w:tc>
          <w:tcPr>
            <w:tcW w:w="1560" w:type="dxa"/>
            <w:vAlign w:val="bottom"/>
          </w:tcPr>
          <w:p>
            <w:pPr>
              <w:jc w:val="right"/>
              <w:ind w:right="5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78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6"/>
                <w:szCs w:val="16"/>
                <w:color w:val="auto"/>
              </w:rPr>
            </w:pPr>
          </w:p>
        </w:tc>
        <w:tc>
          <w:tcPr>
            <w:tcW w:w="1560" w:type="dxa"/>
            <w:vAlign w:val="bottom"/>
          </w:tcPr>
          <w:p>
            <w:pPr>
              <w:jc w:val="right"/>
              <w:ind w:right="616"/>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BFE4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BFE4FF"/>
          </w:tcPr>
          <w:p>
            <w:pPr>
              <w:spacing w:after="0"/>
              <w:rPr>
                <w:sz w:val="21"/>
                <w:szCs w:val="21"/>
                <w:color w:val="auto"/>
              </w:rPr>
            </w:pPr>
          </w:p>
        </w:tc>
        <w:tc>
          <w:tcPr>
            <w:tcW w:w="138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91"/>
              </w:rPr>
              <w:t>October 2, 2017</w:t>
            </w: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89"/>
              </w:rPr>
              <w:t>October 2, 2020</w:t>
            </w:r>
          </w:p>
        </w:tc>
        <w:tc>
          <w:tcPr>
            <w:tcW w:w="120" w:type="dxa"/>
            <w:vAlign w:val="bottom"/>
            <w:shd w:val="clear" w:color="auto" w:fill="BFE4FF"/>
          </w:tcPr>
          <w:p>
            <w:pPr>
              <w:spacing w:after="0"/>
              <w:rPr>
                <w:sz w:val="21"/>
                <w:szCs w:val="21"/>
                <w:color w:val="auto"/>
              </w:rPr>
            </w:pP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1.75%</w:t>
            </w:r>
          </w:p>
        </w:tc>
        <w:tc>
          <w:tcPr>
            <w:tcW w:w="120" w:type="dxa"/>
            <w:vAlign w:val="bottom"/>
            <w:shd w:val="clear" w:color="auto" w:fill="BFE4FF"/>
          </w:tcPr>
          <w:p>
            <w:pPr>
              <w:spacing w:after="0"/>
              <w:rPr>
                <w:sz w:val="21"/>
                <w:szCs w:val="21"/>
                <w:color w:val="auto"/>
              </w:rPr>
            </w:pPr>
          </w:p>
        </w:tc>
        <w:tc>
          <w:tcPr>
            <w:tcW w:w="820" w:type="dxa"/>
            <w:vAlign w:val="bottom"/>
            <w:shd w:val="clear" w:color="auto" w:fill="BFE4FF"/>
          </w:tcPr>
          <w:p>
            <w:pPr>
              <w:jc w:val="right"/>
              <w:ind w:right="94"/>
              <w:spacing w:after="0"/>
              <w:rPr>
                <w:sz w:val="20"/>
                <w:szCs w:val="20"/>
                <w:color w:val="auto"/>
              </w:rPr>
            </w:pPr>
            <w:r>
              <w:rPr>
                <w:rFonts w:ascii="Arial" w:cs="Arial" w:eastAsia="Arial" w:hAnsi="Arial"/>
                <w:sz w:val="18"/>
                <w:szCs w:val="18"/>
                <w:color w:val="auto"/>
              </w:rPr>
              <w:t>CHF</w:t>
            </w:r>
          </w:p>
        </w:tc>
        <w:tc>
          <w:tcPr>
            <w:tcW w:w="960" w:type="dxa"/>
            <w:vAlign w:val="bottom"/>
            <w:shd w:val="clear" w:color="auto" w:fill="BFE4FF"/>
          </w:tcPr>
          <w:p>
            <w:pPr>
              <w:jc w:val="right"/>
              <w:ind w:right="110"/>
              <w:spacing w:after="0"/>
              <w:rPr>
                <w:sz w:val="20"/>
                <w:szCs w:val="20"/>
                <w:color w:val="auto"/>
              </w:rPr>
            </w:pPr>
            <w:r>
              <w:rPr>
                <w:rFonts w:ascii="Arial" w:cs="Arial" w:eastAsia="Arial" w:hAnsi="Arial"/>
                <w:sz w:val="18"/>
                <w:szCs w:val="18"/>
                <w:color w:val="auto"/>
              </w:rPr>
              <w:t>97,065</w:t>
            </w:r>
          </w:p>
        </w:tc>
        <w:tc>
          <w:tcPr>
            <w:tcW w:w="380" w:type="dxa"/>
            <w:vAlign w:val="bottom"/>
            <w:vMerge w:val="restart"/>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135"/>
        </w:trPr>
        <w:tc>
          <w:tcPr>
            <w:tcW w:w="3440" w:type="dxa"/>
            <w:vAlign w:val="bottom"/>
            <w:vMerge w:val="restart"/>
            <w:shd w:val="clear" w:color="auto" w:fill="BFE4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BFE4FF"/>
          </w:tcPr>
          <w:p>
            <w:pPr>
              <w:spacing w:after="0"/>
              <w:rPr>
                <w:sz w:val="11"/>
                <w:szCs w:val="11"/>
                <w:color w:val="auto"/>
              </w:rPr>
            </w:pPr>
          </w:p>
        </w:tc>
        <w:tc>
          <w:tcPr>
            <w:tcW w:w="1380" w:type="dxa"/>
            <w:vAlign w:val="bottom"/>
            <w:gridSpan w:val="2"/>
            <w:vMerge w:val="continue"/>
            <w:shd w:val="clear" w:color="auto" w:fill="BFE4FF"/>
          </w:tcPr>
          <w:p>
            <w:pPr>
              <w:spacing w:after="0"/>
              <w:rPr>
                <w:sz w:val="11"/>
                <w:szCs w:val="11"/>
                <w:color w:val="auto"/>
              </w:rPr>
            </w:pPr>
          </w:p>
        </w:tc>
        <w:tc>
          <w:tcPr>
            <w:tcW w:w="1260" w:type="dxa"/>
            <w:vAlign w:val="bottom"/>
            <w:vMerge w:val="continue"/>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4.38%</w:t>
            </w:r>
          </w:p>
        </w:tc>
        <w:tc>
          <w:tcPr>
            <w:tcW w:w="120" w:type="dxa"/>
            <w:vAlign w:val="bottom"/>
            <w:shd w:val="clear" w:color="auto" w:fill="BFE4FF"/>
          </w:tcPr>
          <w:p>
            <w:pPr>
              <w:spacing w:after="0"/>
              <w:rPr>
                <w:sz w:val="11"/>
                <w:szCs w:val="11"/>
                <w:color w:val="auto"/>
              </w:rPr>
            </w:pPr>
          </w:p>
        </w:tc>
        <w:tc>
          <w:tcPr>
            <w:tcW w:w="820" w:type="dxa"/>
            <w:vAlign w:val="bottom"/>
            <w:vMerge w:val="restart"/>
            <w:shd w:val="clear" w:color="auto" w:fill="BFE4FF"/>
          </w:tcPr>
          <w:p>
            <w:pPr>
              <w:jc w:val="right"/>
              <w:ind w:right="94"/>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BFE4FF"/>
          </w:tcPr>
          <w:p>
            <w:pPr>
              <w:jc w:val="right"/>
              <w:ind w:right="110"/>
              <w:spacing w:after="0"/>
              <w:rPr>
                <w:sz w:val="20"/>
                <w:szCs w:val="20"/>
                <w:color w:val="auto"/>
              </w:rPr>
            </w:pPr>
            <w:r>
              <w:rPr>
                <w:rFonts w:ascii="Arial" w:cs="Arial" w:eastAsia="Arial" w:hAnsi="Arial"/>
                <w:sz w:val="18"/>
                <w:szCs w:val="18"/>
                <w:color w:val="auto"/>
              </w:rPr>
              <w:t>100,000</w:t>
            </w:r>
          </w:p>
        </w:tc>
        <w:tc>
          <w:tcPr>
            <w:tcW w:w="380" w:type="dxa"/>
            <w:vAlign w:val="bottom"/>
            <w:vMerge w:val="continue"/>
            <w:shd w:val="clear" w:color="auto" w:fill="BFE4FF"/>
          </w:tcPr>
          <w:p>
            <w:pPr>
              <w:spacing w:after="0"/>
              <w:rPr>
                <w:sz w:val="11"/>
                <w:szCs w:val="11"/>
                <w:color w:val="auto"/>
              </w:rPr>
            </w:pPr>
          </w:p>
        </w:tc>
        <w:tc>
          <w:tcPr>
            <w:tcW w:w="156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40" w:type="dxa"/>
            <w:vAlign w:val="bottom"/>
            <w:tcBorders>
              <w:bottom w:val="single" w:sz="8" w:color="BFE4FF"/>
            </w:tcBorders>
            <w:vMerge w:val="continue"/>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vMerge w:val="continue"/>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820" w:type="dxa"/>
            <w:vAlign w:val="bottom"/>
            <w:tcBorders>
              <w:bottom w:val="single" w:sz="8" w:color="BFE4FF"/>
            </w:tcBorders>
            <w:vMerge w:val="continue"/>
            <w:shd w:val="clear" w:color="auto" w:fill="BFE4FF"/>
          </w:tcPr>
          <w:p>
            <w:pPr>
              <w:spacing w:after="0"/>
              <w:rPr>
                <w:sz w:val="12"/>
                <w:szCs w:val="12"/>
                <w:color w:val="auto"/>
              </w:rPr>
            </w:pPr>
          </w:p>
        </w:tc>
        <w:tc>
          <w:tcPr>
            <w:tcW w:w="960" w:type="dxa"/>
            <w:vAlign w:val="bottom"/>
            <w:tcBorders>
              <w:bottom w:val="single" w:sz="8" w:color="BFE4FF"/>
            </w:tcBorders>
            <w:vMerge w:val="continue"/>
            <w:shd w:val="clear" w:color="auto" w:fill="BFE4FF"/>
          </w:tcPr>
          <w:p>
            <w:pPr>
              <w:spacing w:after="0"/>
              <w:rPr>
                <w:sz w:val="12"/>
                <w:szCs w:val="12"/>
                <w:color w:val="auto"/>
              </w:rPr>
            </w:pPr>
          </w:p>
        </w:tc>
        <w:tc>
          <w:tcPr>
            <w:tcW w:w="380" w:type="dxa"/>
            <w:vAlign w:val="bottom"/>
            <w:tcBorders>
              <w:bottom w:val="single" w:sz="8" w:color="BFE4FF"/>
            </w:tcBorders>
            <w:shd w:val="clear" w:color="auto" w:fill="BFE4FF"/>
          </w:tcPr>
          <w:p>
            <w:pPr>
              <w:spacing w:after="0"/>
              <w:rPr>
                <w:sz w:val="12"/>
                <w:szCs w:val="12"/>
                <w:color w:val="auto"/>
              </w:rPr>
            </w:pPr>
          </w:p>
        </w:tc>
        <w:tc>
          <w:tcPr>
            <w:tcW w:w="1560" w:type="dxa"/>
            <w:vAlign w:val="bottom"/>
            <w:tcBorders>
              <w:bottom w:val="single" w:sz="8" w:color="BFE4FF"/>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6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BFE4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BFE4FF"/>
          </w:tcPr>
          <w:p>
            <w:pPr>
              <w:spacing w:after="0"/>
              <w:rPr>
                <w:sz w:val="21"/>
                <w:szCs w:val="21"/>
                <w:color w:val="auto"/>
              </w:rPr>
            </w:pPr>
          </w:p>
        </w:tc>
        <w:tc>
          <w:tcPr>
            <w:tcW w:w="138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91"/>
              </w:rPr>
              <w:t>October 2, 2017</w:t>
            </w: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89"/>
              </w:rPr>
              <w:t>October 2, 2021</w:t>
            </w:r>
          </w:p>
        </w:tc>
        <w:tc>
          <w:tcPr>
            <w:tcW w:w="120" w:type="dxa"/>
            <w:vAlign w:val="bottom"/>
            <w:shd w:val="clear" w:color="auto" w:fill="BFE4FF"/>
          </w:tcPr>
          <w:p>
            <w:pPr>
              <w:spacing w:after="0"/>
              <w:rPr>
                <w:sz w:val="21"/>
                <w:szCs w:val="21"/>
                <w:color w:val="auto"/>
              </w:rPr>
            </w:pP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1.85%</w:t>
            </w:r>
          </w:p>
        </w:tc>
        <w:tc>
          <w:tcPr>
            <w:tcW w:w="120" w:type="dxa"/>
            <w:vAlign w:val="bottom"/>
            <w:shd w:val="clear" w:color="auto" w:fill="BFE4FF"/>
          </w:tcPr>
          <w:p>
            <w:pPr>
              <w:spacing w:after="0"/>
              <w:rPr>
                <w:sz w:val="21"/>
                <w:szCs w:val="21"/>
                <w:color w:val="auto"/>
              </w:rPr>
            </w:pPr>
          </w:p>
        </w:tc>
        <w:tc>
          <w:tcPr>
            <w:tcW w:w="820" w:type="dxa"/>
            <w:vAlign w:val="bottom"/>
            <w:shd w:val="clear" w:color="auto" w:fill="BFE4FF"/>
          </w:tcPr>
          <w:p>
            <w:pPr>
              <w:jc w:val="right"/>
              <w:ind w:right="94"/>
              <w:spacing w:after="0"/>
              <w:rPr>
                <w:sz w:val="20"/>
                <w:szCs w:val="20"/>
                <w:color w:val="auto"/>
              </w:rPr>
            </w:pPr>
            <w:r>
              <w:rPr>
                <w:rFonts w:ascii="Arial" w:cs="Arial" w:eastAsia="Arial" w:hAnsi="Arial"/>
                <w:sz w:val="18"/>
                <w:szCs w:val="18"/>
                <w:color w:val="auto"/>
              </w:rPr>
              <w:t>CHF</w:t>
            </w:r>
          </w:p>
        </w:tc>
        <w:tc>
          <w:tcPr>
            <w:tcW w:w="960" w:type="dxa"/>
            <w:vAlign w:val="bottom"/>
            <w:shd w:val="clear" w:color="auto" w:fill="BFE4FF"/>
          </w:tcPr>
          <w:p>
            <w:pPr>
              <w:jc w:val="right"/>
              <w:ind w:right="110"/>
              <w:spacing w:after="0"/>
              <w:rPr>
                <w:sz w:val="20"/>
                <w:szCs w:val="20"/>
                <w:color w:val="auto"/>
              </w:rPr>
            </w:pPr>
            <w:r>
              <w:rPr>
                <w:rFonts w:ascii="Arial" w:cs="Arial" w:eastAsia="Arial" w:hAnsi="Arial"/>
                <w:sz w:val="18"/>
                <w:szCs w:val="18"/>
                <w:color w:val="auto"/>
              </w:rPr>
              <w:t>48,533</w:t>
            </w:r>
          </w:p>
        </w:tc>
        <w:tc>
          <w:tcPr>
            <w:tcW w:w="380" w:type="dxa"/>
            <w:vAlign w:val="bottom"/>
            <w:shd w:val="clear" w:color="auto" w:fill="BFE4FF"/>
          </w:tcPr>
          <w:p>
            <w:pPr>
              <w:spacing w:after="0"/>
              <w:rPr>
                <w:sz w:val="21"/>
                <w:szCs w:val="21"/>
                <w:color w:val="auto"/>
              </w:rPr>
            </w:pPr>
          </w:p>
        </w:tc>
        <w:tc>
          <w:tcPr>
            <w:tcW w:w="156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135"/>
        </w:trPr>
        <w:tc>
          <w:tcPr>
            <w:tcW w:w="3440" w:type="dxa"/>
            <w:vAlign w:val="bottom"/>
            <w:vMerge w:val="restart"/>
            <w:shd w:val="clear" w:color="auto" w:fill="BFE4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BFE4FF"/>
          </w:tcPr>
          <w:p>
            <w:pPr>
              <w:spacing w:after="0"/>
              <w:rPr>
                <w:sz w:val="11"/>
                <w:szCs w:val="11"/>
                <w:color w:val="auto"/>
              </w:rPr>
            </w:pPr>
          </w:p>
        </w:tc>
        <w:tc>
          <w:tcPr>
            <w:tcW w:w="1380" w:type="dxa"/>
            <w:vAlign w:val="bottom"/>
            <w:gridSpan w:val="2"/>
            <w:vMerge w:val="continue"/>
            <w:shd w:val="clear" w:color="auto" w:fill="BFE4FF"/>
          </w:tcPr>
          <w:p>
            <w:pPr>
              <w:spacing w:after="0"/>
              <w:rPr>
                <w:sz w:val="11"/>
                <w:szCs w:val="11"/>
                <w:color w:val="auto"/>
              </w:rPr>
            </w:pPr>
          </w:p>
        </w:tc>
        <w:tc>
          <w:tcPr>
            <w:tcW w:w="1260" w:type="dxa"/>
            <w:vAlign w:val="bottom"/>
            <w:vMerge w:val="continue"/>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4.46%</w:t>
            </w:r>
          </w:p>
        </w:tc>
        <w:tc>
          <w:tcPr>
            <w:tcW w:w="120" w:type="dxa"/>
            <w:vAlign w:val="bottom"/>
            <w:shd w:val="clear" w:color="auto" w:fill="BFE4FF"/>
          </w:tcPr>
          <w:p>
            <w:pPr>
              <w:spacing w:after="0"/>
              <w:rPr>
                <w:sz w:val="11"/>
                <w:szCs w:val="11"/>
                <w:color w:val="auto"/>
              </w:rPr>
            </w:pPr>
          </w:p>
        </w:tc>
        <w:tc>
          <w:tcPr>
            <w:tcW w:w="820" w:type="dxa"/>
            <w:vAlign w:val="bottom"/>
            <w:vMerge w:val="restart"/>
            <w:shd w:val="clear" w:color="auto" w:fill="BFE4FF"/>
          </w:tcPr>
          <w:p>
            <w:pPr>
              <w:jc w:val="right"/>
              <w:ind w:right="94"/>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BFE4FF"/>
          </w:tcPr>
          <w:p>
            <w:pPr>
              <w:jc w:val="right"/>
              <w:ind w:right="110"/>
              <w:spacing w:after="0"/>
              <w:rPr>
                <w:sz w:val="20"/>
                <w:szCs w:val="20"/>
                <w:color w:val="auto"/>
              </w:rPr>
            </w:pPr>
            <w:r>
              <w:rPr>
                <w:rFonts w:ascii="Arial" w:cs="Arial" w:eastAsia="Arial" w:hAnsi="Arial"/>
                <w:sz w:val="18"/>
                <w:szCs w:val="18"/>
                <w:color w:val="auto"/>
              </w:rPr>
              <w:t>50,000</w:t>
            </w:r>
          </w:p>
        </w:tc>
        <w:tc>
          <w:tcPr>
            <w:tcW w:w="380" w:type="dxa"/>
            <w:vAlign w:val="bottom"/>
            <w:shd w:val="clear" w:color="auto" w:fill="BFE4FF"/>
          </w:tcPr>
          <w:p>
            <w:pPr>
              <w:spacing w:after="0"/>
              <w:rPr>
                <w:sz w:val="11"/>
                <w:szCs w:val="11"/>
                <w:color w:val="auto"/>
              </w:rPr>
            </w:pPr>
          </w:p>
        </w:tc>
        <w:tc>
          <w:tcPr>
            <w:tcW w:w="156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40" w:type="dxa"/>
            <w:vAlign w:val="bottom"/>
            <w:tcBorders>
              <w:bottom w:val="single" w:sz="8" w:color="BFE4FF"/>
            </w:tcBorders>
            <w:vMerge w:val="continue"/>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vMerge w:val="continue"/>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820" w:type="dxa"/>
            <w:vAlign w:val="bottom"/>
            <w:tcBorders>
              <w:bottom w:val="single" w:sz="8" w:color="BFE4FF"/>
            </w:tcBorders>
            <w:vMerge w:val="continue"/>
            <w:shd w:val="clear" w:color="auto" w:fill="BFE4FF"/>
          </w:tcPr>
          <w:p>
            <w:pPr>
              <w:spacing w:after="0"/>
              <w:rPr>
                <w:sz w:val="12"/>
                <w:szCs w:val="12"/>
                <w:color w:val="auto"/>
              </w:rPr>
            </w:pPr>
          </w:p>
        </w:tc>
        <w:tc>
          <w:tcPr>
            <w:tcW w:w="960" w:type="dxa"/>
            <w:vAlign w:val="bottom"/>
            <w:tcBorders>
              <w:bottom w:val="single" w:sz="8" w:color="BFE4FF"/>
            </w:tcBorders>
            <w:vMerge w:val="continue"/>
            <w:shd w:val="clear" w:color="auto" w:fill="BFE4FF"/>
          </w:tcPr>
          <w:p>
            <w:pPr>
              <w:spacing w:after="0"/>
              <w:rPr>
                <w:sz w:val="12"/>
                <w:szCs w:val="12"/>
                <w:color w:val="auto"/>
              </w:rPr>
            </w:pPr>
          </w:p>
        </w:tc>
        <w:tc>
          <w:tcPr>
            <w:tcW w:w="380" w:type="dxa"/>
            <w:vAlign w:val="bottom"/>
            <w:tcBorders>
              <w:bottom w:val="single" w:sz="8" w:color="BFE4FF"/>
            </w:tcBorders>
            <w:shd w:val="clear" w:color="auto" w:fill="BFE4FF"/>
          </w:tcPr>
          <w:p>
            <w:pPr>
              <w:spacing w:after="0"/>
              <w:rPr>
                <w:sz w:val="12"/>
                <w:szCs w:val="12"/>
                <w:color w:val="auto"/>
              </w:rPr>
            </w:pPr>
          </w:p>
        </w:tc>
        <w:tc>
          <w:tcPr>
            <w:tcW w:w="1560" w:type="dxa"/>
            <w:vAlign w:val="bottom"/>
            <w:tcBorders>
              <w:bottom w:val="single" w:sz="8" w:color="BFE4FF"/>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6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BFE4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BFE4FF"/>
          </w:tcPr>
          <w:p>
            <w:pPr>
              <w:spacing w:after="0"/>
              <w:rPr>
                <w:sz w:val="21"/>
                <w:szCs w:val="21"/>
                <w:color w:val="auto"/>
              </w:rPr>
            </w:pPr>
          </w:p>
        </w:tc>
        <w:tc>
          <w:tcPr>
            <w:tcW w:w="138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91"/>
              </w:rPr>
              <w:t>October 2, 2017</w:t>
            </w: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89"/>
              </w:rPr>
              <w:t>October 2, 2022</w:t>
            </w:r>
          </w:p>
        </w:tc>
        <w:tc>
          <w:tcPr>
            <w:tcW w:w="120" w:type="dxa"/>
            <w:vAlign w:val="bottom"/>
            <w:shd w:val="clear" w:color="auto" w:fill="BFE4FF"/>
          </w:tcPr>
          <w:p>
            <w:pPr>
              <w:spacing w:after="0"/>
              <w:rPr>
                <w:sz w:val="21"/>
                <w:szCs w:val="21"/>
                <w:color w:val="auto"/>
              </w:rPr>
            </w:pP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1.95%</w:t>
            </w:r>
          </w:p>
        </w:tc>
        <w:tc>
          <w:tcPr>
            <w:tcW w:w="120" w:type="dxa"/>
            <w:vAlign w:val="bottom"/>
            <w:shd w:val="clear" w:color="auto" w:fill="BFE4FF"/>
          </w:tcPr>
          <w:p>
            <w:pPr>
              <w:spacing w:after="0"/>
              <w:rPr>
                <w:sz w:val="21"/>
                <w:szCs w:val="21"/>
                <w:color w:val="auto"/>
              </w:rPr>
            </w:pPr>
          </w:p>
        </w:tc>
        <w:tc>
          <w:tcPr>
            <w:tcW w:w="820" w:type="dxa"/>
            <w:vAlign w:val="bottom"/>
            <w:shd w:val="clear" w:color="auto" w:fill="BFE4FF"/>
          </w:tcPr>
          <w:p>
            <w:pPr>
              <w:jc w:val="right"/>
              <w:ind w:right="94"/>
              <w:spacing w:after="0"/>
              <w:rPr>
                <w:sz w:val="20"/>
                <w:szCs w:val="20"/>
                <w:color w:val="auto"/>
              </w:rPr>
            </w:pPr>
            <w:r>
              <w:rPr>
                <w:rFonts w:ascii="Arial" w:cs="Arial" w:eastAsia="Arial" w:hAnsi="Arial"/>
                <w:sz w:val="18"/>
                <w:szCs w:val="18"/>
                <w:color w:val="auto"/>
              </w:rPr>
              <w:t>CHF</w:t>
            </w:r>
          </w:p>
        </w:tc>
        <w:tc>
          <w:tcPr>
            <w:tcW w:w="960" w:type="dxa"/>
            <w:vAlign w:val="bottom"/>
            <w:shd w:val="clear" w:color="auto" w:fill="BFE4FF"/>
          </w:tcPr>
          <w:p>
            <w:pPr>
              <w:jc w:val="right"/>
              <w:ind w:right="110"/>
              <w:spacing w:after="0"/>
              <w:rPr>
                <w:sz w:val="20"/>
                <w:szCs w:val="20"/>
                <w:color w:val="auto"/>
              </w:rPr>
            </w:pPr>
            <w:r>
              <w:rPr>
                <w:rFonts w:ascii="Arial" w:cs="Arial" w:eastAsia="Arial" w:hAnsi="Arial"/>
                <w:sz w:val="18"/>
                <w:szCs w:val="18"/>
                <w:color w:val="auto"/>
              </w:rPr>
              <w:t>145,598</w:t>
            </w:r>
          </w:p>
        </w:tc>
        <w:tc>
          <w:tcPr>
            <w:tcW w:w="380" w:type="dxa"/>
            <w:vAlign w:val="bottom"/>
            <w:shd w:val="clear" w:color="auto" w:fill="BFE4FF"/>
          </w:tcPr>
          <w:p>
            <w:pPr>
              <w:spacing w:after="0"/>
              <w:rPr>
                <w:sz w:val="21"/>
                <w:szCs w:val="21"/>
                <w:color w:val="auto"/>
              </w:rPr>
            </w:pPr>
          </w:p>
        </w:tc>
        <w:tc>
          <w:tcPr>
            <w:tcW w:w="156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(7,091)</w:t>
            </w:r>
          </w:p>
        </w:tc>
        <w:tc>
          <w:tcPr>
            <w:tcW w:w="0" w:type="dxa"/>
            <w:vAlign w:val="bottom"/>
          </w:tcPr>
          <w:p>
            <w:pPr>
              <w:spacing w:after="0"/>
              <w:rPr>
                <w:sz w:val="1"/>
                <w:szCs w:val="1"/>
                <w:color w:val="auto"/>
              </w:rPr>
            </w:pPr>
          </w:p>
        </w:tc>
      </w:tr>
      <w:tr>
        <w:trPr>
          <w:trHeight w:val="135"/>
        </w:trPr>
        <w:tc>
          <w:tcPr>
            <w:tcW w:w="3440" w:type="dxa"/>
            <w:vAlign w:val="bottom"/>
            <w:vMerge w:val="restart"/>
            <w:shd w:val="clear" w:color="auto" w:fill="BFE4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BFE4FF"/>
          </w:tcPr>
          <w:p>
            <w:pPr>
              <w:spacing w:after="0"/>
              <w:rPr>
                <w:sz w:val="11"/>
                <w:szCs w:val="11"/>
                <w:color w:val="auto"/>
              </w:rPr>
            </w:pPr>
          </w:p>
        </w:tc>
        <w:tc>
          <w:tcPr>
            <w:tcW w:w="1380" w:type="dxa"/>
            <w:vAlign w:val="bottom"/>
            <w:gridSpan w:val="2"/>
            <w:vMerge w:val="continue"/>
            <w:shd w:val="clear" w:color="auto" w:fill="BFE4FF"/>
          </w:tcPr>
          <w:p>
            <w:pPr>
              <w:spacing w:after="0"/>
              <w:rPr>
                <w:sz w:val="11"/>
                <w:szCs w:val="11"/>
                <w:color w:val="auto"/>
              </w:rPr>
            </w:pPr>
          </w:p>
        </w:tc>
        <w:tc>
          <w:tcPr>
            <w:tcW w:w="1260" w:type="dxa"/>
            <w:vAlign w:val="bottom"/>
            <w:vMerge w:val="continue"/>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4.52%</w:t>
            </w:r>
          </w:p>
        </w:tc>
        <w:tc>
          <w:tcPr>
            <w:tcW w:w="120" w:type="dxa"/>
            <w:vAlign w:val="bottom"/>
            <w:shd w:val="clear" w:color="auto" w:fill="BFE4FF"/>
          </w:tcPr>
          <w:p>
            <w:pPr>
              <w:spacing w:after="0"/>
              <w:rPr>
                <w:sz w:val="11"/>
                <w:szCs w:val="11"/>
                <w:color w:val="auto"/>
              </w:rPr>
            </w:pPr>
          </w:p>
        </w:tc>
        <w:tc>
          <w:tcPr>
            <w:tcW w:w="820" w:type="dxa"/>
            <w:vAlign w:val="bottom"/>
            <w:vMerge w:val="restart"/>
            <w:shd w:val="clear" w:color="auto" w:fill="BFE4FF"/>
          </w:tcPr>
          <w:p>
            <w:pPr>
              <w:jc w:val="right"/>
              <w:ind w:right="94"/>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BFE4FF"/>
          </w:tcPr>
          <w:p>
            <w:pPr>
              <w:jc w:val="right"/>
              <w:ind w:right="110"/>
              <w:spacing w:after="0"/>
              <w:rPr>
                <w:sz w:val="20"/>
                <w:szCs w:val="20"/>
                <w:color w:val="auto"/>
              </w:rPr>
            </w:pPr>
            <w:r>
              <w:rPr>
                <w:rFonts w:ascii="Arial" w:cs="Arial" w:eastAsia="Arial" w:hAnsi="Arial"/>
                <w:sz w:val="18"/>
                <w:szCs w:val="18"/>
                <w:color w:val="auto"/>
              </w:rPr>
              <w:t>150,000</w:t>
            </w:r>
          </w:p>
        </w:tc>
        <w:tc>
          <w:tcPr>
            <w:tcW w:w="380" w:type="dxa"/>
            <w:vAlign w:val="bottom"/>
            <w:shd w:val="clear" w:color="auto" w:fill="BFE4FF"/>
          </w:tcPr>
          <w:p>
            <w:pPr>
              <w:spacing w:after="0"/>
              <w:rPr>
                <w:sz w:val="11"/>
                <w:szCs w:val="11"/>
                <w:color w:val="auto"/>
              </w:rPr>
            </w:pPr>
          </w:p>
        </w:tc>
        <w:tc>
          <w:tcPr>
            <w:tcW w:w="156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40" w:type="dxa"/>
            <w:vAlign w:val="bottom"/>
            <w:tcBorders>
              <w:bottom w:val="single" w:sz="8" w:color="BFE4FF"/>
            </w:tcBorders>
            <w:vMerge w:val="continue"/>
            <w:shd w:val="clear" w:color="auto" w:fill="BFE4FF"/>
          </w:tcPr>
          <w:p>
            <w:pPr>
              <w:spacing w:after="0"/>
              <w:rPr>
                <w:sz w:val="14"/>
                <w:szCs w:val="14"/>
                <w:color w:val="auto"/>
              </w:rPr>
            </w:pPr>
          </w:p>
        </w:tc>
        <w:tc>
          <w:tcPr>
            <w:tcW w:w="120" w:type="dxa"/>
            <w:vAlign w:val="bottom"/>
            <w:tcBorders>
              <w:bottom w:val="single" w:sz="8" w:color="BFE4FF"/>
            </w:tcBorders>
            <w:shd w:val="clear" w:color="auto" w:fill="BFE4FF"/>
          </w:tcPr>
          <w:p>
            <w:pPr>
              <w:spacing w:after="0"/>
              <w:rPr>
                <w:sz w:val="14"/>
                <w:szCs w:val="14"/>
                <w:color w:val="auto"/>
              </w:rPr>
            </w:pPr>
          </w:p>
        </w:tc>
        <w:tc>
          <w:tcPr>
            <w:tcW w:w="1260" w:type="dxa"/>
            <w:vAlign w:val="bottom"/>
            <w:tcBorders>
              <w:bottom w:val="single" w:sz="8" w:color="BFE4FF"/>
            </w:tcBorders>
            <w:shd w:val="clear" w:color="auto" w:fill="BFE4FF"/>
          </w:tcPr>
          <w:p>
            <w:pPr>
              <w:spacing w:after="0"/>
              <w:rPr>
                <w:sz w:val="14"/>
                <w:szCs w:val="14"/>
                <w:color w:val="auto"/>
              </w:rPr>
            </w:pPr>
          </w:p>
        </w:tc>
        <w:tc>
          <w:tcPr>
            <w:tcW w:w="120" w:type="dxa"/>
            <w:vAlign w:val="bottom"/>
            <w:tcBorders>
              <w:bottom w:val="single" w:sz="8" w:color="BFE4FF"/>
            </w:tcBorders>
            <w:shd w:val="clear" w:color="auto" w:fill="BFE4FF"/>
          </w:tcPr>
          <w:p>
            <w:pPr>
              <w:spacing w:after="0"/>
              <w:rPr>
                <w:sz w:val="14"/>
                <w:szCs w:val="14"/>
                <w:color w:val="auto"/>
              </w:rPr>
            </w:pPr>
          </w:p>
        </w:tc>
        <w:tc>
          <w:tcPr>
            <w:tcW w:w="1260" w:type="dxa"/>
            <w:vAlign w:val="bottom"/>
            <w:tcBorders>
              <w:bottom w:val="single" w:sz="8" w:color="BFE4FF"/>
            </w:tcBorders>
            <w:shd w:val="clear" w:color="auto" w:fill="BFE4FF"/>
          </w:tcPr>
          <w:p>
            <w:pPr>
              <w:spacing w:after="0"/>
              <w:rPr>
                <w:sz w:val="14"/>
                <w:szCs w:val="14"/>
                <w:color w:val="auto"/>
              </w:rPr>
            </w:pPr>
          </w:p>
        </w:tc>
        <w:tc>
          <w:tcPr>
            <w:tcW w:w="120" w:type="dxa"/>
            <w:vAlign w:val="bottom"/>
            <w:tcBorders>
              <w:bottom w:val="single" w:sz="8" w:color="BFE4FF"/>
            </w:tcBorders>
            <w:shd w:val="clear" w:color="auto" w:fill="BFE4FF"/>
          </w:tcPr>
          <w:p>
            <w:pPr>
              <w:spacing w:after="0"/>
              <w:rPr>
                <w:sz w:val="14"/>
                <w:szCs w:val="14"/>
                <w:color w:val="auto"/>
              </w:rPr>
            </w:pPr>
          </w:p>
        </w:tc>
        <w:tc>
          <w:tcPr>
            <w:tcW w:w="1260" w:type="dxa"/>
            <w:vAlign w:val="bottom"/>
            <w:tcBorders>
              <w:bottom w:val="single" w:sz="8" w:color="BFE4FF"/>
            </w:tcBorders>
            <w:vMerge w:val="continue"/>
            <w:shd w:val="clear" w:color="auto" w:fill="BFE4FF"/>
          </w:tcPr>
          <w:p>
            <w:pPr>
              <w:spacing w:after="0"/>
              <w:rPr>
                <w:sz w:val="14"/>
                <w:szCs w:val="14"/>
                <w:color w:val="auto"/>
              </w:rPr>
            </w:pPr>
          </w:p>
        </w:tc>
        <w:tc>
          <w:tcPr>
            <w:tcW w:w="120" w:type="dxa"/>
            <w:vAlign w:val="bottom"/>
            <w:tcBorders>
              <w:bottom w:val="single" w:sz="8" w:color="BFE4FF"/>
            </w:tcBorders>
            <w:shd w:val="clear" w:color="auto" w:fill="BFE4FF"/>
          </w:tcPr>
          <w:p>
            <w:pPr>
              <w:spacing w:after="0"/>
              <w:rPr>
                <w:sz w:val="14"/>
                <w:szCs w:val="14"/>
                <w:color w:val="auto"/>
              </w:rPr>
            </w:pPr>
          </w:p>
        </w:tc>
        <w:tc>
          <w:tcPr>
            <w:tcW w:w="820" w:type="dxa"/>
            <w:vAlign w:val="bottom"/>
            <w:tcBorders>
              <w:bottom w:val="single" w:sz="8" w:color="BFE4FF"/>
            </w:tcBorders>
            <w:vMerge w:val="continue"/>
            <w:shd w:val="clear" w:color="auto" w:fill="BFE4FF"/>
          </w:tcPr>
          <w:p>
            <w:pPr>
              <w:spacing w:after="0"/>
              <w:rPr>
                <w:sz w:val="14"/>
                <w:szCs w:val="14"/>
                <w:color w:val="auto"/>
              </w:rPr>
            </w:pPr>
          </w:p>
        </w:tc>
        <w:tc>
          <w:tcPr>
            <w:tcW w:w="960" w:type="dxa"/>
            <w:vAlign w:val="bottom"/>
            <w:tcBorders>
              <w:bottom w:val="single" w:sz="8" w:color="BFE4FF"/>
            </w:tcBorders>
            <w:vMerge w:val="continue"/>
            <w:shd w:val="clear" w:color="auto" w:fill="BFE4FF"/>
          </w:tcPr>
          <w:p>
            <w:pPr>
              <w:spacing w:after="0"/>
              <w:rPr>
                <w:sz w:val="14"/>
                <w:szCs w:val="14"/>
                <w:color w:val="auto"/>
              </w:rPr>
            </w:pPr>
          </w:p>
        </w:tc>
        <w:tc>
          <w:tcPr>
            <w:tcW w:w="380" w:type="dxa"/>
            <w:vAlign w:val="bottom"/>
            <w:tcBorders>
              <w:bottom w:val="single" w:sz="8" w:color="BFE4FF"/>
            </w:tcBorders>
            <w:shd w:val="clear" w:color="auto" w:fill="BFE4FF"/>
          </w:tcPr>
          <w:p>
            <w:pPr>
              <w:spacing w:after="0"/>
              <w:rPr>
                <w:sz w:val="14"/>
                <w:szCs w:val="14"/>
                <w:color w:val="auto"/>
              </w:rPr>
            </w:pPr>
          </w:p>
        </w:tc>
        <w:tc>
          <w:tcPr>
            <w:tcW w:w="1560" w:type="dxa"/>
            <w:vAlign w:val="bottom"/>
            <w:tcBorders>
              <w:bottom w:val="single" w:sz="8" w:color="BFE4FF"/>
            </w:tcBorders>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26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26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82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(12,908)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cross-currency swaps were carried on the consolidated balance sheet at fair value, and changes in the fair values were recorded as unrealized gains or losses in AOCI. For the three months ended March 31, 2018, the Company recorded a loss of $6.4 million in other income (expense), net related to change in fair value related to the foreign currency rate translation to offset the gains or losses recognized on the intercompany loans. For the three months ended March 31, 2018, the Company recorded a loss of $7.0 million in AOCI related to the change in fair value of the cross-currency swap and a gain of $1.9 million in other income, net included in the consolidated statements of operations related to the interest rate differential of the cross-currency swap. As of March 31, 2018, an estimated gain of $7.7 million is expected to be reclassified within the next twelve months to other income, net from AOCI. As of March 31, 2018, the Company does not expect any gains or losses will be reclassified into earnings as a result of the discontinuance of these cash flow hedges because the original forecasted transaction will not occur.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is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terms of the derivative instruments. The fair value of the foreign currency forward exchange contracts related to inventory purchases is determined by comparing the forward rate as of the end of the period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and presentation for derivatives designated as hedging instruments in the condensed consolidated balance sheets as of March 31, 2018 and December 31,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172"/>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22"/>
                <w:szCs w:val="22"/>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gridSpan w:val="4"/>
          </w:tcPr>
          <w:p>
            <w:pPr>
              <w:jc w:val="right"/>
              <w:ind w:right="121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Assets: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2,992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1,521</w:t>
            </w:r>
          </w:p>
        </w:tc>
      </w:tr>
      <w:tr>
        <w:trPr>
          <w:trHeight w:val="243"/>
        </w:trPr>
        <w:tc>
          <w:tcPr>
            <w:tcW w:w="7880" w:type="dxa"/>
            <w:vAlign w:val="bottom"/>
            <w:gridSpan w:val="2"/>
          </w:tcPr>
          <w:p>
            <w:pPr>
              <w:ind w:left="280"/>
              <w:spacing w:after="0"/>
              <w:rPr>
                <w:sz w:val="20"/>
                <w:szCs w:val="20"/>
                <w:color w:val="auto"/>
              </w:rPr>
            </w:pPr>
            <w:r>
              <w:rPr>
                <w:rFonts w:ascii="Arial" w:cs="Arial" w:eastAsia="Arial" w:hAnsi="Arial"/>
                <w:sz w:val="18"/>
                <w:szCs w:val="18"/>
                <w:color w:val="auto"/>
              </w:rPr>
              <w:t>Cross-currency swap</w:t>
            </w: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7,652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7,757</w:t>
            </w: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70"/>
        </w:trPr>
        <w:tc>
          <w:tcPr>
            <w:tcW w:w="788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13,647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2,491</w:t>
            </w:r>
          </w:p>
        </w:tc>
      </w:tr>
      <w:tr>
        <w:trPr>
          <w:trHeight w:val="270"/>
        </w:trPr>
        <w:tc>
          <w:tcPr>
            <w:tcW w:w="7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Cross-currency swap</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24,291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11,769</w:t>
            </w:r>
          </w:p>
        </w:tc>
      </w:tr>
      <w:tr>
        <w:trPr>
          <w:trHeight w:val="67"/>
        </w:trPr>
        <w:tc>
          <w:tcPr>
            <w:tcW w:w="77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78"/>
        </w:trPr>
        <w:tc>
          <w:tcPr>
            <w:tcW w:w="7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70"/>
        </w:trPr>
        <w:tc>
          <w:tcPr>
            <w:tcW w:w="788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1,845</w:t>
            </w:r>
          </w:p>
        </w:tc>
      </w:tr>
      <w:tr>
        <w:trPr>
          <w:trHeight w:val="250"/>
        </w:trPr>
        <w:tc>
          <w:tcPr>
            <w:tcW w:w="7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Cross-currency swap</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1,575</w:t>
            </w:r>
          </w:p>
        </w:tc>
      </w:tr>
      <w:tr>
        <w:trPr>
          <w:trHeight w:val="243"/>
        </w:trPr>
        <w:tc>
          <w:tcPr>
            <w:tcW w:w="7880" w:type="dxa"/>
            <w:vAlign w:val="bottom"/>
            <w:gridSpan w:val="2"/>
          </w:tcPr>
          <w:p>
            <w:pPr>
              <w:ind w:left="280"/>
              <w:spacing w:after="0"/>
              <w:rPr>
                <w:sz w:val="20"/>
                <w:szCs w:val="20"/>
                <w:color w:val="auto"/>
              </w:rPr>
            </w:pPr>
            <w:r>
              <w:rPr>
                <w:rFonts w:ascii="Arial" w:cs="Arial" w:eastAsia="Arial" w:hAnsi="Arial"/>
                <w:sz w:val="18"/>
                <w:szCs w:val="18"/>
                <w:color w:val="auto"/>
              </w:rPr>
              <w:t>Cross-currency swap</w:t>
            </w: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20,560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11,714</w:t>
            </w:r>
          </w:p>
        </w:tc>
      </w:tr>
      <w:tr>
        <w:trPr>
          <w:trHeight w:val="27"/>
        </w:trPr>
        <w:tc>
          <w:tcPr>
            <w:tcW w:w="7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15,134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 Company classifies derivative assets and liabilities as non-current based on the cash flows expected to be incurred within the following 12 months.</w:t>
      </w:r>
    </w:p>
    <w:p>
      <w:pPr>
        <w:spacing w:after="0" w:line="1" w:lineRule="exact"/>
        <w:rPr>
          <w:rFonts w:ascii="Arial" w:cs="Arial" w:eastAsia="Arial" w:hAnsi="Arial"/>
          <w:sz w:val="22"/>
          <w:szCs w:val="22"/>
          <w:color w:val="auto"/>
          <w:vertAlign w:val="superscript"/>
        </w:rPr>
      </w:pPr>
    </w:p>
    <w:p>
      <w:pPr>
        <w:ind w:left="340" w:hanging="332"/>
        <w:spacing w:after="0" w:line="208"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At March 31, 2018 and December 31, 2017, the notional amount related to the Company’s interest rate swaps was $1.05 billion. There is no expected reduction in this notional amount in the next twelve months.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 of operations during the three months ended March 31, 2018 and 2017:</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Balance in AOCI</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of Gain (Loss)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Gain (Loss)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3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9"/>
              </w:rPr>
              <w:t>Balance in AOCI</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 into</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60" w:type="dxa"/>
            <w:vAlign w:val="bottom"/>
          </w:tcPr>
          <w:p>
            <w:pPr>
              <w:jc w:val="center"/>
              <w:ind w:left="19"/>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AOCI</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End of Quarter</w:t>
            </w:r>
          </w:p>
        </w:tc>
        <w:tc>
          <w:tcPr>
            <w:tcW w:w="226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60"/>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14,940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16,188</w:t>
            </w:r>
          </w:p>
        </w:tc>
        <w:tc>
          <w:tcPr>
            <w:tcW w:w="22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7,913</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8,511</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8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26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2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1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22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2,479</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2,479</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2018, the Company expects $10.2 million of pre-tax income recorded in AOCI related to cash flow hedges to be reclassified to earnings in the next twelve months.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2018, the Company had stock options, restricted stock awards, performance stock units, contract stock awards and restricted stock unit awards outstanding under two plans,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Stock options issued under the Plans become exercisable over specified periods, generally within three to four years from the date of grant for officers and employees, and within a year from date of grant for directors and generally expire eight years from the grant date for employees, and from eight to ten years for directors and certain executive officers. Restricted stock issued under the Plans vests over specified periods, generally three years after the date of grant. The vesting of performance stock issued under the Plans is subject to service and performance conditions.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2018, there were approximately $6.3 million of total unrecognized compensation costs related to unvested stock options. These costs are expected to be recognized over a weighted-average period of approximately three years. There were 139,938 stock options granted during the three months ended March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and Performance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Performance stock and restricted stock awards generally have requisite service periods of three years. Performance stock units are subject to graded vesting conditions, and the Company expenses their fair value over the requisite service period. The Company expenses the fair value of restricted stock awards on a straight-line basis over the requisite service period. As of March 31, 2018, there were approximately $33.3 million of total unrecognized compensation costs related to these unvested awards. The Company expects to recognize these costs over a weighted-average period of approximately two years. The Company granted 223,571 restricted stock awards and 119,459 performance stock during the three months ended March 31,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stock for the purpose of satisfying stock-based compensation obligations.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DEFINED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defined benefit pension plans that cover certain employees in Austria, France, Japan, Germany and Switzerland.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periodic benefit costs for the Company’s defined benefit pension plans for the three months ended March 31, 2018 were $0.6 million. The components of the net periodic benefit costs other than the service cost component of $0.7 million are included in other income (expense), net in consolidated statements of operation.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previously disclosed in its consolidated financial statements for the year ended December 31, 2017 that it expected to contribute $1.8 million to its defined benefit pension plans in 2018. For the three months ended March 31, 2018, the Company contributed $0.5 million to the defined benefit plans. As of March 31, 2018, the Company anticipates contributing an additional $1.4 million to defined benefit plans in 2018, for a total of $1.9 million.</w:t>
      </w:r>
    </w:p>
    <w:p>
      <w:pPr>
        <w:spacing w:after="0" w:line="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values of plan assets were $29.3 million and $26.9 million as of March 31, 2018 and December 31, 2017, respectively. The net plan assets of the pension plans are invested in common trusts as of March 31, 2018 and December 31, 2017.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25, 2016, the Board of Directors terminated its October 2014 authorization for the repurchase of its outstanding common stock and authorized management to repurchase up to $150.0 million of its outstanding common stock through December 31, 2018. Shares may be repurchased either in the open market or in privately negotiated transactions. As of March 31, 2018, there remained $150.0 million available for repurchase under this authorization.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and December 31, 2017, there were 2.9 million shares of treasury stock outstanding with a cost of $120.7 million and $121.6 million, respectively, at a weighted average of $41.77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treasury stock repurchases during the three months ended March 31, 2018 or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163"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23495</wp:posOffset>
            </wp:positionV>
            <wp:extent cx="250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jc w:val="right"/>
              <w:ind w:right="739"/>
              <w:spacing w:after="0"/>
              <w:rPr>
                <w:sz w:val="20"/>
                <w:szCs w:val="20"/>
                <w:color w:val="auto"/>
              </w:rPr>
            </w:pPr>
            <w:r>
              <w:rPr>
                <w:rFonts w:ascii="Arial" w:cs="Arial" w:eastAsia="Arial" w:hAnsi="Arial"/>
                <w:sz w:val="14"/>
                <w:szCs w:val="14"/>
                <w:b w:val="1"/>
                <w:bCs w:val="1"/>
                <w:color w:val="auto"/>
              </w:rPr>
              <w:t>2017</w:t>
            </w:r>
          </w:p>
        </w:tc>
      </w:tr>
      <w:tr>
        <w:trPr>
          <w:trHeight w:val="275"/>
        </w:trPr>
        <w:tc>
          <w:tcPr>
            <w:tcW w:w="7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effective income tax rates for the three months ended March 31, 2018 and 2017 were (20.4)% and (34.8)%, respectively. For the three months ended March 31, 2018, the primary drivers of the change in rate are higher income before income taxes compared to the same period in 2017 and the inclusion of the new GILTI (as defined below) provisions of $0.7 million and other tax reform-related changes offset by the reduction in the federal statutory rate from 35% to 21%. The tax benefit recorded this quarter is primarily driven by excess tax benefits from share-based compensation for the three months ended March 31, 2018 and 2017, which were $2.8 million and $2.7 million, respectively. These excess tax benefits from share-based compensation reduced the effective tax rate by 30.9% and 57.7% for the three months ended March 31, 2018 and 2017, respectively.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Tax Cuts and Jobs Act (the "2017 Tax Act"), enacted in December 2017, made significant changes to the previous tax laws. Included among the numerous changes are a reduction of the federal statutory rate from 35% to 21%, limitations on the deductibility of interest expense and executive compensation, and the elimination of certain domestic tax deductions such as the domestic production activities deduction. Additionally, the 2017 Tax Act provides for a one-time repatriation tax on accumulated foreign subsidiaries’ untaxed foreign earnings (the “Toll Tax”).</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Tax Act implements a territorial tax system and includes base erosion provisions on non-U.S. earnings, which subjects certain foreign earnings to additional taxation as global intangible low-taxed income (“GILTI”). These provisions became effective on January 1, 2018. As of March 31, 2018, the Company included GILTI related to current-year operations in its estimated annual effective tax rate but has not yet included additional GILTI on deferred tax items.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2017 Tax Act eliminated the deferral of U.S. income tax on unrepatriated earnings from foreign subsidiaries through the imposition of the Toll Tax, a one-time tax in 2017 on deemed repatriated foreign earnings, which is paid over an eight-year period. The tax is assessed on the foreign subsidiary accumulated foreign earnings that were not previously taxed. Foreign earnings in cash and cash equivalents are taxed at 15.5% and all other earnings are taxed at 8.0%. The calculation of the Toll Tax allows for the ability to offset positive foreign earnings with existing foreign deficits and use of foreign tax credits. The Company prepared a reasonable estimate of this tax and expects to continue to refine the estimate as it finalizes its 2017 tax returns. As of December 31, 2017, we recorded an estimated income tax expense of $5.5 million related to the Toll Tax, of which, $0.4 million is expected to be paid within one year. The Company continued to analyze its foreign earnings and profits (“E&amp;P”) during the three months ended March 31, 2018 and has not made any adjustments to the provisional amounts recognized during 2017. The Company will continue to refine its E&amp;P analysis, which may affect the measurement of the Toll Tax liability.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2017 Tax Act’s reduction of the federal statutory rate from 35% to 21%, the Company remeasured deferred tax assets and liability and recorded a tax benefit of $43.4 million as of December 31, 2017. The Company did not record any adjustments to this provisional amount during the three months ended March 31, 2018 and will continue to analyze and refine its calculations related to the remeasurement as the impact of the 2017 Tax Act is finalized.</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made reasonable estimates of the impact of the 2017 Tax Act on its consolidated financial statements as of December 31, 2017 and recognized the provisional tax impacts related to the deemed repatriated earnings and the revaluation of deferred tax assets and liabilities and included these amounts in its consolidated financial statements for the twelve months ended December 31, 2017. The ultimate impact may differ from these provisional amounts, possibly materially, due to, among other things, additional analysis, changes in interpretations and assumptions the Company has made, additional regulatory guidance that may be issued, and actions the Company may take as a result of the 2017 Tax 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r>
      <w:tr>
        <w:trPr>
          <w:trHeight w:val="352"/>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760" w:type="dxa"/>
            <w:vAlign w:val="bottom"/>
            <w:gridSpan w:val="5"/>
          </w:tcPr>
          <w:p>
            <w:pPr>
              <w:jc w:val="right"/>
              <w:ind w:right="510"/>
              <w:spacing w:after="0"/>
              <w:rPr>
                <w:sz w:val="20"/>
                <w:szCs w:val="20"/>
                <w:color w:val="auto"/>
              </w:rPr>
            </w:pPr>
            <w:r>
              <w:rPr>
                <w:rFonts w:ascii="Arial" w:cs="Arial" w:eastAsia="Arial" w:hAnsi="Arial"/>
                <w:sz w:val="14"/>
                <w:szCs w:val="14"/>
                <w:b w:val="1"/>
                <w:bCs w:val="1"/>
                <w:color w:val="auto"/>
              </w:rPr>
              <w:t>(In thousands, except per share amounts)</w:t>
            </w:r>
          </w:p>
        </w:tc>
      </w:tr>
      <w:tr>
        <w:trPr>
          <w:trHeight w:val="215"/>
        </w:trPr>
        <w:tc>
          <w:tcPr>
            <w:tcW w:w="766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per share:</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CEEFF"/>
            </w:tcBorders>
            <w:shd w:val="clear" w:color="auto" w:fill="CCEEFF"/>
          </w:tcPr>
          <w:p>
            <w:pPr>
              <w:jc w:val="right"/>
              <w:ind w:right="93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6,394</w:t>
            </w: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78,552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74,765</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1140" w:type="dxa"/>
            <w:vAlign w:val="bottom"/>
            <w:tcBorders>
              <w:bottom w:val="single" w:sz="8" w:color="CCEEFF"/>
            </w:tcBorders>
            <w:shd w:val="clear" w:color="auto" w:fill="CCEEFF"/>
          </w:tcPr>
          <w:p>
            <w:pPr>
              <w:jc w:val="right"/>
              <w:ind w:right="93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r>
      <w:tr>
        <w:trPr>
          <w:trHeight w:val="33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76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5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938"/>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10,992</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6,394</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78,552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74,765</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rPr>
              <w:t>Warrants</w:t>
            </w:r>
          </w:p>
        </w:tc>
        <w:tc>
          <w:tcPr>
            <w:tcW w:w="1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2,139</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 options and restricted stock</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w:t>
            </w:r>
          </w:p>
        </w:tc>
      </w:tr>
      <w:tr>
        <w:trPr>
          <w:trHeight w:val="237"/>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79,834</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78,394</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Diluted net income per common share</w:t>
            </w:r>
          </w:p>
        </w:tc>
        <w:tc>
          <w:tcPr>
            <w:tcW w:w="1140" w:type="dxa"/>
            <w:vAlign w:val="bottom"/>
          </w:tcPr>
          <w:p>
            <w:pPr>
              <w:jc w:val="right"/>
              <w:ind w:right="938"/>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0.08</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Shares of common stock of approximately 0.2 million and 0.2 million at March 31, 2018 and 2017, respectively, that are issuable through the exercise of dilutive securities were not included in the computation of diluted net income per share because their effect would have been antidilutive.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issuance of the 1.625% Convertible Senior Notes due in 2016, which the Company extinguished on December 15, 2016, the Company entered into call transactions and warrant transactions with the affiliates of the initial purchasers of such notes. The warrants expired on a series of expiration dates from March 2017 to August 2017. For the year ended December 31, 2017, the hedge participants exercised 8,707,202 warrants. As a result, the Company issued 2,839,743 shares of common stock for the year ended December 31, 2017. The company has no outstanding warrants as of March 31, 2018.</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2017, the potential excess conversion value on warrants was included in the Company's dilutive share calculation because the average stock price for the three months ended March 31, 2017 exceeded the conversion price.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Restricted and performance units that entitle the holders to approximately 0.5 million shares of common stock are included in the basic and diluted weighted average shares outstanding calculation because no further consideration is due related to the issuance of the underlying common shares.</w:t>
      </w:r>
    </w:p>
    <w:p>
      <w:pPr>
        <w:spacing w:after="0" w:line="143" w:lineRule="exact"/>
        <w:rPr>
          <w:sz w:val="20"/>
          <w:szCs w:val="20"/>
          <w:color w:val="auto"/>
        </w:rPr>
      </w:pPr>
    </w:p>
    <w:p>
      <w:pPr>
        <w:ind w:right="8560" w:firstLine="8"/>
        <w:spacing w:after="0" w:line="453" w:lineRule="auto"/>
        <w:tabs>
          <w:tab w:leader="none" w:pos="27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INCOME </w:t>
      </w:r>
      <w:r>
        <w:rPr>
          <w:rFonts w:ascii="Arial" w:cs="Arial" w:eastAsia="Arial" w:hAnsi="Arial"/>
          <w:sz w:val="16"/>
          <w:szCs w:val="16"/>
          <w:color w:val="auto"/>
        </w:rPr>
        <w:t>Comprehensive income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r>
      <w:tr>
        <w:trPr>
          <w:trHeight w:val="190"/>
        </w:trPr>
        <w:tc>
          <w:tcPr>
            <w:tcW w:w="7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4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6"/>
                <w:szCs w:val="16"/>
                <w:color w:val="auto"/>
              </w:rPr>
            </w:pPr>
          </w:p>
        </w:tc>
      </w:tr>
      <w:tr>
        <w:trPr>
          <w:trHeight w:val="255"/>
        </w:trPr>
        <w:tc>
          <w:tcPr>
            <w:tcW w:w="7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10,992</w:t>
            </w:r>
          </w:p>
        </w:tc>
        <w:tc>
          <w:tcPr>
            <w:tcW w:w="120" w:type="dxa"/>
            <w:vAlign w:val="bottom"/>
          </w:tcPr>
          <w:p>
            <w:pPr>
              <w:spacing w:after="0"/>
              <w:rPr>
                <w:sz w:val="22"/>
                <w:szCs w:val="22"/>
                <w:color w:val="auto"/>
              </w:rPr>
            </w:pP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6,394</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Change in unrealized gain on derivatives, net of tax</w:t>
            </w:r>
          </w:p>
        </w:tc>
        <w:tc>
          <w:tcPr>
            <w:tcW w:w="11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7,838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347</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short-term investments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net</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32,604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Changes in Accumulated Other Comprehensive Income by component between December 31, 2017 and March 31, 2018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Cash Flow Hedges</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30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Pension Items</w:t>
            </w: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6"/>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(23,807)</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Reclassification of stranded tax effect</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(23,275)</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13,780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21,612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2018, the Company reclassified $0.5 million and $3.4 million of loss from AOCI to interest expense and other income (expenses), net,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2018, income tax benefit related to comprehensive losses from cash flow hedges was $1.2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GEOGRAPHIC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October 2017, as part of our branding strategy, the Company leveraged the globally recognized Codman name by rebranding the Specialty Surgical Solutions segment as Codman Specialty Surgical.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internally manages two global reportable segments and reports the results of its businesses to its chief operating decision maker. The two reportable segments and their activities are described below.</w:t>
      </w:r>
    </w:p>
    <w:p>
      <w:pPr>
        <w:spacing w:after="0" w:line="8"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precision tools and instruments business, which sells more than 60,000 instrument patterns and surgical and lighting products to hospitals, surgery centers, and dental, podiatry, and veterinary offices.</w:t>
      </w:r>
    </w:p>
    <w:p>
      <w:pPr>
        <w:spacing w:after="0" w:line="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three months ended March 31, 2018 and 2017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r>
      <w:tr>
        <w:trPr>
          <w:trHeight w:val="250"/>
        </w:trPr>
        <w:tc>
          <w:tcPr>
            <w:tcW w:w="7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92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r>
      <w:tr>
        <w:trPr>
          <w:trHeight w:val="256"/>
        </w:trPr>
        <w:tc>
          <w:tcPr>
            <w:tcW w:w="76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1100" w:type="dxa"/>
            <w:vAlign w:val="bottom"/>
            <w:tcBorders>
              <w:bottom w:val="single" w:sz="8" w:color="BFE4FF"/>
            </w:tcBorders>
            <w:shd w:val="clear" w:color="auto" w:fill="BFE4FF"/>
          </w:tcPr>
          <w:p>
            <w:pPr>
              <w:spacing w:after="0"/>
              <w:rPr>
                <w:sz w:val="22"/>
                <w:szCs w:val="22"/>
                <w:color w:val="auto"/>
              </w:rPr>
            </w:pPr>
          </w:p>
        </w:tc>
        <w:tc>
          <w:tcPr>
            <w:tcW w:w="72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spacing w:after="0"/>
              <w:rPr>
                <w:sz w:val="22"/>
                <w:szCs w:val="22"/>
                <w:color w:val="auto"/>
              </w:rPr>
            </w:pPr>
          </w:p>
        </w:tc>
        <w:tc>
          <w:tcPr>
            <w:tcW w:w="740" w:type="dxa"/>
            <w:vAlign w:val="bottom"/>
            <w:tcBorders>
              <w:bottom w:val="single" w:sz="8" w:color="BFE4FF"/>
            </w:tcBorders>
            <w:shd w:val="clear" w:color="auto" w:fill="BFE4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236,115</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156,290</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6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100" w:type="dxa"/>
            <w:vAlign w:val="bottom"/>
            <w:tcBorders>
              <w:bottom w:val="single" w:sz="8" w:color="BFE4FF"/>
            </w:tcBorders>
            <w:shd w:val="clear" w:color="auto" w:fill="BFE4FF"/>
          </w:tcPr>
          <w:p>
            <w:pPr>
              <w:spacing w:after="0"/>
              <w:rPr>
                <w:sz w:val="23"/>
                <w:szCs w:val="23"/>
                <w:color w:val="auto"/>
              </w:rPr>
            </w:pPr>
          </w:p>
        </w:tc>
        <w:tc>
          <w:tcPr>
            <w:tcW w:w="7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w w:val="92"/>
              </w:rPr>
              <w:t>120,967</w:t>
            </w:r>
          </w:p>
        </w:tc>
        <w:tc>
          <w:tcPr>
            <w:tcW w:w="12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5"/>
              </w:rPr>
              <w:t>102,346</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2"/>
              </w:rPr>
              <w:t>357,082</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258,636</w:t>
            </w:r>
          </w:p>
        </w:tc>
      </w:tr>
      <w:tr>
        <w:trPr>
          <w:trHeight w:val="67"/>
        </w:trPr>
        <w:tc>
          <w:tcPr>
            <w:tcW w:w="7660" w:type="dxa"/>
            <w:vAlign w:val="bottom"/>
            <w:tcBorders>
              <w:bottom w:val="single" w:sz="8" w:color="BFE4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BFE4FF"/>
            </w:tcBorders>
            <w:shd w:val="clear" w:color="auto" w:fill="BFE4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1100" w:type="dxa"/>
            <w:vAlign w:val="bottom"/>
            <w:tcBorders>
              <w:bottom w:val="single" w:sz="8" w:color="BFE4FF"/>
            </w:tcBorders>
            <w:shd w:val="clear" w:color="auto" w:fill="BFE4FF"/>
          </w:tcPr>
          <w:p>
            <w:pPr>
              <w:spacing w:after="0"/>
              <w:rPr>
                <w:sz w:val="20"/>
                <w:szCs w:val="20"/>
                <w:color w:val="auto"/>
              </w:rPr>
            </w:pPr>
          </w:p>
        </w:tc>
        <w:tc>
          <w:tcPr>
            <w:tcW w:w="72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080" w:type="dxa"/>
            <w:vAlign w:val="bottom"/>
            <w:tcBorders>
              <w:bottom w:val="single" w:sz="8" w:color="BFE4FF"/>
            </w:tcBorders>
            <w:shd w:val="clear" w:color="auto" w:fill="BFE4FF"/>
          </w:tcPr>
          <w:p>
            <w:pPr>
              <w:spacing w:after="0"/>
              <w:rPr>
                <w:sz w:val="20"/>
                <w:szCs w:val="20"/>
                <w:color w:val="auto"/>
              </w:rPr>
            </w:pPr>
          </w:p>
        </w:tc>
        <w:tc>
          <w:tcPr>
            <w:tcW w:w="740" w:type="dxa"/>
            <w:vAlign w:val="bottom"/>
            <w:tcBorders>
              <w:bottom w:val="single" w:sz="8" w:color="BFE4FF"/>
            </w:tcBorders>
            <w:shd w:val="clear" w:color="auto" w:fill="BFE4FF"/>
          </w:tcPr>
          <w:p>
            <w:pPr>
              <w:spacing w:after="0"/>
              <w:rPr>
                <w:sz w:val="20"/>
                <w:szCs w:val="20"/>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89,491</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62,703</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6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100" w:type="dxa"/>
            <w:vAlign w:val="bottom"/>
            <w:tcBorders>
              <w:bottom w:val="single" w:sz="8" w:color="BFE4FF"/>
            </w:tcBorders>
            <w:shd w:val="clear" w:color="auto" w:fill="BFE4FF"/>
          </w:tcPr>
          <w:p>
            <w:pPr>
              <w:spacing w:after="0"/>
              <w:rPr>
                <w:sz w:val="23"/>
                <w:szCs w:val="23"/>
                <w:color w:val="auto"/>
              </w:rPr>
            </w:pPr>
          </w:p>
        </w:tc>
        <w:tc>
          <w:tcPr>
            <w:tcW w:w="7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32,438</w:t>
            </w:r>
          </w:p>
        </w:tc>
        <w:tc>
          <w:tcPr>
            <w:tcW w:w="12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27,079</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2"/>
              </w:rPr>
              <w:t>121,929</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89,782</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Amortization</w:t>
            </w:r>
          </w:p>
        </w:tc>
        <w:tc>
          <w:tcPr>
            <w:tcW w:w="1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(5,390)</w:t>
            </w:r>
          </w:p>
        </w:tc>
        <w:tc>
          <w:tcPr>
            <w:tcW w:w="12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(4,101)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(90,960)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(75,722)</w:t>
            </w:r>
          </w:p>
        </w:tc>
      </w:tr>
      <w:tr>
        <w:trPr>
          <w:trHeight w:val="27"/>
        </w:trPr>
        <w:tc>
          <w:tcPr>
            <w:tcW w:w="7660" w:type="dxa"/>
            <w:vAlign w:val="bottom"/>
            <w:tcBorders>
              <w:bottom w:val="single" w:sz="8" w:color="BFE4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BFE4FF"/>
            </w:tcBorders>
            <w:shd w:val="clear" w:color="auto" w:fill="BFE4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25,579</w:t>
            </w:r>
          </w:p>
        </w:tc>
        <w:tc>
          <w:tcPr>
            <w:tcW w:w="12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9,959</w:t>
            </w:r>
          </w:p>
        </w:tc>
      </w:tr>
      <w:tr>
        <w:trPr>
          <w:trHeight w:val="20"/>
        </w:trPr>
        <w:tc>
          <w:tcPr>
            <w:tcW w:w="7660" w:type="dxa"/>
            <w:vAlign w:val="bottom"/>
            <w:tcBorders>
              <w:top w:val="single" w:sz="8" w:color="BFE4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5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38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248,928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201,096</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Europe</w:t>
            </w:r>
          </w:p>
        </w:tc>
        <w:tc>
          <w:tcPr>
            <w:tcW w:w="4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51,773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28,816</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4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35,785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16,088</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4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20,596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12,636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538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357,082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258,636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1774"/>
              <w:spacing w:after="0"/>
              <w:rPr>
                <w:sz w:val="20"/>
                <w:szCs w:val="20"/>
                <w:color w:val="auto"/>
              </w:rPr>
            </w:pPr>
            <w:r>
              <w:rPr>
                <w:rFonts w:ascii="Arial" w:cs="Arial" w:eastAsia="Arial" w:hAnsi="Arial"/>
                <w:sz w:val="18"/>
                <w:szCs w:val="18"/>
                <w:color w:val="auto"/>
              </w:rPr>
              <w:t>24</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8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As of March 31, 2018, only ten active cases remained against TEI. Pursuant to an indemnification agreement with BSC (i) BSC is managing the litigation; and (ii) TEI has in place a product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 As of April 26, 2018, no indemnification payments were received nor owed in relation to the lawsuits.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three-month period ended March 31, 2018 and 2017 to reflect the change in estimate, additions, payments, transfers and the time value of money during the period.</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three months ended March 31, 2018 and 2017 is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Contingent</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Contingent Considerations Liabilities</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Liability Related to</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Acquisition of</w:t>
            </w:r>
          </w:p>
        </w:tc>
        <w:tc>
          <w:tcPr>
            <w:tcW w:w="120" w:type="dxa"/>
            <w:vAlign w:val="bottom"/>
          </w:tcPr>
          <w:p>
            <w:pPr>
              <w:spacing w:after="0"/>
              <w:rPr>
                <w:sz w:val="12"/>
                <w:szCs w:val="12"/>
                <w:color w:val="auto"/>
              </w:rPr>
            </w:pPr>
          </w:p>
        </w:tc>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vMerge w:val="restart"/>
          </w:tcPr>
          <w:p>
            <w:pPr>
              <w:spacing w:after="0"/>
              <w:rPr>
                <w:sz w:val="12"/>
                <w:szCs w:val="12"/>
                <w:color w:val="auto"/>
              </w:rPr>
            </w:pPr>
          </w:p>
        </w:tc>
        <w:tc>
          <w:tcPr>
            <w:tcW w:w="274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Related to Acquisition of Derma Sciences</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Confluent Surgical,</w:t>
            </w: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14"/>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i w:val="1"/>
                <w:iCs w:val="1"/>
                <w:color w:val="auto"/>
                <w:w w:val="91"/>
              </w:rPr>
              <w:t>See Note 2</w:t>
            </w:r>
            <w:r>
              <w:rPr>
                <w:rFonts w:ascii="Arial" w:cs="Arial" w:eastAsia="Arial" w:hAnsi="Arial"/>
                <w:sz w:val="14"/>
                <w:szCs w:val="14"/>
                <w:b w:val="1"/>
                <w:bCs w:val="1"/>
                <w:color w:val="auto"/>
                <w:w w:val="91"/>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9"/>
              </w:rPr>
              <w:t>Inc.</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64"/>
        </w:trPr>
        <w:tc>
          <w:tcPr>
            <w:tcW w:w="5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Short-term</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Long-term</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right="61"/>
              <w:spacing w:after="0"/>
              <w:rPr>
                <w:sz w:val="20"/>
                <w:szCs w:val="20"/>
                <w:color w:val="auto"/>
              </w:rPr>
            </w:pPr>
            <w:r>
              <w:rPr>
                <w:rFonts w:ascii="Arial" w:cs="Arial" w:eastAsia="Arial" w:hAnsi="Arial"/>
                <w:sz w:val="14"/>
                <w:szCs w:val="14"/>
                <w:b w:val="1"/>
                <w:bCs w:val="1"/>
                <w:color w:val="auto"/>
                <w:w w:val="94"/>
              </w:rPr>
              <w:t>Short-term</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Balance as of January 1, 2018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22,478</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change in fair value of contingent consideration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1,422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5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Balance as of March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23,900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Contingent Considerations</w:t>
            </w:r>
          </w:p>
        </w:tc>
        <w:tc>
          <w:tcPr>
            <w:tcW w:w="160" w:type="dxa"/>
            <w:vAlign w:val="bottom"/>
          </w:tcPr>
          <w:p>
            <w:pPr>
              <w:spacing w:after="0"/>
              <w:rPr>
                <w:sz w:val="14"/>
                <w:szCs w:val="14"/>
                <w:color w:val="auto"/>
              </w:rPr>
            </w:pPr>
          </w:p>
        </w:tc>
        <w:tc>
          <w:tcPr>
            <w:tcW w:w="200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3"/>
              </w:rPr>
              <w:t>Contingent Consideration</w:t>
            </w:r>
          </w:p>
        </w:tc>
        <w:tc>
          <w:tcPr>
            <w:tcW w:w="120" w:type="dxa"/>
            <w:vAlign w:val="bottom"/>
          </w:tcPr>
          <w:p>
            <w:pPr>
              <w:spacing w:after="0"/>
              <w:rPr>
                <w:sz w:val="14"/>
                <w:szCs w:val="14"/>
                <w:color w:val="auto"/>
              </w:rPr>
            </w:pPr>
          </w:p>
        </w:tc>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120" w:type="dxa"/>
            <w:vAlign w:val="bottom"/>
            <w:vMerge w:val="restart"/>
          </w:tcPr>
          <w:p>
            <w:pPr>
              <w:spacing w:after="0"/>
              <w:rPr>
                <w:sz w:val="12"/>
                <w:szCs w:val="12"/>
                <w:color w:val="auto"/>
              </w:rPr>
            </w:pPr>
          </w:p>
        </w:tc>
        <w:tc>
          <w:tcPr>
            <w:tcW w:w="2280" w:type="dxa"/>
            <w:vAlign w:val="bottom"/>
            <w:gridSpan w:val="6"/>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Liabilities Related to Acquisition</w:t>
            </w:r>
          </w:p>
        </w:tc>
        <w:tc>
          <w:tcPr>
            <w:tcW w:w="21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Liability Related to Acquisition of</w:t>
            </w: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90"/>
              </w:rPr>
              <w:t xml:space="preserve">of Derma Sciences </w:t>
            </w:r>
            <w:r>
              <w:rPr>
                <w:rFonts w:ascii="Arial" w:cs="Arial" w:eastAsia="Arial" w:hAnsi="Arial"/>
                <w:sz w:val="14"/>
                <w:szCs w:val="14"/>
                <w:b w:val="1"/>
                <w:bCs w:val="1"/>
                <w:i w:val="1"/>
                <w:iCs w:val="1"/>
                <w:color w:val="auto"/>
                <w:w w:val="90"/>
              </w:rPr>
              <w:t>(See Note 2</w:t>
            </w:r>
            <w:r>
              <w:rPr>
                <w:rFonts w:ascii="Arial" w:cs="Arial" w:eastAsia="Arial" w:hAnsi="Arial"/>
                <w:sz w:val="14"/>
                <w:szCs w:val="14"/>
                <w:b w:val="1"/>
                <w:bCs w:val="1"/>
                <w:color w:val="auto"/>
                <w:w w:val="90"/>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94"/>
              </w:rPr>
              <w:t>Confluent Surgical, Inc.</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64"/>
        </w:trPr>
        <w:tc>
          <w:tcPr>
            <w:tcW w:w="4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4"/>
                <w:szCs w:val="14"/>
                <w:b w:val="1"/>
                <w:bCs w:val="1"/>
                <w:color w:val="auto"/>
                <w:w w:val="97"/>
              </w:rPr>
              <w:t>Short-term</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w w:val="98"/>
              </w:rPr>
              <w:t>Long-term</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4"/>
                <w:szCs w:val="14"/>
                <w:b w:val="1"/>
                <w:bCs w:val="1"/>
                <w:color w:val="auto"/>
                <w:w w:val="94"/>
              </w:rPr>
              <w:t>Short-term</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as of January 1, 2017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22,036</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from acquisition of Derma Sciences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32,848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Transfers from long-term to current portion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(4,198)</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from change in fair value of contingent consideration</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as of March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32,848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17,958</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15, 2014, the Company acquired all outstanding shares of Confluent Surgical, Inc., ("Confluent Surgical"). The purchase price includes contingent consideration. The potential maximum undiscounted contingent consideration of $30.0 million consists of $25.0 million upon obtaining certain U.S. governmental approvals (the "U.S. Contingent Consideration") and $5.0 million upon obtaining certain European governmental approvals, both related to the completion of the transition of the Confluent Surgical business. The U.S. Contingent Consideration is subject to adjustment to reduce the amount of maximum payment based on the timing of obtaining the U.S. governmental approval up to the minimum of $19.0 million. The fair values of contingent consideration related to the acquisition of Confluent Surgical were estimated using a discounted cash flow model using discount rate of 2.2%. In March 2018, the Company received the U.S. governmental approvals and adjusted the related contingent consideration liability to $19.0 million which the Company paid in April 2018. The Company expects to receive the European governmental approvals and pay the related contingent consideration liability within the next twelve months.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assesses these assumptions on an ongoing basis as additional information affecting the assumptions is obtained. The contingent consideration balance was included in accrued expenses and other current liabilities and other liabilities at March 31, 2018 and December 31,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Agreement Liability and Above Market Supply Agreement Liability</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15, 2014, the Company entered into a transitional supply agreement with Covidien Group S.a.r.l ("Covidien"). This agreement contains financial incentives to Covidien for the timely supply of products each fiscal quarter through the third anniversary of the agreement. The prices paid under the supply agreement were essentially flat through the third anniversary of the agreement, and then increase significantly in each of the following three years.</w:t>
      </w:r>
    </w:p>
    <w:p>
      <w:pPr>
        <w:spacing w:after="0" w:line="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determined the fair value of its supply agreement liability and above market supply agreement liability with Covidien during the three-month periods ended March 31, 2018 and 2017 to reflect the payments, change in estimate and the time value of money during the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opening balances to the closing balances of these Level 3 measurements is as follows (amounts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Above Market Supply</w:t>
            </w:r>
          </w:p>
        </w:tc>
        <w:tc>
          <w:tcPr>
            <w:tcW w:w="100" w:type="dxa"/>
            <w:vAlign w:val="bottom"/>
          </w:tcPr>
          <w:p>
            <w:pPr>
              <w:spacing w:after="0"/>
              <w:rPr>
                <w:sz w:val="14"/>
                <w:szCs w:val="14"/>
                <w:color w:val="auto"/>
              </w:rPr>
            </w:pPr>
          </w:p>
        </w:tc>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Agreement Liability - Short-</w:t>
            </w:r>
          </w:p>
        </w:tc>
        <w:tc>
          <w:tcPr>
            <w:tcW w:w="1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95"/>
              <w:spacing w:after="0"/>
              <w:rPr>
                <w:sz w:val="20"/>
                <w:szCs w:val="20"/>
                <w:color w:val="auto"/>
              </w:rPr>
            </w:pPr>
            <w:r>
              <w:rPr>
                <w:rFonts w:ascii="Arial" w:cs="Arial" w:eastAsia="Arial" w:hAnsi="Arial"/>
                <w:sz w:val="14"/>
                <w:szCs w:val="14"/>
                <w:b w:val="1"/>
                <w:bCs w:val="1"/>
                <w:color w:val="auto"/>
                <w:w w:val="98"/>
              </w:rPr>
              <w:t>term</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from change in fair value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Transfer to accounts payable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Supply Agreement</w:t>
            </w:r>
          </w:p>
        </w:tc>
        <w:tc>
          <w:tcPr>
            <w:tcW w:w="140" w:type="dxa"/>
            <w:vAlign w:val="bottom"/>
          </w:tcPr>
          <w:p>
            <w:pPr>
              <w:spacing w:after="0"/>
              <w:rPr>
                <w:sz w:val="24"/>
                <w:szCs w:val="24"/>
                <w:color w:val="auto"/>
              </w:rPr>
            </w:pPr>
          </w:p>
        </w:tc>
        <w:tc>
          <w:tcPr>
            <w:tcW w:w="1160" w:type="dxa"/>
            <w:vAlign w:val="bottom"/>
            <w:gridSpan w:val="2"/>
          </w:tcPr>
          <w:p>
            <w:pPr>
              <w:jc w:val="center"/>
              <w:ind w:right="96"/>
              <w:spacing w:after="0"/>
              <w:rPr>
                <w:sz w:val="20"/>
                <w:szCs w:val="20"/>
                <w:color w:val="auto"/>
              </w:rPr>
            </w:pPr>
            <w:r>
              <w:rPr>
                <w:rFonts w:ascii="Arial" w:cs="Arial" w:eastAsia="Arial" w:hAnsi="Arial"/>
                <w:sz w:val="14"/>
                <w:szCs w:val="14"/>
                <w:b w:val="1"/>
                <w:bCs w:val="1"/>
                <w:color w:val="auto"/>
                <w:w w:val="97"/>
              </w:rPr>
              <w:t>Above Market</w:t>
            </w:r>
          </w:p>
        </w:tc>
        <w:tc>
          <w:tcPr>
            <w:tcW w:w="180" w:type="dxa"/>
            <w:vAlign w:val="bottom"/>
          </w:tcPr>
          <w:p>
            <w:pPr>
              <w:spacing w:after="0"/>
              <w:rPr>
                <w:sz w:val="24"/>
                <w:szCs w:val="24"/>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Above Market</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Supply Agreement</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Supply Agreement</w:t>
            </w:r>
          </w:p>
        </w:tc>
        <w:tc>
          <w:tcPr>
            <w:tcW w:w="100" w:type="dxa"/>
            <w:vAlign w:val="bottom"/>
          </w:tcPr>
          <w:p>
            <w:pPr>
              <w:spacing w:after="0"/>
              <w:rPr>
                <w:sz w:val="12"/>
                <w:szCs w:val="12"/>
                <w:color w:val="auto"/>
              </w:rPr>
            </w:pPr>
          </w:p>
        </w:tc>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120" w:type="dxa"/>
            <w:vAlign w:val="bottom"/>
            <w:vMerge w:val="restart"/>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Liability - Short-</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Liability - Short-</w:t>
            </w:r>
          </w:p>
        </w:tc>
        <w:tc>
          <w:tcPr>
            <w:tcW w:w="180" w:type="dxa"/>
            <w:vAlign w:val="bottom"/>
          </w:tcPr>
          <w:p>
            <w:pPr>
              <w:spacing w:after="0"/>
              <w:rPr>
                <w:sz w:val="12"/>
                <w:szCs w:val="12"/>
                <w:color w:val="auto"/>
              </w:rPr>
            </w:pPr>
          </w:p>
        </w:tc>
        <w:tc>
          <w:tcPr>
            <w:tcW w:w="11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Liability - Long-</w:t>
            </w:r>
          </w:p>
        </w:tc>
        <w:tc>
          <w:tcPr>
            <w:tcW w:w="1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8"/>
              </w:rPr>
              <w:t>term</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96"/>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term</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2017</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 from long-term to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1,752</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Loss from increase in fair value</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1,752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values of supply agreement liability and above market supply agreement liability were estimated using a discounted cash flow model using a discount rate of 12.0%. The Company assesses these assumptions on an ongoing basis as additional information impacting the assumptions is obtained. The above market supply agreement liability - short-term was included in accrued expenses and other current liabilities at March 31, 2018 and December 31, 2017.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transfers between level 1, 2 or 3 during the three months ended March 31, 2018 and 2017. If the Company's estimate regarding the fair value of its contingent consideration liabilities, supply agreement liability and above market supply agreement liability are inaccurate, a future adjustment to these estimated fair values may be required which could change significantly.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require as a result of the acceleration the payment of $26.5 million by BioD. As previously disclosed and described in </w:t>
      </w:r>
      <w:r>
        <w:rPr>
          <w:rFonts w:ascii="Arial" w:cs="Arial" w:eastAsia="Arial" w:hAnsi="Arial"/>
          <w:sz w:val="18"/>
          <w:szCs w:val="18"/>
          <w:i w:val="1"/>
          <w:iCs w:val="1"/>
          <w:color w:val="auto"/>
        </w:rPr>
        <w:t>Note 2 - Business 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w:t>
      </w:r>
      <w:r>
        <w:rPr>
          <w:rFonts w:ascii="Arial" w:cs="Arial" w:eastAsia="Arial" w:hAnsi="Arial"/>
          <w:sz w:val="18"/>
          <w:szCs w:val="18"/>
          <w:color w:val="auto"/>
        </w:rPr>
        <w:t>, to the Company's consolidated financial statements for the three months ended March 31, 2018, Integra assumed this contingent liability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 and the likelihood of loss is remote.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2017 included in our Annual Report on Form 10-K.</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and other matters. Our actual results could differ materially from those anticipated in these forward-looking statements as a result of many factors, including but not limited to those set forth under the heading “Risk Factors” in our Annual Report on Form 10-K for the year ended December 31, 2017, and under the heading "Risk Factor"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Integra is a worldwide leader in medical technology focused on limiting uncertainty for surgeons so that they can concentrate on providing the best patient care. Integra provides customers with clinically relevant, innovative and cost-effective products that improve the quality of life for patients. We focus on cranial procedures, small bone and joint reconstruction, the repair and reconstruction of soft tissue, and instruments for surgery.</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manufacture and sell our products in two reportable business segments: Codman Specialty Surgical, and Orthopedics and Tissue Technologies. Our Codman Specialty Surgical products offer specialty surgical implants and instrumentation for a broad range of specialties. This product category includes products and solutions for dural access and repair, precision tools and instruments, advanced energy, cerebral spinal fluid (CSF) management and neuro monitoring including market-leading product portfolios used in neurosurgery operation suites and critical care units. Our Orthopedics and Tissue Technologies products portfolios consists of differentiated regenerative technology products for soft tissue repair and tissue regeneration products, and small bone fixation and joint replacement hardware products for both upper extremities and lower extremities. This business also includes private-label sales of a broad set of our regenerative and wound care medicine technologies.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manufacture many of our products in plants located in the United States (the "U.S."), France, Germany, Ireland, Mexico, Puerto Rico and Switzerland. We also source most of our handheld surgical instruments, specialty metal and pyrocarbon implants, and dural sealant products through specialized third-party vendors.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Codman Specialty Surgical products are sold through a combination of directly employed sales representatives, distributors and wholesalers, depending on the customer call point. During the first quarter of 2018, we integrated the commercial teams from the acquired global Codman Neurosurgery and legacy Integra businesses.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Orthopedics and Tissue Technologies products are sold through directly employed sales representatives, distributors focused on their respective surgical specialties and strategic partners. During the first half of 2018, we are expanding our sales channels by establishing dedicated teams for the extremity orthopedics and advanced wound care markets. This change, along with our existing channels, will improve our focus and competitiveness and better align our product portfolio with our clinical customers.</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objective is to become a multi-billion dollar diversified global medical technology company that helps patients by limiting uncertainty for medical professionals, and is a high-quality investment for shareholders. We will achieve these goals by becoming a company recognized as a leader by our customers worldwide in specialty surgical applications, regenerative technologies and extremities orthopedics. Our strategy is built around four pillars: 1) building an execution-focused culture, 2) achieving relevant scale, 3) improving agility and innovations, and 4) leading in customer excellence. These four pillars support our strategic initiatives to deliver on our commitments through improved planning and communication, optimizing our infrastructure, and strategically aligned tuck-in acquisitions.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organic growth and acquisitions), (2) gross margins on total revenues, (3) earnings before interest, taxes, depreciation, and amortization, (4) earnings per diluted share of common stock, and (5) operating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252" w:lineRule="exact"/>
        <w:rPr>
          <w:sz w:val="20"/>
          <w:szCs w:val="20"/>
          <w:color w:val="auto"/>
        </w:rPr>
      </w:pPr>
    </w:p>
    <w:p>
      <w:pPr>
        <w:ind w:left="620" w:hanging="315"/>
        <w:spacing w:after="0" w:line="277"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Regenerative Technology Platform</w:t>
      </w:r>
      <w:r>
        <w:rPr>
          <w:rFonts w:ascii="Arial" w:cs="Arial" w:eastAsia="Arial" w:hAnsi="Arial"/>
          <w:sz w:val="18"/>
          <w:szCs w:val="18"/>
          <w:color w:val="auto"/>
        </w:rPr>
        <w:t>. We have developed numerous product lines through our proprietary collagen and polyethylene glycol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all of our sales channels.</w:t>
      </w:r>
    </w:p>
    <w:p>
      <w:pPr>
        <w:spacing w:after="0" w:line="116" w:lineRule="exact"/>
        <w:rPr>
          <w:rFonts w:ascii="Arial" w:cs="Arial" w:eastAsia="Arial" w:hAnsi="Arial"/>
          <w:sz w:val="18"/>
          <w:szCs w:val="18"/>
          <w:color w:val="auto"/>
        </w:rPr>
      </w:pPr>
    </w:p>
    <w:p>
      <w:pPr>
        <w:jc w:val="both"/>
        <w:ind w:left="620" w:hanging="315"/>
        <w:spacing w:after="0" w:line="273"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Diversification and Platform Synergies</w:t>
      </w:r>
      <w:r>
        <w:rPr>
          <w:rFonts w:ascii="Arial" w:cs="Arial" w:eastAsia="Arial" w:hAnsi="Arial"/>
          <w:sz w:val="17"/>
          <w:szCs w:val="17"/>
          <w:color w:val="auto"/>
        </w:rPr>
        <w:t>. The selling platforms of Codman Specialty Surgical and Orthopedics and Tissue Technologies each</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 a different strength to our core business. Codman Specialty Surgical provides us with a strong presence in the hospital, with market-leading products and comprehensive solutions for surgical specialties, such as neurosurgery, as well as a strong capacity to generate cash flows. Orthopedics and Tissue Technologies enables us to grow our top line by continuing to introduce new, differentiated products in fast-growing markets, such as small joint replacement and advanced wound care, as well as to increase gross margins. We generate synergies between these platforms, such as our regenerative technology, instrument sourcing capabilities, and enterprise contract management.</w:t>
      </w:r>
    </w:p>
    <w:p>
      <w:pPr>
        <w:spacing w:after="0" w:line="124" w:lineRule="exact"/>
        <w:rPr>
          <w:rFonts w:ascii="Arial" w:cs="Arial" w:eastAsia="Arial" w:hAnsi="Arial"/>
          <w:sz w:val="17"/>
          <w:szCs w:val="17"/>
          <w:color w:val="auto"/>
        </w:rPr>
      </w:pPr>
    </w:p>
    <w:p>
      <w:pPr>
        <w:jc w:val="both"/>
        <w:ind w:left="620" w:hanging="315"/>
        <w:spacing w:after="0" w:line="273"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Specialized Sales Footprint</w:t>
      </w:r>
      <w:r>
        <w:rPr>
          <w:rFonts w:ascii="Arial" w:cs="Arial" w:eastAsia="Arial" w:hAnsi="Arial"/>
          <w:sz w:val="17"/>
          <w:szCs w:val="17"/>
          <w:color w:val="auto"/>
        </w:rPr>
        <w:t>. Our medical technology investment and manufacturing strategy provides us with a specialized set of customer call</w:t>
      </w:r>
      <w:r>
        <w:rPr>
          <w:rFonts w:ascii="Arial" w:cs="Arial" w:eastAsia="Arial" w:hAnsi="Arial"/>
          <w:sz w:val="17"/>
          <w:szCs w:val="17"/>
          <w:i w:val="1"/>
          <w:iCs w:val="1"/>
          <w:color w:val="auto"/>
        </w:rPr>
        <w:t xml:space="preserve"> </w:t>
      </w:r>
      <w:r>
        <w:rPr>
          <w:rFonts w:ascii="Arial" w:cs="Arial" w:eastAsia="Arial" w:hAnsi="Arial"/>
          <w:sz w:val="17"/>
          <w:szCs w:val="17"/>
          <w:color w:val="auto"/>
        </w:rPr>
        <w:t>points and synergies. We have market-leading products across our portfolio that provide both scale and depth in solutions for a broad set of clinical needs across many departments in healthcare systems. We also have clinical expertise across all our channels in the U.S. and an opportunity to expand and leverage this expertise in markets worldwide. In response to our customers’ needs for clinical and technical solutions across multiple departments and clinical areas, we have developed and deployed our enterprise selling team to bring unique clinical solutions for the most difficult healthcare issues in our key accounts across multiple clinical sites and multi-hospital integrated delivery networks.</w:t>
      </w:r>
    </w:p>
    <w:p>
      <w:pPr>
        <w:spacing w:after="0" w:line="124" w:lineRule="exact"/>
        <w:rPr>
          <w:rFonts w:ascii="Arial" w:cs="Arial" w:eastAsia="Arial" w:hAnsi="Arial"/>
          <w:sz w:val="17"/>
          <w:szCs w:val="17"/>
          <w:color w:val="auto"/>
        </w:rPr>
      </w:pPr>
    </w:p>
    <w:p>
      <w:pPr>
        <w:jc w:val="both"/>
        <w:ind w:left="620" w:hanging="315"/>
        <w:spacing w:after="0" w:line="264"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what enables us to adapt and evolve. We have demonstrated that we can quickly and profitably</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new products and businesses. This core strength has made it possible for us to grow over the years, and is key to help us grow to be a multi-billion-dollar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growth strategy includes the acquisition of businesses, assets or products lines to increase the breadth of our offerings and reach of our product portfolios and drive relevant scale to our customers. As a result of several recent acquisitions, our financial results for the three months ended March 31, 2018 may not be directly comparable to those of the corresponding prior-year periods. See Note 2, </w:t>
      </w:r>
      <w:r>
        <w:rPr>
          <w:rFonts w:ascii="Arial" w:cs="Arial" w:eastAsia="Arial" w:hAnsi="Arial"/>
          <w:sz w:val="18"/>
          <w:szCs w:val="18"/>
          <w:i w:val="1"/>
          <w:iCs w:val="1"/>
          <w:color w:val="auto"/>
        </w:rPr>
        <w:t>Business Acquisitions and Divestiture,</w:t>
      </w:r>
      <w:r>
        <w:rPr>
          <w:rFonts w:ascii="Arial" w:cs="Arial" w:eastAsia="Arial" w:hAnsi="Arial"/>
          <w:sz w:val="18"/>
          <w:szCs w:val="18"/>
          <w:color w:val="auto"/>
        </w:rPr>
        <w:t xml:space="preserve"> to our consolidated financial statements for a further discussion.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Johnson &amp; Johnson's Codman Neurosurgery Business</w:t>
      </w:r>
    </w:p>
    <w:p>
      <w:pPr>
        <w:spacing w:after="0" w:line="13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11, 2017, the Company entered into an asset purchase agreement (the “Purchase Agreement”) with DePuy Synthes, Inc., a Delaware corporation (“DePuy Synthes”), a wholly-owned subsidiary of Johnson &amp; Johnson, pursuant to which the Company agreed to acquire certain assets, and assume certain liabilities, of Johnson &amp; Johnson’s Codman neurosurgery business (the “Codman Acquisition”). The assets and liabilities subject to the Codman Acquisition relate to the research, development, manufacturing, marketing, distribution and sale of certain products used in connection with neurosurgery procedures.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 2017, based upon the terms and subject to the conditions set forth in the Purchase Agreement, the Codman Acquisition was completed. Under the terms of the Purchase Agreement, the Company paid an aggregate purchase price of $1.014 billion, subject to adjustments set forth in the Purchase Agreement relating to the book value of inventory transferred to us at the closing of the Codman Acquisition, the book value of certain inventory retained by DePuy Synthes that will be transferred to the Company in the future along with certain prepaid taxes.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the outstanding shares of Derma Sciences, Inc., a Delaware corporation ("Derma Sciences") for an aggregate purchase price of approximately $210.8 million including payment of certain of Derma Sciences' closing expenses and settlement of stock-based compensation plans of $4.8 million and $4.3 million, respectively. The purchase price consisted of a cash payment to the former shareholders of Derma Sciences of approximately $201.7 million upon the closing of the transaction.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8, 2017, the Company and certain of its subsidiaries entered into an asset purchase agreement (the “Divestiture Agreement”) with Natus Medical Incorporated (“Natus”), pursuant to which the Company agreed to divest its Camino Intracranial Pressure monitoring and the U.S. rights to the fixed pressure shunts businesses together with certain of the neurosurgery assets that will be acquired as part of the Codman Acquisition (the “Divestiture”). The Divestiture Agreement was entered in connection with the review of the Codman Acquisition by the Federal Trade Commission and the antitrust authority of Spain. The Divestiture was conditioned upon completion of the Codman Acquisition.</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October 6, 2017, upon the terms and subject to the conditions set forth in the Divestiture Agreement (see Note 2 - </w:t>
      </w:r>
      <w:r>
        <w:rPr>
          <w:rFonts w:ascii="Arial" w:cs="Arial" w:eastAsia="Arial" w:hAnsi="Arial"/>
          <w:sz w:val="18"/>
          <w:szCs w:val="18"/>
          <w:i w:val="1"/>
          <w:iCs w:val="1"/>
          <w:color w:val="auto"/>
        </w:rPr>
        <w:t>Business Acquisitions and Divestiture</w:t>
      </w:r>
      <w:r>
        <w:rPr>
          <w:rFonts w:ascii="Arial" w:cs="Arial" w:eastAsia="Arial" w:hAnsi="Arial"/>
          <w:sz w:val="18"/>
          <w:szCs w:val="18"/>
          <w:color w:val="auto"/>
        </w:rPr>
        <w:t>), the Divestiture was completed and Natus paid an aggregate purchase price of $46.4 million.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continue to invest in collecting clinical evidence to support our existing products and new product launches, and to ensure that we obtain market access for broader and more cost-effective solutions. In 2017, we introduced seven new regenerative technology products, including new sizes of PriMatrix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OmniGraft</w:t>
      </w:r>
      <w:r>
        <w:rPr>
          <w:rFonts w:ascii="Arial" w:cs="Arial" w:eastAsia="Arial" w:hAnsi="Arial"/>
          <w:sz w:val="24"/>
          <w:szCs w:val="24"/>
          <w:color w:val="auto"/>
          <w:vertAlign w:val="superscript"/>
        </w:rPr>
        <w:t>®</w:t>
      </w:r>
      <w:r>
        <w:rPr>
          <w:rFonts w:ascii="Arial" w:cs="Arial" w:eastAsia="Arial" w:hAnsi="Arial"/>
          <w:sz w:val="17"/>
          <w:szCs w:val="17"/>
          <w:color w:val="auto"/>
        </w:rPr>
        <w:t>, and our largest electromechanical product, the CUSA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Clarity. We continue to work on advanced shoulder products and are developing a pyrocarbon hemishoulder product to add to our orthopedic reconstruction portfolio. In our electromechanical technologies portfolio, we are focused on the development of core clinical applications in CSF management, neuro monitoring, electro surgery and ultrasonic medical technologies. We also work with several instrument partners to bring new surgical instrument patterns to the market, enabling us to add new instruments with minimal expense and invest in ongoing development, such as in LED technology.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with our acquisitions of Derma Sciences and Codman Neurosurgery and the integration of all research and development teams, we now have opportunities to combine multiple technology platforms to develop new, innovative products for customers and patients.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Untitled Letter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22, 2015, the FDA issued an Untitled Letter (the "Untitled Letter") alleging that BioD LLC's ("BioD") morselized amniotic membrane tissue based products do not meet the criteria for regulation as HCT/Ps solely under Section 361 of the Public Health Services Act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 based products would enjoy as much as thirty-six months of enforcement discretion, other high risk uses could be subject to immediate enforcement action. The Company does not believe the uses for its amniotic membrane tissue based products fall into the high risk category. Nonetheless, we can make no assurances that the FDA will continue to exercise its enforcement discretion with respect to the Company’s amniotic membrane tissue-based products, and any potential action of the FDA could have a financial impact regarding the sales of such products. Although the Company continues to disagree with the FDA’s position, the Company has been considering and continues to consider regulatory approval pathways for its amniotic membrane tissue based products.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from BioD morselized amniotic membrane based products for the three months ended March 31, 2018 were less than 1.0% of consolidated revenues.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three months ended March 31, 2018 was $11.0 million, or $0.14 per diluted share, as compared to $6.4 million or $0.08 per diluted share for the three months ended March 31, 2017.</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for the three months ended March 31, 2018 increased from the same period last year, primarily resulting from the Codman Neurosurgery acquisition and organic growth. Costs and expenses increased sequentially as new employees, especially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selling and general administrative functions, joined the Company and from higher operating and integration expenses associated with the business that we acquired.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r>
      <w:tr>
        <w:trPr>
          <w:trHeight w:val="196"/>
        </w:trPr>
        <w:tc>
          <w:tcPr>
            <w:tcW w:w="7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integration-related charges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28,886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Global ERP implementation charges</w:t>
            </w:r>
          </w:p>
        </w:tc>
        <w:tc>
          <w:tcPr>
            <w:tcW w:w="1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2,427</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Structural optimization charges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Discontinued product lines charges</w:t>
            </w:r>
          </w:p>
        </w:tc>
        <w:tc>
          <w:tcPr>
            <w:tcW w:w="1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1,025</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30,489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r>
      <w:tr>
        <w:trPr>
          <w:trHeight w:val="196"/>
        </w:trPr>
        <w:tc>
          <w:tcPr>
            <w:tcW w:w="7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13,292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17,197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22,914</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30,489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 We expect additional capital and integration expenses in 2018 associated with the integration of Codman Neurosurgery.</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assessing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500" w:type="dxa"/>
            <w:vAlign w:val="bottom"/>
          </w:tcPr>
          <w:p>
            <w:pPr>
              <w:spacing w:after="0"/>
              <w:rPr>
                <w:sz w:val="22"/>
                <w:szCs w:val="22"/>
                <w:color w:val="auto"/>
              </w:rPr>
            </w:pPr>
          </w:p>
        </w:tc>
        <w:tc>
          <w:tcPr>
            <w:tcW w:w="4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5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04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Codman Specialty Surgical</w:t>
            </w:r>
          </w:p>
        </w:tc>
        <w:tc>
          <w:tcPr>
            <w:tcW w:w="414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89"/>
              </w:rPr>
              <w:t>236,115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156,290</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Orthopedics &amp; Tissue Technologies</w:t>
            </w:r>
          </w:p>
        </w:tc>
        <w:tc>
          <w:tcPr>
            <w:tcW w:w="3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w w:val="89"/>
              </w:rPr>
              <w:t>120,967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102,346</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0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89"/>
              </w:rPr>
              <w:t>357,082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258,636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w w:val="89"/>
              </w:rPr>
              <w:t>144,222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86,585</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on total revenues</w:t>
            </w:r>
          </w:p>
        </w:tc>
        <w:tc>
          <w:tcPr>
            <w:tcW w:w="414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89"/>
              </w:rPr>
              <w:t>212,860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172,051</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Gross margin as a percentage of total revenues</w:t>
            </w:r>
          </w:p>
        </w:tc>
        <w:tc>
          <w:tcPr>
            <w:tcW w:w="3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00" w:type="dxa"/>
            <w:vAlign w:val="bottom"/>
            <w:vMerge w:val="continue"/>
          </w:tcPr>
          <w:p>
            <w:pPr>
              <w:spacing w:after="0"/>
              <w:rPr>
                <w:sz w:val="19"/>
                <w:szCs w:val="19"/>
                <w:color w:val="auto"/>
              </w:rPr>
            </w:pPr>
          </w:p>
        </w:tc>
        <w:tc>
          <w:tcPr>
            <w:tcW w:w="3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864"/>
        </w:trPr>
        <w:tc>
          <w:tcPr>
            <w:tcW w:w="4500" w:type="dxa"/>
            <w:vAlign w:val="bottom"/>
          </w:tcPr>
          <w:p>
            <w:pPr>
              <w:spacing w:after="0"/>
              <w:rPr>
                <w:sz w:val="24"/>
                <w:szCs w:val="24"/>
                <w:color w:val="auto"/>
              </w:rPr>
            </w:pPr>
          </w:p>
        </w:tc>
        <w:tc>
          <w:tcPr>
            <w:tcW w:w="3040" w:type="dxa"/>
            <w:vAlign w:val="bottom"/>
          </w:tcPr>
          <w:p>
            <w:pPr>
              <w:jc w:val="right"/>
              <w:ind w:right="1654"/>
              <w:spacing w:after="0"/>
              <w:rPr>
                <w:sz w:val="20"/>
                <w:szCs w:val="20"/>
                <w:color w:val="auto"/>
              </w:rPr>
            </w:pPr>
            <w:r>
              <w:rPr>
                <w:rFonts w:ascii="Arial" w:cs="Arial" w:eastAsia="Arial" w:hAnsi="Arial"/>
                <w:sz w:val="18"/>
                <w:szCs w:val="18"/>
                <w:color w:val="auto"/>
              </w:rPr>
              <w:t>31</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as Compared to Three Months Ended March 31,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2018, total revenues increased by $98.4 million to $357.1 million from $258.6 million for the same period in 2017. Domestic revenues increased $47.8 million, or 23.8%, to $248.9 million and were 70% of total revenues for the three months ended March 31, 2018. International revenues increased by $50.6 million to $108.2 million for the three months ended March 31, 2018 compared to $57.5 million during the same period in the prior year. A significant portion of the increase resulted from sales from products acquired as part of the Codman Neurosurgery acquisition. Foreign exchange fluctuations had a positive impact of $4.9 million on revenues for the quarter.</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Codman Specialty Surgical revenues were $236.1 million, an increase of 51.1% from the prior-year period. The increase resulted from revenues from Codman Neurosurgery of $77.9 million, favorable impact from foreign exchange of $3.6 million and low single digit growth from the legacy Integra products. In our neurosurgery business, we achieved double digit growth in our CUSA Clarity product which launched in 2017, while DuraSeal and DuraGen revenues were flat compared to the same period last year.</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Orthopedics and Tissue Technologies revenues were $121.0 million, an increase of 18.2% from the prior-year period and included a full quarter of revenues from the products acquired as part of the Derma Sciences acquisition. Full-quarter revenue from the Derma Sciences acquisition was $24.7 million for the three months ended March 31, 2018 compared to $10.4 million for the same period in the prior year. We also saw increases in our wound reconstruction and care and private label portfolios driven by continued investments in our sales channels, strong demand for our skin products and continued relationships with private label customers. In our extremity orthopedics business, revenues from our ankle and shoulder arthroplasty products grew double digits during the three months ended March 31, 2018 compared to the same period last year, offset by a decrease in revenues in our lower extremities portfolio. The sales teams experienced reduced selling time from the territory realignment and training from the sales channel expansion discussed previously.</w:t>
      </w:r>
    </w:p>
    <w:p>
      <w:pPr>
        <w:spacing w:after="0" w:line="11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margin increased to $212.9 million for the three-month period ended March 31, 2018, an increase of $40.8 million from $172.1 million for the same period last year. Gross margin as a percentage of total revenue decreased to 59.6% for the first quarter of 2018 from 66.5% in the same period last year. The decrease in gross margin percentage resulted primarily from dilution related to product sales from the Derma Sciences and Codman Neurosurgery acquisitions that have lower margins than the average for the Company's other product lines. Additionally, there were higher net costs in the quarter associated with fair value inventory purchase accounting adjustments and amortization for technology-based intangible assets recorded in connection with the acquisitions.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expect our consolidated gross margin percentage for the full year 2018 to be approximately 61.5% to 62.5%.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23495</wp:posOffset>
            </wp:positionV>
            <wp:extent cx="2452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gridSpan w:val="2"/>
          </w:tcPr>
          <w:p>
            <w:pPr>
              <w:ind w:left="8360"/>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ind w:right="714"/>
              <w:spacing w:after="0"/>
              <w:rPr>
                <w:sz w:val="20"/>
                <w:szCs w:val="20"/>
                <w:color w:val="auto"/>
              </w:rPr>
            </w:pPr>
            <w:r>
              <w:rPr>
                <w:rFonts w:ascii="Arial" w:cs="Arial" w:eastAsia="Arial" w:hAnsi="Arial"/>
                <w:sz w:val="14"/>
                <w:szCs w:val="14"/>
                <w:b w:val="1"/>
                <w:bCs w:val="1"/>
                <w:color w:val="auto"/>
              </w:rPr>
              <w:t>2017</w:t>
            </w: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756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r>
      <w:tr>
        <w:trPr>
          <w:trHeight w:val="27"/>
        </w:trPr>
        <w:tc>
          <w:tcPr>
            <w:tcW w:w="75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7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$25.2 million, or 15.5%, to $187.3 million in the three months ended March 31, 2018, compared to $162.1 million in the same period last year.</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in the first quarter of 2018 increased by $2.8 million to $18.3 million compared to $15.5 million in the same period last year. We expect full-year 2018 spending on research and development to be approximately 6.0% of total revenues.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 the first quarter of 2018 increased by $21.1 million to $163.6 million compared to $142.5 million in the same period last year. Selling and marketing expenses increased by $22.6 million compared to the first quarter last year resulting primarily from selling and marketing expenses of Codman Neurosurgery acquisition and additional investments in adding direct sales representatives and distributors. We also paid higher commissions resulting from the increase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revenues. General and administrative costs decreased by $1.5 million, resulting from a decrease in acquisition and integration-related expenses. We expect full-year selling, general and administrative expenses to be approximately 45.0% to 47.0% of revenue in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in the first quarter of 2018 increased by $1.3 million compared to the same period last year. This increase was related primarily to the full quarter amortization of intangible assets recognized from the Derma Sciences acquisition in February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5"/>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r>
      <w:tr>
        <w:trPr>
          <w:trHeight w:val="196"/>
        </w:trPr>
        <w:tc>
          <w:tcPr>
            <w:tcW w:w="7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8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2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76</w:t>
            </w:r>
          </w:p>
        </w:tc>
        <w:tc>
          <w:tcPr>
            <w:tcW w:w="126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w w:val="98"/>
              </w:rPr>
              <w:t>(18,768)</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(5,131)</w:t>
            </w:r>
          </w:p>
        </w:tc>
      </w:tr>
      <w:tr>
        <w:trPr>
          <w:trHeight w:val="27"/>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2,245</w:t>
            </w:r>
          </w:p>
        </w:tc>
        <w:tc>
          <w:tcPr>
            <w:tcW w:w="1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75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in the three months ended March 31, 2018 increased by $13.6 million, primarily resulting from the higher outstanding balance on our Senior Credit Facility for the period compared to the same period in 2017 to fund the acquisitions of Codman Neurosurgery and amortization of capitalized financing costs recorded in the fourth quarter of 2017 related to the drawing of Term A-1 component of the Senior Credit Facility. The weighted average interest rate for three months ended March 31, 2018 increased to 3.7% compared to 2.4% for the same period in the prior year mainly because of increases in our consolidated leverage ratio and the LIBOR rate.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three months ended March 31, 2018.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 income (expense), net for the three months ended March 31, 2018 increased by $2.3 million compared to the same period last year, primarily resulting from $1.9 million gain from cross-currency swaps and income from a transition service agreement with Natus of $0.8 million and includes the impact of transactional foreign exchange gains and losses.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332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14"/>
                <w:szCs w:val="14"/>
                <w:b w:val="1"/>
                <w:bCs w:val="1"/>
                <w:color w:val="auto"/>
                <w:w w:val="95"/>
              </w:rPr>
              <w:t>Three Months Ended March 31,</w:t>
            </w:r>
          </w:p>
        </w:tc>
        <w:tc>
          <w:tcPr>
            <w:tcW w:w="760" w:type="dxa"/>
            <w:vAlign w:val="bottom"/>
            <w:tcBorders>
              <w:bottom w:val="single" w:sz="8" w:color="auto"/>
            </w:tcBorders>
          </w:tcPr>
          <w:p>
            <w:pPr>
              <w:spacing w:after="0"/>
              <w:rPr>
                <w:sz w:val="16"/>
                <w:szCs w:val="16"/>
                <w:color w:val="auto"/>
              </w:rPr>
            </w:pPr>
          </w:p>
        </w:tc>
      </w:tr>
      <w:tr>
        <w:trPr>
          <w:trHeight w:val="264"/>
        </w:trPr>
        <w:tc>
          <w:tcPr>
            <w:tcW w:w="734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r>
      <w:tr>
        <w:trPr>
          <w:trHeight w:val="196"/>
        </w:trPr>
        <w:tc>
          <w:tcPr>
            <w:tcW w:w="7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6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7"/>
                <w:szCs w:val="17"/>
                <w:color w:val="auto"/>
              </w:rPr>
            </w:pPr>
          </w:p>
        </w:tc>
      </w:tr>
      <w:tr>
        <w:trPr>
          <w:trHeight w:val="256"/>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9,132</w:t>
            </w:r>
          </w:p>
        </w:tc>
        <w:tc>
          <w:tcPr>
            <w:tcW w:w="12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4,745</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160" w:type="dxa"/>
            <w:vAlign w:val="bottom"/>
          </w:tcPr>
          <w:p>
            <w:pPr>
              <w:spacing w:after="0"/>
              <w:rPr>
                <w:sz w:val="21"/>
                <w:szCs w:val="21"/>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98"/>
              </w:rPr>
              <w:t>(1,860)</w:t>
            </w:r>
          </w:p>
        </w:tc>
        <w:tc>
          <w:tcPr>
            <w:tcW w:w="128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8"/>
              </w:rPr>
              <w:t>(1,649)</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7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(20.4)%</w:t>
            </w:r>
          </w:p>
        </w:tc>
        <w:tc>
          <w:tcPr>
            <w:tcW w:w="1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7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22, 2017, the Tax Cuts and Jobs Act ( the "2017 Tax Act") was enacted, which reduced the federal statutory rate from 35% to 21%. The Company’s effective income tax rates for the three months ended March 31, 2018 and 2017 were (20.4)% and (34.8)%, respectively. For the three months ended March 31, 2018, the primary drivers of the change in our tax rate are higher income before income taxes compared to the same period in 2017 and inclusion of the new GILTI provisions and other tax reform-related changes offset by the reduction in the federal statutory tax rate from 35% to 21%. The tax benefit recorded this quarter is primarily driven by excess tax benefits from share-based compensation for the three months ended March 31, 2018 and 2017, which were $2.8 million and $2.7 million, respectively. These excess tax benefits from share-based compensation reduced the effective tax rate by 30.9% and 57.7% for the three months ended March 31, 2018 and 2017, respectively.</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expects its effective income tax rate for the full year to be approximately 8.0%, mainly from lower income before taxes resulting from acquisition-related expenses and from benefits from stock-based compensation, Federal research credit benefits, and the jurisdictional mix of pretax income in U.S.-based operations relative to foreign operations. This estimate could be revised in the future as additional information is presented to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that we expect to pay in the coming year, which would be classified as current income taxes payable.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29, 2017, the United Kingdom ("UK") provided formal notice of its intention to leave the European Union ("EU"). This notice began the two-year negotiation process for the UK’s exit. Existing tax exemptions and tax relief between the UK and EU member states will most likely cease. The Company has entities domiciled in the UK and conducts transactions with entities within the EU. New tax legislation or renegotiated exemptions and tax relief could result in additional tax liabilities. The Company will continue to monitor the ongoing negotiations and will assess the impact on its tax expense.</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recognized the provisional tax impacts related to deemed repatriated earnings and the revaluation of deferred tax assets and liabilities and included these amounts in its consolidated financial statements for the twelve months ended December 31, 2017. The Company has not recognized adjustments related to these provisional amounts during the three-month period ended March 31, 2018.</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recognized the provisions of the 2017 Tax Act which became effective during the three months ended March 31, 2018 and includes GILTI provisions and provisions involving limitations to the deductibility of executive compensation, interest expense, and certain employee fringe benefits. The ultimate impact may differ from these provisional amounts, possibly material, because of, among other things, additional analysis, changes in interpretations and assumptions made by the Company, additional regulatory guidance that may be issued and actions that the Company may take as a result of the 2017 Tax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r>
      <w:tr>
        <w:trPr>
          <w:trHeight w:val="196"/>
        </w:trPr>
        <w:tc>
          <w:tcPr>
            <w:tcW w:w="7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248,928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201,096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Europe</w:t>
            </w:r>
          </w:p>
        </w:tc>
        <w:tc>
          <w:tcPr>
            <w:tcW w:w="11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51,773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28,816</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35,785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11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20,596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12,636</w:t>
            </w: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357,082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258,636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significant revenues outside the U.S.,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5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Domestic revenues increased to $248.9 million, or 70% of total revenues, for the three months ended March 31, 2018 from $201.1 million, or 78% of total revenues, for the three months ended March 31, 2017. The Codman Neurosurgery acquisitions accounted for $35.0 million of the increase in domestic revenues for the three months ended March 31, 2018. We saw increases in our regenerative technologies, private label, dural access and repair, precision tools and advanced businesses, which benefited from organic growth as well as contributions from the Derma Sciences and Codman Neurosurgery acquisitions. European sales increased 80% for the three months ended March 31, 2018 compared to the same period last year, resulting primarily from the Codman Neurosurgery acquisition as well as an increase in revenues from our regenerative technologies portfolio. Sales to customers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Asia Pacific and the Rest of the World for the three months ended March 31, 2018 increased by $27.7 million compared to the same period last year. The Codman Neurosurgery acquisition accounted for $24.1 million of the increase. Foreign exchange fluctuations had a favorable impact of $4.9 million on revenues for the three months ended March 31, 2018 compared to the same period in 2017.</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had cash and cash equivalents totaling approximately $189.4 million and $174.9 million at March 31, 2018 and December 31, 2017, respectively, which are valued based on Level 1 measurements in the fair value hierarchy. At March 31, 2018, our non-U.S. subsidiaries held approximately $179.8 million of cash and cash equivalents that are available for use outside the U.S. If cash and cash equivalents held by our non-U.S. subsidiaries were repatriated to the U.S., or used for operations, certain amounts could be subject to tax in the U. S. for the incremental amount in excess of the foreign tax paid.</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Tax Act imposes a Toll Tax of 15.5% on cash and cash equivalents and 8.0% on all foreign earnings related to the deemed repatriation of undistributed earnings of foreign subsidiaries. An income tax expense of approximately $5.5 million was computed as a Toll Tax on certain foreign earnings for the year ended December 31, 2017, of which $0.4 million is expected to be paid within one year. We intend to indefinitely reinvest future earnings of the Company’s foreign subsidiaries outside of the U.S., in order to provide for our non-U.S.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96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14"/>
                <w:szCs w:val="14"/>
                <w:b w:val="1"/>
                <w:bCs w:val="1"/>
                <w:color w:val="auto"/>
                <w:w w:val="95"/>
              </w:rPr>
              <w:t>Three Months Ended March 31,</w:t>
            </w:r>
          </w:p>
        </w:tc>
        <w:tc>
          <w:tcPr>
            <w:tcW w:w="7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6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41,531</w:t>
            </w:r>
          </w:p>
        </w:tc>
        <w:tc>
          <w:tcPr>
            <w:tcW w:w="110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28,882</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(9,298)</w:t>
            </w:r>
          </w:p>
        </w:tc>
        <w:tc>
          <w:tcPr>
            <w:tcW w:w="1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(193,143)</w:t>
            </w:r>
          </w:p>
        </w:tc>
      </w:tr>
      <w:tr>
        <w:trPr>
          <w:trHeight w:val="27"/>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(20,886)</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185,039</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10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3,114</w:t>
            </w:r>
          </w:p>
        </w:tc>
        <w:tc>
          <w:tcPr>
            <w:tcW w:w="11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1,280</w:t>
            </w: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2018, we anticipate that our principal uses of cash will include approximately $65.0 to $75.0 million of capital expenditures primarily for support and maintenance in our existing plants for facility automation, additions to our instruments kits used in the sales of orthopedic products and development of our new Mansfield, Massachusetts facility, which will be used to manufacture products acquired as part of the Codman Neurosurgery transaction.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generated operating cash flows of $41.5 million for the three months ended March 31, 2018, an increase of $12.6 million from $28.9 million for the same period in 2017. Net income after non-cash adjustments increased cash flows for the three months ended March 31, 2018 by approximately $10.7 million compared to the same period in 2017, which resulted primarily from the Codman Neurosurgery and Derma Sciences acquisitions in 2017. The changes in assets and liabilities, net of business acquisitions, increased cash flows from operating activities by $1.9 million for the three months ended March 31, 2018 compared to the same period in 2017.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March 31, 2018, we paid $15.4 million for capital expenditures, most of which were directed to the expansion of a manufacturing facility and commercial expansion. We received $5.7 million from the Codman Neurosurgery acquisition for a working capital adjustment.</w:t>
      </w:r>
    </w:p>
    <w:p>
      <w:pPr>
        <w:spacing w:after="0" w:line="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2017, we paid $9.2 million for capital expenditures, most of which were directed to our global enterprise system implementation and commercial expansion. We also used $193.9 million for the acquisition of Derma Sciences, net of cash acquired. We received $10.0 million from sale of short-term investments acquired from Derma Sciences.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(Used in) Financing Activities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source of cash from financing activities in the three months ended March 31, 2018 was $25.0 million in borrowings under our Senior Credit Facility used to fund current operation and proceeds that we received from the exercise of stock options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$3.7 million, offset by repayments of $35.0 million on the revolving portion of our Senior Credit Facility and $6.8 million cash taxes paid in net equity settlement.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 of cash from financing activities in the three months ended March 31, 2017 was a $210.0 million borrowing under our Senior Credit Facility used to acquire Derma Sciences and proceeds that we received from the exercise of stock option of $1.2 million, offset by repayments of $20.0 million on the revolving portion of our Senior Credit Facility and $6.1 million cash taxes paid in net equity settlement.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Debt Maturities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first quarterly installment of the Company's Term Loan A and Term A-1 components of its Senior Credit Facility was paid on March 31, 2018. We recorded a total of $60.0 million of the Term Loan A and Term A-1 components of the Senior Credit Facility as a current liability in the Company's consolidated balance sheets as of March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and Related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 Debt</w:t>
      </w:r>
      <w:r>
        <w:rPr>
          <w:rFonts w:ascii="Arial" w:cs="Arial" w:eastAsia="Arial" w:hAnsi="Arial"/>
          <w:sz w:val="18"/>
          <w:szCs w:val="18"/>
          <w:color w:val="auto"/>
        </w:rPr>
        <w:t xml:space="preserve"> to the current period’s condensed consolidated financial statements for a discussion of our amended and restated Senior Credit Agreement and Note 6 -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discussion of our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25, 2016, our Board of Directors terminated its October 2014 authorization for the repurchase of its outstanding common stock and authorized management to repurchase up to $150.0 million of its outstanding common stock through December 2018. Shares may be repurchased either in the open market or in privately negotiated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repurchased any shares of common stock under these authorizations through March 31,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for the foreseeable future. The Company considers the portion of the Senior Credit Facility payable within the next twelve-month period of $60.0 million as a current liability.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off–balance sheet arrangements during the three months ended March 31, 2018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2017 have not materially changed.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("CHF"),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October 2017, we entered into cross currency swap agreements to convert our Swiss Franc ("CHF") denominated intercompany loans into U.S. dollars. The objective of these cross-currency swaps is to reduce volatility of earnings and cash flows associated with changes in the foreign currency exchange rate. Under the terms of these contracts, which have been designated as cash flow hedges, we will make interest payments in CHF and receive interest in U.S. dollars. Upon the maturity of these contracts, the Company will pay the principal amount of the loans in Swiss Francs and receive U.S. dollars from the counterparties. See Note 7, </w:t>
      </w:r>
      <w:r>
        <w:rPr>
          <w:rFonts w:ascii="Arial" w:cs="Arial" w:eastAsia="Arial" w:hAnsi="Arial"/>
          <w:sz w:val="17"/>
          <w:szCs w:val="17"/>
          <w:i w:val="1"/>
          <w:iCs w:val="1"/>
          <w:color w:val="auto"/>
        </w:rPr>
        <w:t>Derivative Instruments</w:t>
      </w:r>
      <w:r>
        <w:rPr>
          <w:rFonts w:ascii="Arial" w:cs="Arial" w:eastAsia="Arial" w:hAnsi="Arial"/>
          <w:sz w:val="17"/>
          <w:szCs w:val="17"/>
          <w:color w:val="auto"/>
        </w:rPr>
        <w:t>, for details of the cross currency swaps.</w:t>
      </w:r>
    </w:p>
    <w:p>
      <w:pPr>
        <w:spacing w:after="0" w:line="1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November 2017, we entered into a foreign currency forward contract to mitigate the foreign currency exchange risk related to certain intercompany loans denominated in CHF. The contract is not designated as a hedging instrument. See Note 7, </w:t>
      </w:r>
      <w:r>
        <w:rPr>
          <w:rFonts w:ascii="Arial" w:cs="Arial" w:eastAsia="Arial" w:hAnsi="Arial"/>
          <w:sz w:val="16"/>
          <w:szCs w:val="16"/>
          <w:i w:val="1"/>
          <w:iCs w:val="1"/>
          <w:color w:val="auto"/>
        </w:rPr>
        <w:t>Derivative Instruments</w:t>
      </w:r>
      <w:r>
        <w:rPr>
          <w:rFonts w:ascii="Arial" w:cs="Arial" w:eastAsia="Arial" w:hAnsi="Arial"/>
          <w:sz w:val="16"/>
          <w:szCs w:val="16"/>
          <w:color w:val="auto"/>
        </w:rPr>
        <w:t>, for details of the cross currency swaps.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resulting from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March 31, 2018 would increase interest income by approximately $1.9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Senior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have used an interest rate derivative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manage our earnings and cash flow exposure to changes in interest rates. This interest rate swap fixes the interest rate on a portion of our expected LIBOR-indexed floating-rate borrowings beginning various dates starting on December 31, 2016. See Note 7,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the details of interest rate swaps.</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our outstanding borrowings at March 31, 2018, a one-percentage point change in interest rates would affect interest expense on the debt by $9.5 million on an annualized basis.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2018. Based upon this evaluation, our principal executive officer and principal financial officer concluded that our disclosure controls and procedures were effective as of March 31, 2018 to provide such reasonable assurance.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March 31, 2018 that have materially affected, or are reasonably likely to materially affect, our internal control over financial reporting.</w:t>
      </w: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As of March 31, 2018, only ten cases remained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the Company for up to three years after closing for losses relating to a variety of matters, including half of certain products liability claims (including those related to the product it manufactures for BSC) not covered by insurance. As of April 26, 2018, no indemnification payments were received nor owed in relation to the lawsuits for the initial indemnification time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3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of the acceleration the payment of $26.5 million by BioD. As disclosed and described in </w:t>
      </w:r>
      <w:r>
        <w:rPr>
          <w:rFonts w:ascii="Arial" w:cs="Arial" w:eastAsia="Arial" w:hAnsi="Arial"/>
          <w:sz w:val="17"/>
          <w:szCs w:val="17"/>
          <w:i w:val="1"/>
          <w:iCs w:val="1"/>
          <w:color w:val="auto"/>
        </w:rPr>
        <w:t>Note 2 - Business Acquisition</w:t>
      </w:r>
      <w:r>
        <w:rPr>
          <w:rFonts w:ascii="Arial" w:cs="Arial" w:eastAsia="Arial" w:hAnsi="Arial"/>
          <w:sz w:val="17"/>
          <w:szCs w:val="17"/>
          <w:color w:val="auto"/>
        </w:rPr>
        <w:t>, to the Company's consolidated financial statements for the three months ended March 31, 2018, Integra assumed this contingent liability in 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Risk Factors included in our Annual Report on Form 10-K for the fiscal year ended December 31, 2017 have not materially changed.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under the repurchase program during the three months ended March 31, 2018.</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Exhibits</w:t>
      </w:r>
    </w:p>
    <w:p>
      <w:pPr>
        <w:spacing w:after="0" w:line="316"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#10.1(d)</w:t>
            </w:r>
          </w:p>
        </w:tc>
        <w:tc>
          <w:tcPr>
            <w:tcW w:w="7440" w:type="dxa"/>
            <w:vAlign w:val="bottom"/>
            <w:gridSpan w:val="5"/>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Form of Performance Stock Agreement (Executive Officers)</w:t>
              </w:r>
            </w:hyperlink>
          </w:p>
        </w:tc>
      </w:tr>
      <w:tr>
        <w:trPr>
          <w:trHeight w:val="574"/>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#10.1(e)</w:t>
            </w:r>
          </w:p>
        </w:tc>
        <w:tc>
          <w:tcPr>
            <w:tcW w:w="4360" w:type="dxa"/>
            <w:vAlign w:val="bottom"/>
            <w:tcBorders>
              <w:top w:val="single" w:sz="8" w:color="0000FF"/>
            </w:tcBorders>
            <w:gridSpan w:val="2"/>
          </w:tcPr>
          <w:p>
            <w:pPr>
              <w:spacing w:after="0"/>
              <w:rPr>
                <w:rFonts w:ascii="Arial" w:cs="Arial" w:eastAsia="Arial" w:hAnsi="Arial"/>
                <w:sz w:val="18"/>
                <w:szCs w:val="18"/>
                <w:color w:val="0000FF"/>
                <w:w w:val="92"/>
              </w:rPr>
            </w:pPr>
            <w:hyperlink w:anchor="page56">
              <w:r>
                <w:rPr>
                  <w:rFonts w:ascii="Arial" w:cs="Arial" w:eastAsia="Arial" w:hAnsi="Arial"/>
                  <w:sz w:val="18"/>
                  <w:szCs w:val="18"/>
                  <w:color w:val="0000FF"/>
                  <w:w w:val="92"/>
                </w:rPr>
                <w:t>Form of Performance Stock Agreement for Peter J. Arduini</w:t>
              </w:r>
            </w:hyperlink>
          </w:p>
        </w:tc>
        <w:tc>
          <w:tcPr>
            <w:tcW w:w="3080" w:type="dxa"/>
            <w:vAlign w:val="bottom"/>
            <w:gridSpan w:val="3"/>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74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Certification of Principal Executive Officer Pursuant to Section 302 of the Sarbanes-Oxley Act of 2002</w:t>
              </w:r>
            </w:hyperlink>
          </w:p>
        </w:tc>
      </w:tr>
      <w:tr>
        <w:trPr>
          <w:trHeight w:val="520"/>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74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68">
              <w:r>
                <w:rPr>
                  <w:rFonts w:ascii="Arial" w:cs="Arial" w:eastAsia="Arial" w:hAnsi="Arial"/>
                  <w:sz w:val="18"/>
                  <w:szCs w:val="18"/>
                  <w:color w:val="0000FF"/>
                  <w:w w:val="92"/>
                </w:rPr>
                <w:t>Certification of Principal Financial Officer Pursuant to Section 302 of the Sarbanes-Oxley Act of 2002</w:t>
              </w:r>
            </w:hyperlink>
          </w:p>
        </w:tc>
        <w:tc>
          <w:tcPr>
            <w:tcW w:w="20" w:type="dxa"/>
            <w:vAlign w:val="bottom"/>
          </w:tcPr>
          <w:p>
            <w:pPr>
              <w:spacing w:after="0"/>
              <w:rPr>
                <w:sz w:val="24"/>
                <w:szCs w:val="24"/>
                <w:color w:val="auto"/>
              </w:rPr>
            </w:pPr>
          </w:p>
        </w:tc>
      </w:tr>
      <w:tr>
        <w:trPr>
          <w:trHeight w:val="520"/>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74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Certification of Principal Executive Officer Pursuant to Section 906 of the Sarbanes-Oxley Act of 2002</w:t>
              </w:r>
            </w:hyperlink>
          </w:p>
        </w:tc>
      </w:tr>
      <w:tr>
        <w:trPr>
          <w:trHeight w:val="520"/>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740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70">
              <w:r>
                <w:rPr>
                  <w:rFonts w:ascii="Arial" w:cs="Arial" w:eastAsia="Arial" w:hAnsi="Arial"/>
                  <w:sz w:val="18"/>
                  <w:szCs w:val="18"/>
                  <w:color w:val="0000FF"/>
                  <w:w w:val="92"/>
                </w:rPr>
                <w:t>Certification of Principal Financial Officer Pursuant to Section 906 of the Sarbanes-Oxley Act of 2002</w:t>
              </w:r>
            </w:hyperlink>
          </w:p>
        </w:tc>
        <w:tc>
          <w:tcPr>
            <w:tcW w:w="40" w:type="dxa"/>
            <w:vAlign w:val="bottom"/>
            <w:gridSpan w:val="2"/>
          </w:tcPr>
          <w:p>
            <w:pPr>
              <w:spacing w:after="0"/>
              <w:rPr>
                <w:sz w:val="24"/>
                <w:szCs w:val="24"/>
                <w:color w:val="auto"/>
              </w:rPr>
            </w:pPr>
          </w:p>
        </w:tc>
      </w:tr>
      <w:tr>
        <w:trPr>
          <w:trHeight w:val="561"/>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*†101.INS</w:t>
            </w:r>
          </w:p>
        </w:tc>
        <w:tc>
          <w:tcPr>
            <w:tcW w:w="744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3"/>
              </w:rPr>
              <w:t>*†101.SCH</w:t>
            </w:r>
          </w:p>
        </w:tc>
        <w:tc>
          <w:tcPr>
            <w:tcW w:w="74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6"/>
              </w:rPr>
              <w:t>*†101.CAL</w:t>
            </w:r>
          </w:p>
        </w:tc>
        <w:tc>
          <w:tcPr>
            <w:tcW w:w="74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5"/>
              </w:rPr>
              <w:t>*†101.DEF</w:t>
            </w:r>
          </w:p>
        </w:tc>
        <w:tc>
          <w:tcPr>
            <w:tcW w:w="7440" w:type="dxa"/>
            <w:vAlign w:val="bottom"/>
            <w:gridSpan w:val="5"/>
          </w:tcPr>
          <w:p>
            <w:pPr>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7"/>
              </w:rPr>
              <w:t>*†101.LAB</w:t>
            </w:r>
          </w:p>
        </w:tc>
        <w:tc>
          <w:tcPr>
            <w:tcW w:w="744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4"/>
              </w:rPr>
              <w:t>*†101.PRE</w:t>
            </w:r>
          </w:p>
        </w:tc>
        <w:tc>
          <w:tcPr>
            <w:tcW w:w="74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720" w:hanging="685"/>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52" w:lineRule="exact"/>
        <w:rPr>
          <w:rFonts w:ascii="Arial" w:cs="Arial" w:eastAsia="Arial" w:hAnsi="Arial"/>
          <w:sz w:val="18"/>
          <w:szCs w:val="18"/>
          <w:color w:val="auto"/>
        </w:rPr>
      </w:pPr>
    </w:p>
    <w:p>
      <w:pPr>
        <w:ind w:left="500" w:hanging="492"/>
        <w:spacing w:after="0" w:line="257"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March 31, 2018 filed on April 26, 2018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Pr>
          <w:p>
            <w:pPr>
              <w:ind w:left="420"/>
              <w:spacing w:after="0"/>
              <w:rPr>
                <w:sz w:val="20"/>
                <w:szCs w:val="20"/>
                <w:color w:val="auto"/>
              </w:rPr>
            </w:pPr>
            <w:r>
              <w:rPr>
                <w:rFonts w:ascii="Arial" w:cs="Arial" w:eastAsia="Arial" w:hAnsi="Arial"/>
                <w:sz w:val="18"/>
                <w:szCs w:val="18"/>
                <w:color w:val="auto"/>
              </w:rPr>
              <w:t>April 26, 2018</w:t>
            </w:r>
          </w:p>
        </w:tc>
        <w:tc>
          <w:tcPr>
            <w:tcW w:w="5140" w:type="dxa"/>
            <w:vAlign w:val="bottom"/>
          </w:tcPr>
          <w:p>
            <w:pPr>
              <w:ind w:left="40"/>
              <w:spacing w:after="0"/>
              <w:rPr>
                <w:sz w:val="20"/>
                <w:szCs w:val="20"/>
                <w:color w:val="auto"/>
              </w:rPr>
            </w:pPr>
            <w:r>
              <w:rPr>
                <w:rFonts w:ascii="Arial" w:cs="Arial" w:eastAsia="Arial" w:hAnsi="Arial"/>
                <w:sz w:val="18"/>
                <w:szCs w:val="18"/>
                <w:color w:val="auto"/>
              </w:rPr>
              <w:t>/s/ Peter J. Arduini</w:t>
            </w:r>
          </w:p>
        </w:tc>
      </w:tr>
      <w:tr>
        <w:trPr>
          <w:trHeight w:val="27"/>
        </w:trPr>
        <w:tc>
          <w:tcPr>
            <w:tcW w:w="8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Peter J. Arduini</w:t>
            </w:r>
          </w:p>
        </w:tc>
      </w:tr>
      <w:tr>
        <w:trPr>
          <w:trHeight w:val="270"/>
        </w:trPr>
        <w:tc>
          <w:tcPr>
            <w:tcW w:w="82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82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Pr>
          <w:p>
            <w:pPr>
              <w:ind w:left="420"/>
              <w:spacing w:after="0"/>
              <w:rPr>
                <w:sz w:val="20"/>
                <w:szCs w:val="20"/>
                <w:color w:val="auto"/>
              </w:rPr>
            </w:pPr>
            <w:r>
              <w:rPr>
                <w:rFonts w:ascii="Arial" w:cs="Arial" w:eastAsia="Arial" w:hAnsi="Arial"/>
                <w:sz w:val="18"/>
                <w:szCs w:val="18"/>
                <w:color w:val="auto"/>
              </w:rPr>
              <w:t>April 26, 2018</w:t>
            </w:r>
          </w:p>
        </w:tc>
        <w:tc>
          <w:tcPr>
            <w:tcW w:w="5140" w:type="dxa"/>
            <w:vAlign w:val="bottom"/>
          </w:tcPr>
          <w:p>
            <w:pPr>
              <w:ind w:left="40"/>
              <w:spacing w:after="0"/>
              <w:rPr>
                <w:sz w:val="20"/>
                <w:szCs w:val="20"/>
                <w:color w:val="auto"/>
              </w:rPr>
            </w:pPr>
            <w:r>
              <w:rPr>
                <w:rFonts w:ascii="Arial" w:cs="Arial" w:eastAsia="Arial" w:hAnsi="Arial"/>
                <w:sz w:val="18"/>
                <w:szCs w:val="18"/>
                <w:color w:val="auto"/>
              </w:rPr>
              <w:t>/s/ Glenn G. Coleman</w:t>
            </w:r>
          </w:p>
        </w:tc>
      </w:tr>
      <w:tr>
        <w:trPr>
          <w:trHeight w:val="27"/>
        </w:trPr>
        <w:tc>
          <w:tcPr>
            <w:tcW w:w="8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Glenn G. Coleman</w:t>
            </w:r>
          </w:p>
        </w:tc>
      </w:tr>
      <w:tr>
        <w:trPr>
          <w:trHeight w:val="270"/>
        </w:trPr>
        <w:tc>
          <w:tcPr>
            <w:tcW w:w="82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Corporate Vice President and Chief Financial Officer</w:t>
            </w:r>
          </w:p>
        </w:tc>
      </w:tr>
      <w:tr>
        <w:trPr>
          <w:trHeight w:val="270"/>
        </w:trPr>
        <w:tc>
          <w:tcPr>
            <w:tcW w:w="82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Pr>
          <w:p>
            <w:pPr>
              <w:ind w:left="420"/>
              <w:spacing w:after="0"/>
              <w:rPr>
                <w:sz w:val="20"/>
                <w:szCs w:val="20"/>
                <w:color w:val="auto"/>
              </w:rPr>
            </w:pPr>
            <w:r>
              <w:rPr>
                <w:rFonts w:ascii="Arial" w:cs="Arial" w:eastAsia="Arial" w:hAnsi="Arial"/>
                <w:sz w:val="18"/>
                <w:szCs w:val="18"/>
                <w:color w:val="auto"/>
              </w:rPr>
              <w:t>April 26, 2018</w:t>
            </w:r>
          </w:p>
        </w:tc>
        <w:tc>
          <w:tcPr>
            <w:tcW w:w="5140" w:type="dxa"/>
            <w:vAlign w:val="bottom"/>
          </w:tcPr>
          <w:p>
            <w:pPr>
              <w:ind w:left="40"/>
              <w:spacing w:after="0"/>
              <w:rPr>
                <w:sz w:val="20"/>
                <w:szCs w:val="20"/>
                <w:color w:val="auto"/>
              </w:rPr>
            </w:pPr>
            <w:r>
              <w:rPr>
                <w:rFonts w:ascii="Arial" w:cs="Arial" w:eastAsia="Arial" w:hAnsi="Arial"/>
                <w:sz w:val="18"/>
                <w:szCs w:val="18"/>
                <w:color w:val="auto"/>
              </w:rPr>
              <w:t>/s/ Jeffrey A. Mosebrook</w:t>
            </w:r>
          </w:p>
        </w:tc>
      </w:tr>
      <w:tr>
        <w:trPr>
          <w:trHeight w:val="27"/>
        </w:trPr>
        <w:tc>
          <w:tcPr>
            <w:tcW w:w="8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Jeffrey A. Mosebrook</w:t>
            </w:r>
          </w:p>
        </w:tc>
      </w:tr>
      <w:tr>
        <w:trPr>
          <w:trHeight w:val="270"/>
        </w:trPr>
        <w:tc>
          <w:tcPr>
            <w:tcW w:w="82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Vice President, Corporate Controller</w:t>
            </w:r>
          </w:p>
        </w:tc>
      </w:tr>
      <w:tr>
        <w:trPr>
          <w:trHeight w:val="270"/>
        </w:trPr>
        <w:tc>
          <w:tcPr>
            <w:tcW w:w="82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r>
      <w:tr>
        <w:trPr>
          <w:trHeight w:val="702"/>
        </w:trPr>
        <w:tc>
          <w:tcPr>
            <w:tcW w:w="8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9"/>
              </w:rPr>
              <w:t>Table of Contents</w:t>
            </w: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74"/>
        </w:trPr>
        <w:tc>
          <w:tcPr>
            <w:tcW w:w="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1"/>
              </w:rPr>
              <w:t>Exhibits</w:t>
            </w:r>
          </w:p>
        </w:tc>
        <w:tc>
          <w:tcPr>
            <w:tcW w:w="1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#10.1(d)</w:t>
            </w:r>
          </w:p>
        </w:tc>
        <w:tc>
          <w:tcPr>
            <w:tcW w:w="43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Form of Performance Stock Agreement (Executive Officers)</w:t>
              </w:r>
            </w:hyperlink>
          </w:p>
        </w:tc>
        <w:tc>
          <w:tcPr>
            <w:tcW w:w="3080" w:type="dxa"/>
            <w:vAlign w:val="bottom"/>
            <w:gridSpan w:val="3"/>
          </w:tcPr>
          <w:p>
            <w:pPr>
              <w:spacing w:after="0"/>
              <w:rPr>
                <w:sz w:val="24"/>
                <w:szCs w:val="24"/>
                <w:color w:val="auto"/>
              </w:rPr>
            </w:pPr>
          </w:p>
        </w:tc>
      </w:tr>
      <w:tr>
        <w:trPr>
          <w:trHeight w:val="574"/>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#10.2(e)</w:t>
            </w:r>
          </w:p>
        </w:tc>
        <w:tc>
          <w:tcPr>
            <w:tcW w:w="4300" w:type="dxa"/>
            <w:vAlign w:val="bottom"/>
            <w:tcBorders>
              <w:bottom w:val="single" w:sz="8" w:color="0000EE"/>
            </w:tcBorders>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Form of Performance Stock Agreement for Peter J. Arduini</w:t>
              </w:r>
            </w:hyperlink>
          </w:p>
        </w:tc>
        <w:tc>
          <w:tcPr>
            <w:tcW w:w="3160" w:type="dxa"/>
            <w:vAlign w:val="bottom"/>
            <w:gridSpan w:val="4"/>
          </w:tcPr>
          <w:p>
            <w:pPr>
              <w:spacing w:after="0"/>
              <w:rPr>
                <w:sz w:val="24"/>
                <w:szCs w:val="24"/>
                <w:color w:val="auto"/>
              </w:rPr>
            </w:pPr>
          </w:p>
        </w:tc>
      </w:tr>
      <w:tr>
        <w:trPr>
          <w:trHeight w:val="574"/>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Certification of Principal Executive Officer Pursuant to Section 302 of the Sarbanes-Oxley Act of 2002</w:t>
              </w:r>
            </w:hyperlink>
          </w:p>
        </w:tc>
      </w:tr>
      <w:tr>
        <w:trPr>
          <w:trHeight w:val="520"/>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Certification of Principal Financial Officer Pursuant to Section 302 of the Sarbanes-Oxley Act of 2002</w:t>
              </w:r>
            </w:hyperlink>
          </w:p>
        </w:tc>
        <w:tc>
          <w:tcPr>
            <w:tcW w:w="40" w:type="dxa"/>
            <w:vAlign w:val="bottom"/>
          </w:tcPr>
          <w:p>
            <w:pPr>
              <w:spacing w:after="0"/>
              <w:rPr>
                <w:sz w:val="24"/>
                <w:szCs w:val="24"/>
                <w:color w:val="auto"/>
              </w:rPr>
            </w:pPr>
          </w:p>
        </w:tc>
      </w:tr>
      <w:tr>
        <w:trPr>
          <w:trHeight w:val="520"/>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Certification of Principal Executive Officer Pursuant to Section 906 of the Sarbanes-Oxley Act of 2002</w:t>
              </w:r>
            </w:hyperlink>
          </w:p>
        </w:tc>
      </w:tr>
      <w:tr>
        <w:trPr>
          <w:trHeight w:val="520"/>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gridSpan w:val="5"/>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Certification of Principal Financial Officer Pursuant to Section 906 of the Sarbanes-Oxley Act of 2002</w:t>
              </w:r>
            </w:hyperlink>
          </w:p>
        </w:tc>
      </w:tr>
      <w:tr>
        <w:trPr>
          <w:trHeight w:val="561"/>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*†101.INS</w:t>
            </w:r>
          </w:p>
        </w:tc>
        <w:tc>
          <w:tcPr>
            <w:tcW w:w="74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60" w:type="dxa"/>
            <w:vAlign w:val="bottom"/>
            <w:gridSpan w:val="2"/>
          </w:tcPr>
          <w:p>
            <w:pPr>
              <w:spacing w:after="0"/>
              <w:rPr>
                <w:sz w:val="24"/>
                <w:szCs w:val="24"/>
                <w:color w:val="auto"/>
              </w:rPr>
            </w:pP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*†101.SCH</w:t>
            </w:r>
          </w:p>
        </w:tc>
        <w:tc>
          <w:tcPr>
            <w:tcW w:w="746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*†101.CAL</w:t>
            </w:r>
          </w:p>
        </w:tc>
        <w:tc>
          <w:tcPr>
            <w:tcW w:w="746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*†101.DEF</w:t>
            </w:r>
          </w:p>
        </w:tc>
        <w:tc>
          <w:tcPr>
            <w:tcW w:w="7460" w:type="dxa"/>
            <w:vAlign w:val="bottom"/>
            <w:gridSpan w:val="5"/>
          </w:tcPr>
          <w:p>
            <w:pPr>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*†101.LAB</w:t>
            </w:r>
          </w:p>
        </w:tc>
        <w:tc>
          <w:tcPr>
            <w:tcW w:w="746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*†101.PRE</w:t>
            </w:r>
          </w:p>
        </w:tc>
        <w:tc>
          <w:tcPr>
            <w:tcW w:w="746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720" w:hanging="68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5" w:lineRule="exact"/>
        <w:rPr>
          <w:rFonts w:ascii="Arial" w:cs="Arial" w:eastAsia="Arial" w:hAnsi="Arial"/>
          <w:sz w:val="18"/>
          <w:szCs w:val="18"/>
          <w:color w:val="auto"/>
        </w:rPr>
      </w:pPr>
    </w:p>
    <w:p>
      <w:pPr>
        <w:ind w:left="500" w:hanging="492"/>
        <w:spacing w:after="0" w:line="257"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March 31, 2018 filed on April 26, 2018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8"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PERFORMANCE STOCK AGREEMENT </w:t>
      </w:r>
      <w:r>
        <w:rPr>
          <w:rFonts w:ascii="Arial" w:cs="Arial" w:eastAsia="Arial" w:hAnsi="Arial"/>
          <w:sz w:val="21"/>
          <w:szCs w:val="21"/>
          <w:color w:val="auto"/>
        </w:rPr>
        <w:t>(the “</w:t>
      </w:r>
      <w:r>
        <w:rPr>
          <w:rFonts w:ascii="Arial" w:cs="Arial" w:eastAsia="Arial" w:hAnsi="Arial"/>
          <w:sz w:val="21"/>
          <w:szCs w:val="21"/>
          <w:u w:val="single" w:color="auto"/>
          <w:color w:val="auto"/>
        </w:rPr>
        <w:t>Award Agreement</w:t>
      </w:r>
      <w:r>
        <w:rPr>
          <w:rFonts w:ascii="Arial" w:cs="Arial" w:eastAsia="Arial" w:hAnsi="Arial"/>
          <w:sz w:val="21"/>
          <w:szCs w:val="21"/>
          <w:color w:val="auto"/>
        </w:rPr>
        <w:t>”), dated as of ____________(the “</w:t>
      </w:r>
      <w:r>
        <w:rPr>
          <w:rFonts w:ascii="Arial" w:cs="Arial" w:eastAsia="Arial" w:hAnsi="Arial"/>
          <w:sz w:val="21"/>
          <w:szCs w:val="21"/>
          <w:u w:val="single" w:color="auto"/>
          <w:color w:val="auto"/>
        </w:rPr>
        <w:t>Award</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Date</w:t>
      </w:r>
      <w:r>
        <w:rPr>
          <w:rFonts w:ascii="Arial" w:cs="Arial" w:eastAsia="Arial" w:hAnsi="Arial"/>
          <w:sz w:val="21"/>
          <w:szCs w:val="21"/>
          <w:color w:val="auto"/>
        </w:rPr>
        <w:t>”), is made by and between Integra LifeSciences Holdings Corporation,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 an employee of the Company (or one or more of its Related Corporations or Affiliates), hereinafter referred to as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74" w:lineRule="exact"/>
        <w:rPr>
          <w:sz w:val="20"/>
          <w:szCs w:val="20"/>
          <w:color w:val="auto"/>
        </w:rPr>
      </w:pPr>
    </w:p>
    <w:p>
      <w:pPr>
        <w:ind w:firstLine="648"/>
        <w:spacing w:after="0" w:line="29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determined to grant to the Participant an award of Performance Stock (as defined below), on</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set forth herein, under the Integra LifeSciences Holdings Corporation Fourth Amended and Restated 2003 Equity Incentive Plan, as amended (the “</w:t>
      </w:r>
      <w:r>
        <w:rPr>
          <w:rFonts w:ascii="Arial" w:cs="Arial" w:eastAsia="Arial" w:hAnsi="Arial"/>
          <w:sz w:val="22"/>
          <w:szCs w:val="22"/>
          <w:u w:val="single" w:color="auto"/>
          <w:color w:val="auto"/>
        </w:rPr>
        <w:t>Plan</w:t>
      </w:r>
      <w:r>
        <w:rPr>
          <w:rFonts w:ascii="Arial" w:cs="Arial" w:eastAsia="Arial" w:hAnsi="Arial"/>
          <w:sz w:val="22"/>
          <w:szCs w:val="22"/>
          <w:color w:val="auto"/>
        </w:rPr>
        <w:t>”), the terms of which are hereby incorporated by reference and made part of this Award Agreement.</w:t>
      </w:r>
    </w:p>
    <w:p>
      <w:pPr>
        <w:spacing w:after="0" w:line="222" w:lineRule="exact"/>
        <w:rPr>
          <w:sz w:val="20"/>
          <w:szCs w:val="20"/>
          <w:color w:val="auto"/>
        </w:rPr>
      </w:pPr>
    </w:p>
    <w:p>
      <w:pPr>
        <w:ind w:right="600" w:firstLine="648"/>
        <w:spacing w:after="0" w:line="269"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various covenants herein contained, and intending to be legally bound</w:t>
      </w:r>
      <w:r>
        <w:rPr>
          <w:rFonts w:ascii="Arial" w:cs="Arial" w:eastAsia="Arial" w:hAnsi="Arial"/>
          <w:sz w:val="22"/>
          <w:szCs w:val="22"/>
          <w:b w:val="1"/>
          <w:bCs w:val="1"/>
          <w:color w:val="auto"/>
        </w:rPr>
        <w:t xml:space="preserve"> </w:t>
      </w:r>
      <w:r>
        <w:rPr>
          <w:rFonts w:ascii="Arial" w:cs="Arial" w:eastAsia="Arial" w:hAnsi="Arial"/>
          <w:sz w:val="22"/>
          <w:szCs w:val="22"/>
          <w:color w:val="auto"/>
        </w:rPr>
        <w:t>hereby, the parties hereto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42"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Capitalized terms not otherwise defined below shall have the meaning set forth in the Plan. The masculine pronoun shall include the feminine and neuter, and the singular the plural, where the context so indicates.</w:t>
      </w:r>
    </w:p>
    <w:p>
      <w:pPr>
        <w:spacing w:after="0" w:line="223" w:lineRule="exact"/>
        <w:rPr>
          <w:sz w:val="20"/>
          <w:szCs w:val="20"/>
          <w:color w:val="auto"/>
        </w:rPr>
      </w:pPr>
    </w:p>
    <w:p>
      <w:pPr>
        <w:ind w:right="60" w:firstLine="648"/>
        <w:spacing w:after="0" w:line="301" w:lineRule="auto"/>
        <w:rPr>
          <w:sz w:val="20"/>
          <w:szCs w:val="20"/>
          <w:color w:val="auto"/>
        </w:rPr>
      </w:pPr>
      <w:r>
        <w:rPr>
          <w:rFonts w:ascii="Arial" w:cs="Arial" w:eastAsia="Arial" w:hAnsi="Arial"/>
          <w:sz w:val="22"/>
          <w:szCs w:val="22"/>
          <w:b w:val="1"/>
          <w:bCs w:val="1"/>
          <w:u w:val="single" w:color="auto"/>
          <w:color w:val="auto"/>
        </w:rPr>
        <w:t>Section 1.1</w:t>
      </w:r>
      <w:r>
        <w:rPr>
          <w:rFonts w:ascii="Arial" w:cs="Arial" w:eastAsia="Arial" w:hAnsi="Arial"/>
          <w:sz w:val="22"/>
          <w:szCs w:val="22"/>
          <w:b w:val="1"/>
          <w:bCs w:val="1"/>
          <w:color w:val="auto"/>
        </w:rPr>
        <w:t xml:space="preserve"> Annual Organic Revenue</w:t>
      </w:r>
      <w:r>
        <w:rPr>
          <w:rFonts w:ascii="Arial" w:cs="Arial" w:eastAsia="Arial" w:hAnsi="Arial"/>
          <w:sz w:val="22"/>
          <w:szCs w:val="22"/>
          <w:color w:val="auto"/>
        </w:rPr>
        <w:t>. “Annual Organic Revenue” shall mean the Company’s gross revenue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an applicable fiscal year excluding the effects of currency exchange rates, acquired revenues, product discontinuances and divestitures.</w:t>
      </w:r>
    </w:p>
    <w:p>
      <w:pPr>
        <w:spacing w:after="0" w:line="129" w:lineRule="exact"/>
        <w:rPr>
          <w:sz w:val="20"/>
          <w:szCs w:val="20"/>
          <w:color w:val="auto"/>
        </w:rPr>
      </w:pPr>
    </w:p>
    <w:p>
      <w:pPr>
        <w:ind w:right="100" w:firstLine="648"/>
        <w:spacing w:after="0" w:line="320" w:lineRule="auto"/>
        <w:rPr>
          <w:sz w:val="20"/>
          <w:szCs w:val="20"/>
          <w:color w:val="auto"/>
        </w:rPr>
      </w:pPr>
      <w:r>
        <w:rPr>
          <w:rFonts w:ascii="Arial" w:cs="Arial" w:eastAsia="Arial" w:hAnsi="Arial"/>
          <w:sz w:val="22"/>
          <w:szCs w:val="22"/>
          <w:b w:val="1"/>
          <w:bCs w:val="1"/>
          <w:u w:val="single" w:color="auto"/>
          <w:color w:val="auto"/>
        </w:rPr>
        <w:t>Section 1.2</w:t>
      </w:r>
      <w:r>
        <w:rPr>
          <w:rFonts w:ascii="Arial" w:cs="Arial" w:eastAsia="Arial" w:hAnsi="Arial"/>
          <w:sz w:val="22"/>
          <w:szCs w:val="22"/>
          <w:b w:val="1"/>
          <w:bCs w:val="1"/>
          <w:color w:val="auto"/>
        </w:rPr>
        <w:t xml:space="preserve"> Catch-Up Performance Goal</w:t>
      </w:r>
      <w:r>
        <w:rPr>
          <w:rFonts w:ascii="Arial" w:cs="Arial" w:eastAsia="Arial" w:hAnsi="Arial"/>
          <w:sz w:val="22"/>
          <w:szCs w:val="22"/>
          <w:color w:val="auto"/>
        </w:rPr>
        <w:t>. “Catch-Up Performance Goal” shall mean the specific goal determined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as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1.3</w:t>
      </w:r>
      <w:r>
        <w:rPr>
          <w:rFonts w:ascii="Arial" w:cs="Arial" w:eastAsia="Arial" w:hAnsi="Arial"/>
          <w:sz w:val="22"/>
          <w:szCs w:val="22"/>
          <w:b w:val="1"/>
          <w:bCs w:val="1"/>
          <w:color w:val="auto"/>
        </w:rPr>
        <w:t xml:space="preserve">  Catch-Up Shares</w:t>
      </w:r>
      <w:r>
        <w:rPr>
          <w:rFonts w:ascii="Arial" w:cs="Arial" w:eastAsia="Arial" w:hAnsi="Arial"/>
          <w:sz w:val="22"/>
          <w:szCs w:val="22"/>
          <w:color w:val="auto"/>
        </w:rPr>
        <w:t>. “Catch-Up Shares” shall have the meaning as specified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1.4</w:t>
      </w:r>
      <w:r>
        <w:rPr>
          <w:rFonts w:ascii="Arial" w:cs="Arial" w:eastAsia="Arial" w:hAnsi="Arial"/>
          <w:sz w:val="22"/>
          <w:szCs w:val="22"/>
          <w:b w:val="1"/>
          <w:bCs w:val="1"/>
          <w:color w:val="auto"/>
        </w:rPr>
        <w:t xml:space="preserve">  Change in Control</w:t>
      </w:r>
      <w:r>
        <w:rPr>
          <w:rFonts w:ascii="Arial" w:cs="Arial" w:eastAsia="Arial" w:hAnsi="Arial"/>
          <w:sz w:val="22"/>
          <w:szCs w:val="22"/>
          <w:color w:val="auto"/>
        </w:rPr>
        <w:t>. “Change in Control” shall have the meaning set forth in the Plan.</w:t>
      </w:r>
    </w:p>
    <w:p>
      <w:pPr>
        <w:spacing w:after="0" w:line="233" w:lineRule="exact"/>
        <w:rPr>
          <w:sz w:val="20"/>
          <w:szCs w:val="20"/>
          <w:color w:val="auto"/>
        </w:rPr>
      </w:pPr>
    </w:p>
    <w:p>
      <w:pPr>
        <w:ind w:right="80" w:firstLine="648"/>
        <w:spacing w:after="0" w:line="320" w:lineRule="auto"/>
        <w:rPr>
          <w:sz w:val="20"/>
          <w:szCs w:val="20"/>
          <w:color w:val="auto"/>
        </w:rPr>
      </w:pPr>
      <w:r>
        <w:rPr>
          <w:rFonts w:ascii="Arial" w:cs="Arial" w:eastAsia="Arial" w:hAnsi="Arial"/>
          <w:sz w:val="22"/>
          <w:szCs w:val="22"/>
          <w:b w:val="1"/>
          <w:bCs w:val="1"/>
          <w:u w:val="single" w:color="auto"/>
          <w:color w:val="auto"/>
        </w:rPr>
        <w:t>Section 1.5</w:t>
      </w:r>
      <w:r>
        <w:rPr>
          <w:rFonts w:ascii="Arial" w:cs="Arial" w:eastAsia="Arial" w:hAnsi="Arial"/>
          <w:sz w:val="22"/>
          <w:szCs w:val="22"/>
          <w:b w:val="1"/>
          <w:bCs w:val="1"/>
          <w:color w:val="auto"/>
        </w:rPr>
        <w:t xml:space="preserve"> Chief Human Resources Officer</w:t>
      </w:r>
      <w:r>
        <w:rPr>
          <w:rFonts w:ascii="Arial" w:cs="Arial" w:eastAsia="Arial" w:hAnsi="Arial"/>
          <w:sz w:val="22"/>
          <w:szCs w:val="22"/>
          <w:color w:val="auto"/>
        </w:rPr>
        <w:t>. “Chief Human Resources Officer” shall mean the Chief Human Resources</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of the Company.</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1.6</w:t>
      </w:r>
      <w:r>
        <w:rPr>
          <w:rFonts w:ascii="Arial" w:cs="Arial" w:eastAsia="Arial" w:hAnsi="Arial"/>
          <w:sz w:val="22"/>
          <w:szCs w:val="22"/>
          <w:b w:val="1"/>
          <w:bCs w:val="1"/>
          <w:color w:val="auto"/>
        </w:rPr>
        <w:t xml:space="preserve">  Good Reason</w:t>
      </w:r>
      <w:r>
        <w:rPr>
          <w:rFonts w:ascii="Arial" w:cs="Arial" w:eastAsia="Arial" w:hAnsi="Arial"/>
          <w:sz w:val="22"/>
          <w:szCs w:val="22"/>
          <w:color w:val="auto"/>
        </w:rPr>
        <w:t>. “Good Reason” shall have the meaning set forth in the Plan.</w:t>
      </w:r>
    </w:p>
    <w:p>
      <w:pPr>
        <w:sectPr>
          <w:pgSz w:w="11900" w:h="16838" w:orient="portrait"/>
          <w:cols w:equalWidth="0" w:num="1">
            <w:col w:w="11420"/>
          </w:cols>
          <w:pgMar w:left="240" w:top="16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86" w:lineRule="exact"/>
        <w:rPr>
          <w:sz w:val="20"/>
          <w:szCs w:val="20"/>
          <w:color w:val="auto"/>
        </w:rPr>
      </w:pPr>
    </w:p>
    <w:p>
      <w:pPr>
        <w:ind w:right="1040" w:firstLine="648"/>
        <w:spacing w:after="0" w:line="347" w:lineRule="auto"/>
        <w:rPr>
          <w:sz w:val="20"/>
          <w:szCs w:val="20"/>
          <w:color w:val="auto"/>
        </w:rPr>
      </w:pPr>
      <w:r>
        <w:rPr>
          <w:rFonts w:ascii="Arial" w:cs="Arial" w:eastAsia="Arial" w:hAnsi="Arial"/>
          <w:sz w:val="21"/>
          <w:szCs w:val="21"/>
          <w:b w:val="1"/>
          <w:bCs w:val="1"/>
          <w:u w:val="single" w:color="auto"/>
          <w:color w:val="auto"/>
        </w:rPr>
        <w:t>Section 1.7</w:t>
      </w:r>
      <w:r>
        <w:rPr>
          <w:rFonts w:ascii="Arial" w:cs="Arial" w:eastAsia="Arial" w:hAnsi="Arial"/>
          <w:sz w:val="21"/>
          <w:szCs w:val="21"/>
          <w:b w:val="1"/>
          <w:bCs w:val="1"/>
          <w:color w:val="auto"/>
        </w:rPr>
        <w:t xml:space="preserve"> Performance Goals</w:t>
      </w:r>
      <w:r>
        <w:rPr>
          <w:rFonts w:ascii="Arial" w:cs="Arial" w:eastAsia="Arial" w:hAnsi="Arial"/>
          <w:sz w:val="21"/>
          <w:szCs w:val="21"/>
          <w:color w:val="auto"/>
        </w:rPr>
        <w:t>. “Performance Goals” shall mean the specific goal or goals determined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Committee, as specified in </w:t>
      </w:r>
      <w:r>
        <w:rPr>
          <w:rFonts w:ascii="Arial" w:cs="Arial" w:eastAsia="Arial" w:hAnsi="Arial"/>
          <w:sz w:val="21"/>
          <w:szCs w:val="21"/>
          <w:u w:val="single" w:color="auto"/>
          <w:color w:val="auto"/>
        </w:rPr>
        <w:t>Exhibit A</w:t>
      </w:r>
      <w:r>
        <w:rPr>
          <w:rFonts w:ascii="Arial" w:cs="Arial" w:eastAsia="Arial" w:hAnsi="Arial"/>
          <w:sz w:val="21"/>
          <w:szCs w:val="21"/>
          <w:color w:val="auto"/>
        </w:rPr>
        <w:t>, including (if applicable) the Catch-Up Performance Goal.</w:t>
      </w:r>
    </w:p>
    <w:p>
      <w:pPr>
        <w:spacing w:after="0" w:line="85" w:lineRule="exact"/>
        <w:rPr>
          <w:sz w:val="20"/>
          <w:szCs w:val="20"/>
          <w:color w:val="auto"/>
        </w:rPr>
      </w:pPr>
    </w:p>
    <w:p>
      <w:pPr>
        <w:ind w:right="340" w:firstLine="648"/>
        <w:spacing w:after="0" w:line="320" w:lineRule="auto"/>
        <w:rPr>
          <w:sz w:val="20"/>
          <w:szCs w:val="20"/>
          <w:color w:val="auto"/>
        </w:rPr>
      </w:pPr>
      <w:r>
        <w:rPr>
          <w:rFonts w:ascii="Arial" w:cs="Arial" w:eastAsia="Arial" w:hAnsi="Arial"/>
          <w:sz w:val="22"/>
          <w:szCs w:val="22"/>
          <w:b w:val="1"/>
          <w:bCs w:val="1"/>
          <w:u w:val="single" w:color="auto"/>
          <w:color w:val="auto"/>
        </w:rPr>
        <w:t>Section 1.8</w:t>
      </w:r>
      <w:r>
        <w:rPr>
          <w:rFonts w:ascii="Arial" w:cs="Arial" w:eastAsia="Arial" w:hAnsi="Arial"/>
          <w:sz w:val="22"/>
          <w:szCs w:val="22"/>
          <w:b w:val="1"/>
          <w:bCs w:val="1"/>
          <w:color w:val="auto"/>
        </w:rPr>
        <w:t xml:space="preserve"> Performance Period</w:t>
      </w:r>
      <w:r>
        <w:rPr>
          <w:rFonts w:ascii="Arial" w:cs="Arial" w:eastAsia="Arial" w:hAnsi="Arial"/>
          <w:sz w:val="22"/>
          <w:szCs w:val="22"/>
          <w:color w:val="auto"/>
        </w:rPr>
        <w:t>. “Performance Period” shall mean the period or periods of time that the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Goals must be met, as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09" w:lineRule="exact"/>
        <w:rPr>
          <w:sz w:val="20"/>
          <w:szCs w:val="20"/>
          <w:color w:val="auto"/>
        </w:rPr>
      </w:pPr>
    </w:p>
    <w:p>
      <w:pPr>
        <w:ind w:right="360" w:firstLine="648"/>
        <w:spacing w:after="0" w:line="320" w:lineRule="auto"/>
        <w:rPr>
          <w:sz w:val="20"/>
          <w:szCs w:val="20"/>
          <w:color w:val="auto"/>
        </w:rPr>
      </w:pPr>
      <w:r>
        <w:rPr>
          <w:rFonts w:ascii="Arial" w:cs="Arial" w:eastAsia="Arial" w:hAnsi="Arial"/>
          <w:sz w:val="22"/>
          <w:szCs w:val="22"/>
          <w:b w:val="1"/>
          <w:bCs w:val="1"/>
          <w:u w:val="single" w:color="auto"/>
          <w:color w:val="auto"/>
        </w:rPr>
        <w:t>Section 1.9</w:t>
      </w:r>
      <w:r>
        <w:rPr>
          <w:rFonts w:ascii="Arial" w:cs="Arial" w:eastAsia="Arial" w:hAnsi="Arial"/>
          <w:sz w:val="22"/>
          <w:szCs w:val="22"/>
          <w:b w:val="1"/>
          <w:bCs w:val="1"/>
          <w:color w:val="auto"/>
        </w:rPr>
        <w:t xml:space="preserve"> Performance-Vest</w:t>
      </w:r>
      <w:r>
        <w:rPr>
          <w:rFonts w:ascii="Arial" w:cs="Arial" w:eastAsia="Arial" w:hAnsi="Arial"/>
          <w:sz w:val="22"/>
          <w:szCs w:val="22"/>
          <w:color w:val="auto"/>
        </w:rPr>
        <w:t>. “Performance-Vest” shall mean that, with respect to a share of Performance Stock, the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Performance Goal has been achieved.</w:t>
      </w:r>
    </w:p>
    <w:p>
      <w:pPr>
        <w:spacing w:after="0" w:line="109" w:lineRule="exact"/>
        <w:rPr>
          <w:sz w:val="20"/>
          <w:szCs w:val="20"/>
          <w:color w:val="auto"/>
        </w:rPr>
      </w:pPr>
    </w:p>
    <w:p>
      <w:pPr>
        <w:ind w:right="60" w:firstLine="648"/>
        <w:spacing w:after="0" w:line="301" w:lineRule="auto"/>
        <w:rPr>
          <w:sz w:val="20"/>
          <w:szCs w:val="20"/>
          <w:color w:val="auto"/>
        </w:rPr>
      </w:pPr>
      <w:r>
        <w:rPr>
          <w:rFonts w:ascii="Arial" w:cs="Arial" w:eastAsia="Arial" w:hAnsi="Arial"/>
          <w:sz w:val="22"/>
          <w:szCs w:val="22"/>
          <w:b w:val="1"/>
          <w:bCs w:val="1"/>
          <w:u w:val="single" w:color="auto"/>
          <w:color w:val="auto"/>
        </w:rPr>
        <w:t>Section 1.10</w:t>
      </w:r>
      <w:r>
        <w:rPr>
          <w:rFonts w:ascii="Arial" w:cs="Arial" w:eastAsia="Arial" w:hAnsi="Arial"/>
          <w:sz w:val="22"/>
          <w:szCs w:val="22"/>
          <w:b w:val="1"/>
          <w:bCs w:val="1"/>
          <w:color w:val="auto"/>
        </w:rPr>
        <w:t xml:space="preserve"> Performance Vesting Percentage</w:t>
      </w:r>
      <w:r>
        <w:rPr>
          <w:rFonts w:ascii="Arial" w:cs="Arial" w:eastAsia="Arial" w:hAnsi="Arial"/>
          <w:sz w:val="22"/>
          <w:szCs w:val="22"/>
          <w:color w:val="auto"/>
        </w:rPr>
        <w:t>. “Performance Vesting Percentage” shall mean the percentage determined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which is a function of whether and to what extent the Performance Goals are achieved during the Performance Period.</w:t>
      </w:r>
    </w:p>
    <w:p>
      <w:pPr>
        <w:spacing w:after="0" w:line="129" w:lineRule="exact"/>
        <w:rPr>
          <w:sz w:val="20"/>
          <w:szCs w:val="20"/>
          <w:color w:val="auto"/>
        </w:rPr>
      </w:pPr>
    </w:p>
    <w:p>
      <w:pPr>
        <w:ind w:right="300" w:firstLine="648"/>
        <w:spacing w:after="0" w:line="320" w:lineRule="auto"/>
        <w:rPr>
          <w:sz w:val="20"/>
          <w:szCs w:val="20"/>
          <w:color w:val="auto"/>
        </w:rPr>
      </w:pPr>
      <w:r>
        <w:rPr>
          <w:rFonts w:ascii="Arial" w:cs="Arial" w:eastAsia="Arial" w:hAnsi="Arial"/>
          <w:sz w:val="22"/>
          <w:szCs w:val="22"/>
          <w:b w:val="1"/>
          <w:bCs w:val="1"/>
          <w:u w:val="single" w:color="auto"/>
          <w:color w:val="auto"/>
        </w:rPr>
        <w:t>Section 1.11</w:t>
      </w:r>
      <w:r>
        <w:rPr>
          <w:rFonts w:ascii="Arial" w:cs="Arial" w:eastAsia="Arial" w:hAnsi="Arial"/>
          <w:sz w:val="22"/>
          <w:szCs w:val="22"/>
          <w:b w:val="1"/>
          <w:bCs w:val="1"/>
          <w:color w:val="auto"/>
        </w:rPr>
        <w:t xml:space="preserve"> Qualifying Termination</w:t>
      </w:r>
      <w:r>
        <w:rPr>
          <w:rFonts w:ascii="Arial" w:cs="Arial" w:eastAsia="Arial" w:hAnsi="Arial"/>
          <w:sz w:val="22"/>
          <w:szCs w:val="22"/>
          <w:color w:val="auto"/>
        </w:rPr>
        <w:t>. “Qualifying Termination” shall mean a Termination of Service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Cause or by the Participant for Good Reason.</w:t>
      </w:r>
    </w:p>
    <w:p>
      <w:pPr>
        <w:spacing w:after="0" w:line="109" w:lineRule="exact"/>
        <w:rPr>
          <w:sz w:val="20"/>
          <w:szCs w:val="20"/>
          <w:color w:val="auto"/>
        </w:rPr>
      </w:pPr>
    </w:p>
    <w:p>
      <w:pPr>
        <w:ind w:right="160" w:firstLine="648"/>
        <w:spacing w:after="0" w:line="320" w:lineRule="auto"/>
        <w:rPr>
          <w:sz w:val="20"/>
          <w:szCs w:val="20"/>
          <w:color w:val="auto"/>
        </w:rPr>
      </w:pPr>
      <w:r>
        <w:rPr>
          <w:rFonts w:ascii="Arial" w:cs="Arial" w:eastAsia="Arial" w:hAnsi="Arial"/>
          <w:sz w:val="22"/>
          <w:szCs w:val="22"/>
          <w:b w:val="1"/>
          <w:bCs w:val="1"/>
          <w:u w:val="single" w:color="auto"/>
          <w:color w:val="auto"/>
        </w:rPr>
        <w:t>Section 1.12</w:t>
      </w:r>
      <w:r>
        <w:rPr>
          <w:rFonts w:ascii="Arial" w:cs="Arial" w:eastAsia="Arial" w:hAnsi="Arial"/>
          <w:sz w:val="22"/>
          <w:szCs w:val="22"/>
          <w:b w:val="1"/>
          <w:bCs w:val="1"/>
          <w:color w:val="auto"/>
        </w:rPr>
        <w:t xml:space="preserve"> Rule 16b-3</w:t>
      </w:r>
      <w:r>
        <w:rPr>
          <w:rFonts w:ascii="Arial" w:cs="Arial" w:eastAsia="Arial" w:hAnsi="Arial"/>
          <w:sz w:val="22"/>
          <w:szCs w:val="22"/>
          <w:color w:val="auto"/>
        </w:rPr>
        <w:t>. “Rule 16b-3” shall mean that certain Rule 16b-3 under the Exchange Act, as such Rule may be</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from time to time.</w:t>
      </w:r>
    </w:p>
    <w:p>
      <w:pPr>
        <w:spacing w:after="0" w:line="109" w:lineRule="exact"/>
        <w:rPr>
          <w:sz w:val="20"/>
          <w:szCs w:val="20"/>
          <w:color w:val="auto"/>
        </w:rPr>
      </w:pPr>
    </w:p>
    <w:p>
      <w:pPr>
        <w:ind w:right="120" w:firstLine="648"/>
        <w:spacing w:after="0" w:line="289" w:lineRule="auto"/>
        <w:rPr>
          <w:sz w:val="20"/>
          <w:szCs w:val="20"/>
          <w:color w:val="auto"/>
        </w:rPr>
      </w:pPr>
      <w:r>
        <w:rPr>
          <w:rFonts w:ascii="Arial" w:cs="Arial" w:eastAsia="Arial" w:hAnsi="Arial"/>
          <w:sz w:val="22"/>
          <w:szCs w:val="22"/>
          <w:b w:val="1"/>
          <w:bCs w:val="1"/>
          <w:u w:val="single" w:color="auto"/>
          <w:color w:val="auto"/>
        </w:rPr>
        <w:t>Section 1.13</w:t>
      </w:r>
      <w:r>
        <w:rPr>
          <w:rFonts w:ascii="Arial" w:cs="Arial" w:eastAsia="Arial" w:hAnsi="Arial"/>
          <w:sz w:val="22"/>
          <w:szCs w:val="22"/>
          <w:b w:val="1"/>
          <w:bCs w:val="1"/>
          <w:color w:val="auto"/>
        </w:rPr>
        <w:t xml:space="preserve"> Termination of Service</w:t>
      </w:r>
      <w:r>
        <w:rPr>
          <w:rFonts w:ascii="Arial" w:cs="Arial" w:eastAsia="Arial" w:hAnsi="Arial"/>
          <w:sz w:val="22"/>
          <w:szCs w:val="22"/>
          <w:color w:val="auto"/>
        </w:rPr>
        <w:t>. “Termination of Service” shall mean the time when the Participant ceases to</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services to the Company and its Related Corporations and Affiliates as an employee or Associate for any reason with or without Cause, including, but not by way of limitation, a termination by resignation, discharge, death, or Disability. A Termination of Service shall not include a termination where the Participant is simultaneously reemployed by, or remains employed by, or continues to provide services to, the Company and/or one or more of its Related Corporations and Affiliates or a successor entity thereto.</w:t>
      </w:r>
    </w:p>
    <w:p>
      <w:pPr>
        <w:spacing w:after="0" w:line="144" w:lineRule="exact"/>
        <w:rPr>
          <w:sz w:val="20"/>
          <w:szCs w:val="20"/>
          <w:color w:val="auto"/>
        </w:rPr>
      </w:pPr>
    </w:p>
    <w:p>
      <w:pPr>
        <w:ind w:right="360" w:firstLine="648"/>
        <w:spacing w:after="0" w:line="409" w:lineRule="auto"/>
        <w:rPr>
          <w:sz w:val="20"/>
          <w:szCs w:val="20"/>
          <w:color w:val="auto"/>
        </w:rPr>
      </w:pPr>
      <w:r>
        <w:rPr>
          <w:rFonts w:ascii="Arial" w:cs="Arial" w:eastAsia="Arial" w:hAnsi="Arial"/>
          <w:sz w:val="19"/>
          <w:szCs w:val="19"/>
          <w:b w:val="1"/>
          <w:bCs w:val="1"/>
          <w:u w:val="single" w:color="auto"/>
          <w:color w:val="auto"/>
        </w:rPr>
        <w:t>Section 1.14</w:t>
      </w:r>
      <w:r>
        <w:rPr>
          <w:rFonts w:ascii="Arial" w:cs="Arial" w:eastAsia="Arial" w:hAnsi="Arial"/>
          <w:sz w:val="19"/>
          <w:szCs w:val="19"/>
          <w:b w:val="1"/>
          <w:bCs w:val="1"/>
          <w:color w:val="auto"/>
        </w:rPr>
        <w:t xml:space="preserve"> Vest or Vested</w:t>
      </w:r>
      <w:r>
        <w:rPr>
          <w:rFonts w:ascii="Arial" w:cs="Arial" w:eastAsia="Arial" w:hAnsi="Arial"/>
          <w:sz w:val="19"/>
          <w:szCs w:val="19"/>
          <w:color w:val="auto"/>
        </w:rPr>
        <w:t>. “Vest” or “Vested” shall mean that, with respect to a share of Performance Stock, both (i)</w:t>
      </w:r>
      <w:r>
        <w:rPr>
          <w:rFonts w:ascii="Arial" w:cs="Arial" w:eastAsia="Arial" w:hAnsi="Arial"/>
          <w:sz w:val="19"/>
          <w:szCs w:val="19"/>
          <w:b w:val="1"/>
          <w:bCs w:val="1"/>
          <w:color w:val="auto"/>
        </w:rPr>
        <w:t xml:space="preserve"> </w:t>
      </w:r>
      <w:r>
        <w:rPr>
          <w:rFonts w:ascii="Arial" w:cs="Arial" w:eastAsia="Arial" w:hAnsi="Arial"/>
          <w:sz w:val="19"/>
          <w:szCs w:val="19"/>
          <w:color w:val="auto"/>
        </w:rPr>
        <w:t>such share of Performance Stock has Performance-Vested and (ii) the continued service condition has been satisfied.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AWARD OF PERFORMANCE STOCK</w:t>
      </w:r>
    </w:p>
    <w:p>
      <w:pPr>
        <w:spacing w:after="0" w:line="209" w:lineRule="exact"/>
        <w:rPr>
          <w:sz w:val="20"/>
          <w:szCs w:val="20"/>
          <w:color w:val="auto"/>
        </w:rPr>
      </w:pPr>
    </w:p>
    <w:p>
      <w:pPr>
        <w:ind w:right="380" w:firstLine="648"/>
        <w:spacing w:after="0" w:line="337" w:lineRule="auto"/>
        <w:rPr>
          <w:sz w:val="20"/>
          <w:szCs w:val="20"/>
          <w:color w:val="auto"/>
        </w:rPr>
      </w:pPr>
      <w:r>
        <w:rPr>
          <w:rFonts w:ascii="Arial" w:cs="Arial" w:eastAsia="Arial" w:hAnsi="Arial"/>
          <w:sz w:val="19"/>
          <w:szCs w:val="19"/>
          <w:b w:val="1"/>
          <w:bCs w:val="1"/>
          <w:u w:val="single" w:color="auto"/>
          <w:color w:val="auto"/>
        </w:rPr>
        <w:t>Section 2.1</w:t>
      </w:r>
      <w:r>
        <w:rPr>
          <w:rFonts w:ascii="Arial" w:cs="Arial" w:eastAsia="Arial" w:hAnsi="Arial"/>
          <w:sz w:val="19"/>
          <w:szCs w:val="19"/>
          <w:b w:val="1"/>
          <w:bCs w:val="1"/>
          <w:color w:val="auto"/>
        </w:rPr>
        <w:t xml:space="preserve"> Award of Shares of Performance Stock</w:t>
      </w:r>
      <w:r>
        <w:rPr>
          <w:rFonts w:ascii="Arial" w:cs="Arial" w:eastAsia="Arial" w:hAnsi="Arial"/>
          <w:sz w:val="19"/>
          <w:szCs w:val="19"/>
          <w:color w:val="auto"/>
        </w:rPr>
        <w:t>. Effective as of the Award Date, the Company grants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 award of _______________target shares of Performance Stock (the “</w:t>
      </w:r>
      <w:r>
        <w:rPr>
          <w:rFonts w:ascii="Arial" w:cs="Arial" w:eastAsia="Arial" w:hAnsi="Arial"/>
          <w:sz w:val="19"/>
          <w:szCs w:val="19"/>
          <w:u w:val="single" w:color="auto"/>
          <w:color w:val="auto"/>
        </w:rPr>
        <w:t>Target Performance Shares</w:t>
      </w:r>
      <w:r>
        <w:rPr>
          <w:rFonts w:ascii="Arial" w:cs="Arial" w:eastAsia="Arial" w:hAnsi="Arial"/>
          <w:sz w:val="19"/>
          <w:szCs w:val="19"/>
          <w:color w:val="auto"/>
        </w:rPr>
        <w:t>”). Each share of</w:t>
      </w:r>
    </w:p>
    <w:p>
      <w:pPr>
        <w:ind w:right="20"/>
        <w:spacing w:after="0" w:line="302" w:lineRule="auto"/>
        <w:rPr>
          <w:sz w:val="20"/>
          <w:szCs w:val="20"/>
          <w:color w:val="auto"/>
        </w:rPr>
      </w:pPr>
      <w:r>
        <w:rPr>
          <w:rFonts w:ascii="Arial" w:cs="Arial" w:eastAsia="Arial" w:hAnsi="Arial"/>
          <w:sz w:val="22"/>
          <w:szCs w:val="22"/>
          <w:color w:val="auto"/>
        </w:rPr>
        <w:t>Performance Stock represents the Participant’s right to receive one Share under this Award Agreement if the Performance Goals are met during the Performance Period and the vesting conditions set forth herein are satisfied.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62"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9"/>
          <w:szCs w:val="19"/>
          <w:b w:val="1"/>
          <w:bCs w:val="1"/>
          <w:u w:val="single" w:color="auto"/>
          <w:color w:val="auto"/>
        </w:rPr>
        <w:t>Section 2.2</w:t>
      </w:r>
      <w:r>
        <w:rPr>
          <w:rFonts w:ascii="Arial" w:cs="Arial" w:eastAsia="Arial" w:hAnsi="Arial"/>
          <w:sz w:val="19"/>
          <w:szCs w:val="19"/>
          <w:b w:val="1"/>
          <w:bCs w:val="1"/>
          <w:color w:val="auto"/>
        </w:rPr>
        <w:t xml:space="preserve">  Forfeiture</w:t>
      </w:r>
      <w:r>
        <w:rPr>
          <w:rFonts w:ascii="Arial" w:cs="Arial" w:eastAsia="Arial" w:hAnsi="Arial"/>
          <w:sz w:val="19"/>
          <w:szCs w:val="19"/>
          <w:color w:val="auto"/>
        </w:rPr>
        <w:t>. Shares of Performance Stock shall be subject to forfeiture as provided in Section 3.2 below.</w:t>
      </w:r>
    </w:p>
    <w:p>
      <w:pPr>
        <w:spacing w:after="0" w:line="268" w:lineRule="exact"/>
        <w:rPr>
          <w:sz w:val="20"/>
          <w:szCs w:val="20"/>
          <w:color w:val="auto"/>
        </w:rPr>
      </w:pPr>
    </w:p>
    <w:p>
      <w:pPr>
        <w:ind w:right="80" w:firstLine="648"/>
        <w:spacing w:after="0" w:line="332" w:lineRule="auto"/>
        <w:rPr>
          <w:sz w:val="20"/>
          <w:szCs w:val="20"/>
          <w:color w:val="auto"/>
        </w:rPr>
      </w:pPr>
      <w:r>
        <w:rPr>
          <w:rFonts w:ascii="Arial" w:cs="Arial" w:eastAsia="Arial" w:hAnsi="Arial"/>
          <w:sz w:val="19"/>
          <w:szCs w:val="19"/>
          <w:b w:val="1"/>
          <w:bCs w:val="1"/>
          <w:u w:val="single" w:color="auto"/>
          <w:color w:val="auto"/>
        </w:rPr>
        <w:t>Section 2.3</w:t>
      </w:r>
      <w:r>
        <w:rPr>
          <w:rFonts w:ascii="Arial" w:cs="Arial" w:eastAsia="Arial" w:hAnsi="Arial"/>
          <w:sz w:val="19"/>
          <w:szCs w:val="19"/>
          <w:b w:val="1"/>
          <w:bCs w:val="1"/>
          <w:color w:val="auto"/>
        </w:rPr>
        <w:t xml:space="preserve"> Dividend Equivalents</w:t>
      </w:r>
      <w:r>
        <w:rPr>
          <w:rFonts w:ascii="Arial" w:cs="Arial" w:eastAsia="Arial" w:hAnsi="Arial"/>
          <w:sz w:val="19"/>
          <w:szCs w:val="19"/>
          <w:color w:val="auto"/>
        </w:rPr>
        <w:t>. The Participant shall be entitled to receive, with respect to each outstanding Vested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but unissued share of Performance Stock, dividend equivalent amounts equal to the regular quarterly cash dividend paid or made with respect to the Shares underlying such Vested but unissued shares of Performance Stock (to the extent regular quarterly cash dividends are paid). Such dividend equivalent amounts shall be aggregated and paid to the Participant within thirty (30) days following the date on which the Shares underlying the Vested shares of Performance Stock are issued to the Participant, but in no event later than December 31 of the year in which the Shares underlying the Vested shares of Performance Stock are issued to the Participant. Notwithstanding the foregoing, if a “Change in Control” occurs prior to the date on which such dividend equivalent amounts are paid, such dividend equivalent amounts shall be paid to the Participant on the date of the Change in Control;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such payment shall only occur if the Change in Control meets the requirements of Section 409A(a)(2)(A)(v)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its corresponding regulations. For the avoidance of doubt, such dividend equivalent amounts shall only be paid to the extent that the shares of Performance Stock are Vested as of the applicable dividend payment date, and the Participant shall not be entitled to receive any dividend equivalent amounts with respect to shares of Performance Stock that have not Vested as of such dividend payment date. The dividend equivalents and any amounts that may become payable in respect thereof shall be treated separately from the shares of Performance Stock and the rights arising in connection therewith for purposes of the designation of time and form of payments required by Code Section 409A.</w:t>
      </w:r>
    </w:p>
    <w:p>
      <w:pPr>
        <w:spacing w:after="0" w:line="112" w:lineRule="exact"/>
        <w:rPr>
          <w:sz w:val="20"/>
          <w:szCs w:val="20"/>
          <w:color w:val="auto"/>
        </w:rPr>
      </w:pPr>
    </w:p>
    <w:p>
      <w:pPr>
        <w:ind w:right="140" w:firstLine="648"/>
        <w:spacing w:after="0" w:line="294" w:lineRule="auto"/>
        <w:rPr>
          <w:sz w:val="20"/>
          <w:szCs w:val="20"/>
          <w:color w:val="auto"/>
        </w:rPr>
      </w:pPr>
      <w:r>
        <w:rPr>
          <w:rFonts w:ascii="Arial" w:cs="Arial" w:eastAsia="Arial" w:hAnsi="Arial"/>
          <w:sz w:val="22"/>
          <w:szCs w:val="22"/>
          <w:b w:val="1"/>
          <w:bCs w:val="1"/>
          <w:u w:val="single" w:color="auto"/>
          <w:color w:val="auto"/>
        </w:rPr>
        <w:t>Section 2.4</w:t>
      </w:r>
      <w:r>
        <w:rPr>
          <w:rFonts w:ascii="Arial" w:cs="Arial" w:eastAsia="Arial" w:hAnsi="Arial"/>
          <w:sz w:val="22"/>
          <w:szCs w:val="22"/>
          <w:b w:val="1"/>
          <w:bCs w:val="1"/>
          <w:color w:val="auto"/>
        </w:rPr>
        <w:t xml:space="preserve"> Voting Rights</w:t>
      </w:r>
      <w:r>
        <w:rPr>
          <w:rFonts w:ascii="Arial" w:cs="Arial" w:eastAsia="Arial" w:hAnsi="Arial"/>
          <w:sz w:val="22"/>
          <w:szCs w:val="22"/>
          <w:color w:val="auto"/>
        </w:rPr>
        <w:t>. The Participant shall not have any voting rights in respect of the shares of Performance Stock</w:t>
      </w:r>
      <w:r>
        <w:rPr>
          <w:rFonts w:ascii="Arial" w:cs="Arial" w:eastAsia="Arial" w:hAnsi="Arial"/>
          <w:sz w:val="22"/>
          <w:szCs w:val="22"/>
          <w:b w:val="1"/>
          <w:bCs w:val="1"/>
          <w:color w:val="auto"/>
        </w:rPr>
        <w:t xml:space="preserve"> </w:t>
      </w:r>
      <w:r>
        <w:rPr>
          <w:rFonts w:ascii="Arial" w:cs="Arial" w:eastAsia="Arial" w:hAnsi="Arial"/>
          <w:sz w:val="22"/>
          <w:szCs w:val="22"/>
          <w:color w:val="auto"/>
        </w:rPr>
        <w:t>and any Shares underlying the shares of Performance Stock unless and until such Shares shall have been issued by the Company and the Participant becomes the holder of record of such Shares (as evidenced by the appropriate entry on the books of the Company or of a duly authorized transfer agent of the Company).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RESTRICTIONS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3.1</w:t>
      </w:r>
      <w:r>
        <w:rPr>
          <w:rFonts w:ascii="Arial" w:cs="Arial" w:eastAsia="Arial" w:hAnsi="Arial"/>
          <w:sz w:val="22"/>
          <w:szCs w:val="22"/>
          <w:b w:val="1"/>
          <w:bCs w:val="1"/>
          <w:color w:val="auto"/>
        </w:rPr>
        <w:t xml:space="preserve">  Vesting</w:t>
      </w:r>
      <w:r>
        <w:rPr>
          <w:rFonts w:ascii="Arial" w:cs="Arial" w:eastAsia="Arial" w:hAnsi="Arial"/>
          <w:sz w:val="22"/>
          <w:szCs w:val="22"/>
          <w:color w:val="auto"/>
        </w:rPr>
        <w:t>.</w:t>
      </w:r>
    </w:p>
    <w:p>
      <w:pPr>
        <w:spacing w:after="0" w:line="239" w:lineRule="exact"/>
        <w:rPr>
          <w:sz w:val="20"/>
          <w:szCs w:val="20"/>
          <w:color w:val="auto"/>
        </w:rPr>
      </w:pPr>
    </w:p>
    <w:p>
      <w:pPr>
        <w:ind w:right="220" w:firstLine="656"/>
        <w:spacing w:after="0" w:line="315" w:lineRule="auto"/>
        <w:tabs>
          <w:tab w:leader="none" w:pos="1068" w:val="left"/>
        </w:tabs>
        <w:numPr>
          <w:ilvl w:val="0"/>
          <w:numId w:val="18"/>
        </w:numPr>
        <w:rPr>
          <w:rFonts w:ascii="Arial" w:cs="Arial" w:eastAsia="Arial" w:hAnsi="Arial"/>
          <w:sz w:val="22"/>
          <w:szCs w:val="22"/>
          <w:color w:val="auto"/>
        </w:rPr>
      </w:pPr>
      <w:r>
        <w:rPr>
          <w:rFonts w:ascii="Arial" w:cs="Arial" w:eastAsia="Arial" w:hAnsi="Arial"/>
          <w:sz w:val="22"/>
          <w:szCs w:val="22"/>
          <w:color w:val="auto"/>
        </w:rPr>
        <w:t>Subject to paragraph (b) below and Sections 3.2 and 3.5 below, shares of Performance Stock shall Vest in cumulative installments as follows:</w:t>
      </w:r>
    </w:p>
    <w:p>
      <w:pPr>
        <w:spacing w:after="0" w:line="119" w:lineRule="exact"/>
        <w:rPr>
          <w:rFonts w:ascii="Arial" w:cs="Arial" w:eastAsia="Arial" w:hAnsi="Arial"/>
          <w:sz w:val="22"/>
          <w:szCs w:val="22"/>
          <w:color w:val="auto"/>
        </w:rPr>
      </w:pPr>
    </w:p>
    <w:p>
      <w:pPr>
        <w:ind w:left="1680" w:hanging="375"/>
        <w:spacing w:after="0"/>
        <w:tabs>
          <w:tab w:leader="none" w:pos="1680" w:val="left"/>
        </w:tabs>
        <w:numPr>
          <w:ilvl w:val="1"/>
          <w:numId w:val="18"/>
        </w:numPr>
        <w:rPr>
          <w:rFonts w:ascii="Arial" w:cs="Arial" w:eastAsia="Arial" w:hAnsi="Arial"/>
          <w:sz w:val="19"/>
          <w:szCs w:val="19"/>
          <w:color w:val="auto"/>
        </w:rPr>
      </w:pPr>
      <w:r>
        <w:rPr>
          <w:rFonts w:ascii="Arial" w:cs="Arial" w:eastAsia="Arial" w:hAnsi="Arial"/>
          <w:sz w:val="19"/>
          <w:szCs w:val="19"/>
          <w:color w:val="auto"/>
        </w:rPr>
        <w:t>With respect to fiscal year 2018, a number of shares of Performance Stock equal to the product of (x) thirty-</w:t>
      </w:r>
    </w:p>
    <w:p>
      <w:pPr>
        <w:spacing w:after="0" w:line="92" w:lineRule="exact"/>
        <w:rPr>
          <w:rFonts w:ascii="Arial" w:cs="Arial" w:eastAsia="Arial" w:hAnsi="Arial"/>
          <w:sz w:val="19"/>
          <w:szCs w:val="19"/>
          <w:color w:val="auto"/>
        </w:rPr>
      </w:pPr>
    </w:p>
    <w:p>
      <w:pPr>
        <w:ind w:left="660" w:right="420"/>
        <w:spacing w:after="0" w:line="302" w:lineRule="auto"/>
        <w:rPr>
          <w:rFonts w:ascii="Arial" w:cs="Arial" w:eastAsia="Arial" w:hAnsi="Arial"/>
          <w:sz w:val="19"/>
          <w:szCs w:val="19"/>
          <w:color w:val="auto"/>
        </w:rPr>
      </w:pPr>
      <w:r>
        <w:rPr>
          <w:rFonts w:ascii="Arial" w:cs="Arial" w:eastAsia="Arial" w:hAnsi="Arial"/>
          <w:sz w:val="22"/>
          <w:szCs w:val="22"/>
          <w:color w:val="auto"/>
        </w:rPr>
        <w:t>three percent (33%) of the Target Performance Shares, multiplied by (y) the applicable Performance Vesting Percentage determined in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62"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shall Vest on the first anniversary of the Award Date;</w:t>
      </w:r>
    </w:p>
    <w:p>
      <w:pPr>
        <w:spacing w:after="0" w:line="260" w:lineRule="exact"/>
        <w:rPr>
          <w:sz w:val="20"/>
          <w:szCs w:val="20"/>
          <w:color w:val="auto"/>
        </w:rPr>
      </w:pPr>
    </w:p>
    <w:p>
      <w:pPr>
        <w:ind w:left="1740" w:hanging="435"/>
        <w:spacing w:after="0"/>
        <w:tabs>
          <w:tab w:leader="none" w:pos="1740" w:val="left"/>
        </w:tabs>
        <w:numPr>
          <w:ilvl w:val="1"/>
          <w:numId w:val="19"/>
        </w:numPr>
        <w:rPr>
          <w:rFonts w:ascii="Arial" w:cs="Arial" w:eastAsia="Arial" w:hAnsi="Arial"/>
          <w:sz w:val="19"/>
          <w:szCs w:val="19"/>
          <w:color w:val="auto"/>
        </w:rPr>
      </w:pPr>
      <w:r>
        <w:rPr>
          <w:rFonts w:ascii="Arial" w:cs="Arial" w:eastAsia="Arial" w:hAnsi="Arial"/>
          <w:sz w:val="19"/>
          <w:szCs w:val="19"/>
          <w:color w:val="auto"/>
        </w:rPr>
        <w:t>With respect to fiscal year 2019, a number of shares of Performance Stock equal to the product of (x) thirty-</w:t>
      </w:r>
    </w:p>
    <w:p>
      <w:pPr>
        <w:spacing w:after="0" w:line="92" w:lineRule="exact"/>
        <w:rPr>
          <w:rFonts w:ascii="Arial" w:cs="Arial" w:eastAsia="Arial" w:hAnsi="Arial"/>
          <w:sz w:val="19"/>
          <w:szCs w:val="19"/>
          <w:color w:val="auto"/>
        </w:rPr>
      </w:pPr>
    </w:p>
    <w:p>
      <w:pPr>
        <w:ind w:left="660" w:right="42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three percent (33%) of the Target Performance Shares, multiplied by (y) the applicable Performance Vesting Percentage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shall Vest on the second anniversary of the Award Date; and</w:t>
      </w:r>
    </w:p>
    <w:p>
      <w:pPr>
        <w:spacing w:after="0" w:line="105" w:lineRule="exact"/>
        <w:rPr>
          <w:rFonts w:ascii="Arial" w:cs="Arial" w:eastAsia="Arial" w:hAnsi="Arial"/>
          <w:sz w:val="19"/>
          <w:szCs w:val="19"/>
          <w:color w:val="auto"/>
        </w:rPr>
      </w:pPr>
    </w:p>
    <w:p>
      <w:pPr>
        <w:ind w:left="1800" w:hanging="495"/>
        <w:spacing w:after="0"/>
        <w:tabs>
          <w:tab w:leader="none" w:pos="18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With respect to fiscal year 2020, a number of shares of Performance Stock equal to the product of (x) thirty-</w:t>
      </w:r>
    </w:p>
    <w:p>
      <w:pPr>
        <w:spacing w:after="0" w:line="92" w:lineRule="exact"/>
        <w:rPr>
          <w:rFonts w:ascii="Arial" w:cs="Arial" w:eastAsia="Arial" w:hAnsi="Arial"/>
          <w:sz w:val="19"/>
          <w:szCs w:val="19"/>
          <w:color w:val="auto"/>
        </w:rPr>
      </w:pPr>
    </w:p>
    <w:p>
      <w:pPr>
        <w:ind w:left="660" w:right="48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four percent (34%) of the Target Performance Shares, multiplied by (y) the applicable Performance Vesting Percentage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shall Vest on the third anniversary of the Award Date.</w:t>
      </w:r>
    </w:p>
    <w:p>
      <w:pPr>
        <w:spacing w:after="0" w:line="105" w:lineRule="exact"/>
        <w:rPr>
          <w:rFonts w:ascii="Arial" w:cs="Arial" w:eastAsia="Arial" w:hAnsi="Arial"/>
          <w:sz w:val="19"/>
          <w:szCs w:val="19"/>
          <w:color w:val="auto"/>
        </w:rPr>
      </w:pPr>
    </w:p>
    <w:p>
      <w:pPr>
        <w:ind w:right="260" w:firstLine="656"/>
        <w:spacing w:after="0" w:line="387" w:lineRule="auto"/>
        <w:tabs>
          <w:tab w:leader="none" w:pos="1116" w:val="left"/>
        </w:tabs>
        <w:numPr>
          <w:ilvl w:val="0"/>
          <w:numId w:val="20"/>
        </w:numPr>
        <w:rPr>
          <w:rFonts w:ascii="Arial" w:cs="Arial" w:eastAsia="Arial" w:hAnsi="Arial"/>
          <w:sz w:val="19"/>
          <w:szCs w:val="19"/>
          <w:color w:val="auto"/>
        </w:rPr>
      </w:pPr>
      <w:r>
        <w:rPr>
          <w:rFonts w:ascii="Arial" w:cs="Arial" w:eastAsia="Arial" w:hAnsi="Arial"/>
          <w:sz w:val="19"/>
          <w:szCs w:val="19"/>
          <w:color w:val="auto"/>
        </w:rPr>
        <w:t>Subject to Sections 3.2 and 3.5 below, in the event that the Company achieves the Catch-Up Performance Goal with respect to the Performance Period, then any Catch-Up Shares shall Vest on the third anniversary of the Award Date.</w:t>
      </w: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3.2</w:t>
      </w:r>
      <w:r>
        <w:rPr>
          <w:rFonts w:ascii="Arial" w:cs="Arial" w:eastAsia="Arial" w:hAnsi="Arial"/>
          <w:sz w:val="22"/>
          <w:szCs w:val="22"/>
          <w:b w:val="1"/>
          <w:bCs w:val="1"/>
          <w:color w:val="auto"/>
        </w:rPr>
        <w:t xml:space="preserve">  Effect of Termination of Service; Forfeiture</w:t>
      </w:r>
      <w:r>
        <w:rPr>
          <w:rFonts w:ascii="Arial" w:cs="Arial" w:eastAsia="Arial" w:hAnsi="Arial"/>
          <w:sz w:val="22"/>
          <w:szCs w:val="22"/>
          <w:color w:val="auto"/>
        </w:rPr>
        <w:t>.</w:t>
      </w:r>
    </w:p>
    <w:p>
      <w:pPr>
        <w:spacing w:after="0" w:line="239" w:lineRule="exact"/>
        <w:rPr>
          <w:sz w:val="20"/>
          <w:szCs w:val="20"/>
          <w:color w:val="auto"/>
        </w:rPr>
      </w:pPr>
    </w:p>
    <w:p>
      <w:pPr>
        <w:ind w:right="160" w:firstLine="656"/>
        <w:spacing w:after="0" w:line="346" w:lineRule="auto"/>
        <w:tabs>
          <w:tab w:leader="none" w:pos="1104" w:val="left"/>
        </w:tabs>
        <w:numPr>
          <w:ilvl w:val="1"/>
          <w:numId w:val="21"/>
        </w:numPr>
        <w:rPr>
          <w:rFonts w:ascii="Arial" w:cs="Arial" w:eastAsia="Arial" w:hAnsi="Arial"/>
          <w:sz w:val="19"/>
          <w:szCs w:val="19"/>
          <w:color w:val="auto"/>
        </w:rPr>
      </w:pPr>
      <w:r>
        <w:rPr>
          <w:rFonts w:ascii="Arial" w:cs="Arial" w:eastAsia="Arial" w:hAnsi="Arial"/>
          <w:sz w:val="19"/>
          <w:szCs w:val="19"/>
          <w:color w:val="auto"/>
        </w:rPr>
        <w:t>In the event the Participant incurs, prior to or on the last day of the Performance Period, a Termination of Service by reason of the Participant’s Disability or death, any shares of Performance Stock which have not Vested in accordance with Section 3.1 above on or prior to such Termination of Service shall remain outstanding and eligible to Vest in accordance with Section 3.1 above and Section 3.5 below based on the Company’s achievement of the Performance Goals during the Performance Period.</w:t>
      </w:r>
    </w:p>
    <w:p>
      <w:pPr>
        <w:spacing w:after="0" w:line="200" w:lineRule="exact"/>
        <w:rPr>
          <w:rFonts w:ascii="Arial" w:cs="Arial" w:eastAsia="Arial" w:hAnsi="Arial"/>
          <w:sz w:val="19"/>
          <w:szCs w:val="19"/>
          <w:color w:val="auto"/>
        </w:rPr>
      </w:pPr>
    </w:p>
    <w:p>
      <w:pPr>
        <w:spacing w:after="0" w:line="376" w:lineRule="exact"/>
        <w:rPr>
          <w:rFonts w:ascii="Arial" w:cs="Arial" w:eastAsia="Arial" w:hAnsi="Arial"/>
          <w:sz w:val="19"/>
          <w:szCs w:val="19"/>
          <w:color w:val="auto"/>
        </w:rPr>
      </w:pPr>
    </w:p>
    <w:p>
      <w:pPr>
        <w:ind w:left="1120" w:hanging="464"/>
        <w:spacing w:after="0"/>
        <w:tabs>
          <w:tab w:leader="none" w:pos="1120" w:val="left"/>
        </w:tabs>
        <w:numPr>
          <w:ilvl w:val="1"/>
          <w:numId w:val="21"/>
        </w:numPr>
        <w:rPr>
          <w:rFonts w:ascii="Arial" w:cs="Arial" w:eastAsia="Arial" w:hAnsi="Arial"/>
          <w:sz w:val="19"/>
          <w:szCs w:val="19"/>
          <w:color w:val="auto"/>
        </w:rPr>
      </w:pPr>
      <w:r>
        <w:rPr>
          <w:rFonts w:ascii="Arial" w:cs="Arial" w:eastAsia="Arial" w:hAnsi="Arial"/>
          <w:sz w:val="19"/>
          <w:szCs w:val="19"/>
          <w:color w:val="auto"/>
        </w:rPr>
        <w:t>Immediately upon the Participant’s Termination of Service that is not either (i) a Qualifying Termination within twelve</w:t>
      </w:r>
    </w:p>
    <w:p>
      <w:pPr>
        <w:spacing w:after="0" w:line="78" w:lineRule="exact"/>
        <w:rPr>
          <w:rFonts w:ascii="Arial" w:cs="Arial" w:eastAsia="Arial" w:hAnsi="Arial"/>
          <w:sz w:val="19"/>
          <w:szCs w:val="19"/>
          <w:color w:val="auto"/>
        </w:rPr>
      </w:pPr>
    </w:p>
    <w:p>
      <w:pPr>
        <w:ind w:right="80" w:firstLine="8"/>
        <w:spacing w:after="0" w:line="285" w:lineRule="auto"/>
        <w:tabs>
          <w:tab w:leader="none" w:pos="414" w:val="left"/>
        </w:tabs>
        <w:numPr>
          <w:ilvl w:val="0"/>
          <w:numId w:val="22"/>
        </w:numPr>
        <w:rPr>
          <w:rFonts w:ascii="Arial" w:cs="Arial" w:eastAsia="Arial" w:hAnsi="Arial"/>
          <w:sz w:val="22"/>
          <w:szCs w:val="22"/>
          <w:color w:val="auto"/>
        </w:rPr>
      </w:pPr>
      <w:r>
        <w:rPr>
          <w:rFonts w:ascii="Arial" w:cs="Arial" w:eastAsia="Arial" w:hAnsi="Arial"/>
          <w:sz w:val="22"/>
          <w:szCs w:val="22"/>
          <w:color w:val="auto"/>
        </w:rPr>
        <w:t>months following the date of a Change in Control (and prior to or on the last day of the Performance Period) or (ii) a Termination of Service by reason of the Participant’s Disability or death, the Participant shall automatically and without further action forfeit all shares of Performance Stock (and all dividend equivalent rights with respect to such shares of Performance Stock) which have not Vested in accordance with Section 3.1 above or Section 3.5 below on or prior to such Termination of Service, and the Participant shall have no further right to or interest in or with respect to such shares of Performance Stock (or such dividend equivalents).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6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656"/>
        <w:spacing w:after="0" w:line="306" w:lineRule="auto"/>
        <w:tabs>
          <w:tab w:leader="none" w:pos="1092" w:val="left"/>
        </w:tabs>
        <w:numPr>
          <w:ilvl w:val="0"/>
          <w:numId w:val="23"/>
        </w:numPr>
        <w:rPr>
          <w:rFonts w:ascii="Arial" w:cs="Arial" w:eastAsia="Arial" w:hAnsi="Arial"/>
          <w:sz w:val="21"/>
          <w:szCs w:val="21"/>
          <w:color w:val="auto"/>
        </w:rPr>
      </w:pPr>
      <w:r>
        <w:rPr>
          <w:rFonts w:ascii="Arial" w:cs="Arial" w:eastAsia="Arial" w:hAnsi="Arial"/>
          <w:sz w:val="21"/>
          <w:szCs w:val="21"/>
          <w:color w:val="auto"/>
        </w:rPr>
        <w:t>Any shares of Performance Stock that do not Performance-Vest in connection with a Change in Control pursuant to Sections 3.5(a) and 3.5(b) below (and all dividend equivalent rights with respect to such shares of Performance Stock) shall thereupon automatically be forfeited as of such Change in Control, and the Participant shall have no further right to or interest in or with respect to such shares of Performance Stock (or such dividend equivalents).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5" w:lineRule="exact"/>
        <w:rPr>
          <w:rFonts w:ascii="Arial" w:cs="Arial" w:eastAsia="Arial" w:hAnsi="Arial"/>
          <w:sz w:val="21"/>
          <w:szCs w:val="21"/>
          <w:color w:val="auto"/>
        </w:rPr>
      </w:pPr>
    </w:p>
    <w:p>
      <w:pPr>
        <w:ind w:firstLine="656"/>
        <w:spacing w:after="0" w:line="288" w:lineRule="auto"/>
        <w:tabs>
          <w:tab w:leader="none" w:pos="1104" w:val="left"/>
        </w:tabs>
        <w:numPr>
          <w:ilvl w:val="0"/>
          <w:numId w:val="23"/>
        </w:numPr>
        <w:rPr>
          <w:rFonts w:ascii="Arial" w:cs="Arial" w:eastAsia="Arial" w:hAnsi="Arial"/>
          <w:sz w:val="22"/>
          <w:szCs w:val="22"/>
          <w:color w:val="auto"/>
        </w:rPr>
      </w:pPr>
      <w:r>
        <w:rPr>
          <w:rFonts w:ascii="Arial" w:cs="Arial" w:eastAsia="Arial" w:hAnsi="Arial"/>
          <w:sz w:val="22"/>
          <w:szCs w:val="22"/>
          <w:color w:val="auto"/>
        </w:rPr>
        <w:t>Any shares of Performance Stock that fail to vest as of the third anniversary of the Award Date (and all dividend equivalent rights with respect to such Performance Stock) shall automatically and without further action be cancelled and forfeited, and the Participant shall have no further right to or interest in or with respect to such unvested shares of Performance Stock (or such dividend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3.3</w:t>
      </w:r>
      <w:r>
        <w:rPr>
          <w:rFonts w:ascii="Arial" w:cs="Arial" w:eastAsia="Arial" w:hAnsi="Arial"/>
          <w:sz w:val="22"/>
          <w:szCs w:val="22"/>
          <w:b w:val="1"/>
          <w:bCs w:val="1"/>
          <w:color w:val="auto"/>
        </w:rPr>
        <w:t xml:space="preserve">  Issuance of Shares</w:t>
      </w:r>
      <w:r>
        <w:rPr>
          <w:rFonts w:ascii="Arial" w:cs="Arial" w:eastAsia="Arial" w:hAnsi="Arial"/>
          <w:sz w:val="22"/>
          <w:szCs w:val="22"/>
          <w:color w:val="auto"/>
        </w:rPr>
        <w:t>.</w:t>
      </w:r>
    </w:p>
    <w:p>
      <w:pPr>
        <w:spacing w:after="0" w:line="239" w:lineRule="exact"/>
        <w:rPr>
          <w:sz w:val="20"/>
          <w:szCs w:val="20"/>
          <w:color w:val="auto"/>
        </w:rPr>
      </w:pPr>
    </w:p>
    <w:p>
      <w:pPr>
        <w:ind w:firstLine="656"/>
        <w:spacing w:after="0" w:line="303" w:lineRule="auto"/>
        <w:tabs>
          <w:tab w:leader="none" w:pos="1104" w:val="left"/>
        </w:tabs>
        <w:numPr>
          <w:ilvl w:val="0"/>
          <w:numId w:val="24"/>
        </w:numPr>
        <w:rPr>
          <w:rFonts w:ascii="Arial" w:cs="Arial" w:eastAsia="Arial" w:hAnsi="Arial"/>
          <w:sz w:val="21"/>
          <w:szCs w:val="21"/>
          <w:color w:val="auto"/>
        </w:rPr>
      </w:pPr>
      <w:r>
        <w:rPr>
          <w:rFonts w:ascii="Arial" w:cs="Arial" w:eastAsia="Arial" w:hAnsi="Arial"/>
          <w:sz w:val="21"/>
          <w:szCs w:val="21"/>
          <w:color w:val="auto"/>
        </w:rPr>
        <w:t>Subject to a determination of the Committee as to whether and to what extent the applicable Performance Goals have been met, Shares represented by shares of Performance Stock which Vest pursuant to Section 3.1 above or Section 3.5 below shall be issued to the Participant or his or her legal representative on or within five (5) business days following the date on which such shares of Performance Stock Vest pursuant to Section 3.1 above or Section 3.5 below (but in no event later than December 31 of the applicable year in which such shares of Performance Stock Vest).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9" w:lineRule="exact"/>
        <w:rPr>
          <w:rFonts w:ascii="Arial" w:cs="Arial" w:eastAsia="Arial" w:hAnsi="Arial"/>
          <w:sz w:val="21"/>
          <w:szCs w:val="21"/>
          <w:color w:val="auto"/>
        </w:rPr>
      </w:pPr>
    </w:p>
    <w:p>
      <w:pPr>
        <w:ind w:firstLine="656"/>
        <w:spacing w:after="0" w:line="301" w:lineRule="auto"/>
        <w:tabs>
          <w:tab w:leader="none" w:pos="1104" w:val="left"/>
        </w:tabs>
        <w:numPr>
          <w:ilvl w:val="0"/>
          <w:numId w:val="24"/>
        </w:numPr>
        <w:rPr>
          <w:rFonts w:ascii="Arial" w:cs="Arial" w:eastAsia="Arial" w:hAnsi="Arial"/>
          <w:sz w:val="21"/>
          <w:szCs w:val="21"/>
          <w:color w:val="auto"/>
        </w:rPr>
      </w:pPr>
      <w:r>
        <w:rPr>
          <w:rFonts w:ascii="Arial" w:cs="Arial" w:eastAsia="Arial" w:hAnsi="Arial"/>
          <w:sz w:val="21"/>
          <w:szCs w:val="21"/>
          <w:color w:val="auto"/>
        </w:rPr>
        <w:t xml:space="preserve">All Shares issued hereunder shall be issued in certificated form or shall be recorded with the Company’s transfer agent. All such Shares shall be issued free from any restrictions;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such Shares shall be subject to any restrictions and conditions as may be required pursuant to Section 4.6 below and those that the Company imposes on its employees in general with respect to selling its Shares. Notwithstanding the foregoing, the Company shall not be required to issue or record such Shares in the name of the Participant or his or her legal representative unless the Participant or his or her legal representative shall have satisfied the full amount of all federal, state and local withholding 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6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92" w:lineRule="exact"/>
        <w:rPr>
          <w:sz w:val="20"/>
          <w:szCs w:val="20"/>
          <w:color w:val="auto"/>
        </w:rPr>
      </w:pPr>
    </w:p>
    <w:p>
      <w:pPr>
        <w:ind w:right="120"/>
        <w:spacing w:after="0" w:line="292" w:lineRule="auto"/>
        <w:rPr>
          <w:sz w:val="20"/>
          <w:szCs w:val="20"/>
          <w:color w:val="auto"/>
        </w:rPr>
      </w:pPr>
      <w:r>
        <w:rPr>
          <w:rFonts w:ascii="Arial" w:cs="Arial" w:eastAsia="Arial" w:hAnsi="Arial"/>
          <w:sz w:val="22"/>
          <w:szCs w:val="22"/>
          <w:color w:val="auto"/>
        </w:rPr>
        <w:t>other employment taxes applicable to the taxable income of the Participant resulting from the vesting of the shares of Performance Stock and issuance of the Shares as provided in this Award Agreement (including, without limitation, in the manner set forth in Section 4.3 below).</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firstLine="648"/>
        <w:spacing w:after="0" w:line="289" w:lineRule="auto"/>
        <w:rPr>
          <w:sz w:val="20"/>
          <w:szCs w:val="20"/>
          <w:color w:val="auto"/>
        </w:rPr>
      </w:pPr>
      <w:r>
        <w:rPr>
          <w:rFonts w:ascii="Arial" w:cs="Arial" w:eastAsia="Arial" w:hAnsi="Arial"/>
          <w:sz w:val="22"/>
          <w:szCs w:val="22"/>
          <w:b w:val="1"/>
          <w:bCs w:val="1"/>
          <w:u w:val="single" w:color="auto"/>
          <w:color w:val="auto"/>
        </w:rPr>
        <w:t>Section 3.4</w:t>
      </w:r>
      <w:r>
        <w:rPr>
          <w:rFonts w:ascii="Arial" w:cs="Arial" w:eastAsia="Arial" w:hAnsi="Arial"/>
          <w:sz w:val="22"/>
          <w:szCs w:val="22"/>
          <w:b w:val="1"/>
          <w:bCs w:val="1"/>
          <w:color w:val="auto"/>
        </w:rPr>
        <w:t xml:space="preserve"> Clawback</w:t>
      </w:r>
      <w:r>
        <w:rPr>
          <w:rFonts w:ascii="Arial" w:cs="Arial" w:eastAsia="Arial" w:hAnsi="Arial"/>
          <w:sz w:val="22"/>
          <w:szCs w:val="22"/>
          <w:color w:val="auto"/>
        </w:rPr>
        <w:t>. Notwithstanding anything contained in the Plan or the Award Agreement to the contrary, the</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of Performance Stock, and any related payments,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shares of Performance Stock under the Plan.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3.5</w:t>
      </w:r>
      <w:r>
        <w:rPr>
          <w:rFonts w:ascii="Arial" w:cs="Arial" w:eastAsia="Arial" w:hAnsi="Arial"/>
          <w:sz w:val="22"/>
          <w:szCs w:val="22"/>
          <w:b w:val="1"/>
          <w:bCs w:val="1"/>
          <w:color w:val="auto"/>
        </w:rPr>
        <w:t xml:space="preserve">  Change in Control</w:t>
      </w:r>
      <w:r>
        <w:rPr>
          <w:rFonts w:ascii="Arial" w:cs="Arial" w:eastAsia="Arial" w:hAnsi="Arial"/>
          <w:sz w:val="22"/>
          <w:szCs w:val="22"/>
          <w:color w:val="auto"/>
        </w:rPr>
        <w:t>. In the event that a Change in Control occurs during the Performance Period:</w:t>
      </w:r>
    </w:p>
    <w:p>
      <w:pPr>
        <w:spacing w:after="0" w:line="23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number of shares of Performance Stock shall Performance-Vest equal to a number determined at the greater of (i) the</w:t>
      </w:r>
    </w:p>
    <w:p>
      <w:pPr>
        <w:spacing w:after="0" w:line="92" w:lineRule="exact"/>
        <w:rPr>
          <w:rFonts w:ascii="Arial" w:cs="Arial" w:eastAsia="Arial" w:hAnsi="Arial"/>
          <w:sz w:val="19"/>
          <w:szCs w:val="19"/>
          <w:color w:val="auto"/>
        </w:rPr>
      </w:pPr>
    </w:p>
    <w:p>
      <w:pPr>
        <w:ind w:right="120"/>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achievement of the “Target Level” Performance Vesting Percentage with respect to the fiscal year in which the Change in Control occurs, as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and (ii) the Company’s actual achievement of the Performance Goal for such year through the Change in Control. Subject to Sections 3.5(d) and (e) below, such Performance-Vested shares of Performance Stock shall remain outstanding and eligible to Vest on the anniversary of the Award Date immediately following the Change in Control, subject to the Participant’s continuous service.</w:t>
      </w:r>
    </w:p>
    <w:p>
      <w:pPr>
        <w:spacing w:after="0" w:line="148" w:lineRule="exact"/>
        <w:rPr>
          <w:rFonts w:ascii="Arial" w:cs="Arial" w:eastAsia="Arial" w:hAnsi="Arial"/>
          <w:sz w:val="19"/>
          <w:szCs w:val="19"/>
          <w:color w:val="auto"/>
        </w:rPr>
      </w:pPr>
    </w:p>
    <w:p>
      <w:pPr>
        <w:ind w:left="1080" w:hanging="424"/>
        <w:spacing w:after="0"/>
        <w:tabs>
          <w:tab w:leader="none" w:pos="10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 addition, and subject to Sections 3.5(d) and (e) below, a number of shares of Performance Stock shall Performance-</w:t>
      </w:r>
    </w:p>
    <w:p>
      <w:pPr>
        <w:spacing w:after="0" w:line="92" w:lineRule="exact"/>
        <w:rPr>
          <w:rFonts w:ascii="Arial" w:cs="Arial" w:eastAsia="Arial" w:hAnsi="Arial"/>
          <w:sz w:val="19"/>
          <w:szCs w:val="19"/>
          <w:color w:val="auto"/>
        </w:rPr>
      </w:pPr>
    </w:p>
    <w:p>
      <w:pPr>
        <w:ind w:right="40"/>
        <w:spacing w:after="0" w:line="303" w:lineRule="auto"/>
        <w:rPr>
          <w:rFonts w:ascii="Arial" w:cs="Arial" w:eastAsia="Arial" w:hAnsi="Arial"/>
          <w:sz w:val="19"/>
          <w:szCs w:val="19"/>
          <w:color w:val="auto"/>
        </w:rPr>
      </w:pPr>
      <w:r>
        <w:rPr>
          <w:rFonts w:ascii="Arial" w:cs="Arial" w:eastAsia="Arial" w:hAnsi="Arial"/>
          <w:sz w:val="21"/>
          <w:szCs w:val="21"/>
          <w:color w:val="auto"/>
        </w:rPr>
        <w:t xml:space="preserve">Vest equal to the number of shares of Performance Stock that could vest with respect to each fiscal year of the Performance Period following the fiscal year in which the Change in Control occurs (if any) based on the achievement of the “Target Level” Performance Vesting Percentage with respect to each such year, as specified in </w:t>
      </w:r>
      <w:r>
        <w:rPr>
          <w:rFonts w:ascii="Arial" w:cs="Arial" w:eastAsia="Arial" w:hAnsi="Arial"/>
          <w:sz w:val="21"/>
          <w:szCs w:val="21"/>
          <w:u w:val="single" w:color="auto"/>
          <w:color w:val="auto"/>
        </w:rPr>
        <w:t>Exhibit A</w:t>
      </w:r>
      <w:r>
        <w:rPr>
          <w:rFonts w:ascii="Arial" w:cs="Arial" w:eastAsia="Arial" w:hAnsi="Arial"/>
          <w:sz w:val="21"/>
          <w:szCs w:val="21"/>
          <w:color w:val="auto"/>
        </w:rPr>
        <w:t>, and shall remain outstanding and eligible to Vest on the date(s) outlined in Section 3.1(a)(ii) and/or (iii) (excluding any Catch-Up Shares which are forfeited in the event of a Change in Control), subject to the Participant’s continued service.</w:t>
      </w:r>
    </w:p>
    <w:p>
      <w:pPr>
        <w:spacing w:after="0" w:line="136" w:lineRule="exact"/>
        <w:rPr>
          <w:rFonts w:ascii="Arial" w:cs="Arial" w:eastAsia="Arial" w:hAnsi="Arial"/>
          <w:sz w:val="19"/>
          <w:szCs w:val="19"/>
          <w:color w:val="auto"/>
        </w:rPr>
      </w:pPr>
    </w:p>
    <w:p>
      <w:pPr>
        <w:ind w:left="1080" w:hanging="424"/>
        <w:spacing w:after="0"/>
        <w:tabs>
          <w:tab w:leader="none" w:pos="10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 addition, if the Change in Control occurs following the completion of a fiscal year in the Performance Period but</w:t>
      </w:r>
    </w:p>
    <w:p>
      <w:pPr>
        <w:spacing w:after="0" w:line="92" w:lineRule="exact"/>
        <w:rPr>
          <w:rFonts w:ascii="Arial" w:cs="Arial" w:eastAsia="Arial" w:hAnsi="Arial"/>
          <w:sz w:val="19"/>
          <w:szCs w:val="19"/>
          <w:color w:val="auto"/>
        </w:rPr>
      </w:pPr>
    </w:p>
    <w:p>
      <w:pPr>
        <w:ind w:right="180"/>
        <w:spacing w:after="0" w:line="292" w:lineRule="auto"/>
        <w:rPr>
          <w:rFonts w:ascii="Arial" w:cs="Arial" w:eastAsia="Arial" w:hAnsi="Arial"/>
          <w:sz w:val="19"/>
          <w:szCs w:val="19"/>
          <w:color w:val="auto"/>
        </w:rPr>
      </w:pPr>
      <w:r>
        <w:rPr>
          <w:rFonts w:ascii="Arial" w:cs="Arial" w:eastAsia="Arial" w:hAnsi="Arial"/>
          <w:sz w:val="22"/>
          <w:szCs w:val="22"/>
          <w:color w:val="auto"/>
        </w:rPr>
        <w:t>prior to the date on which shares of Performance Stock with respect to such year become Vested pursuant to Section 3.1(a) above, then such shares of Performance Stock shall Vest as of immediately prior to the Change in Control in a number determined in accordance with Section 3.1(a)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6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92"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If the Participant incurred a Termination of Service by reason of the Participant’s Disability or death, in either case,</w:t>
      </w:r>
    </w:p>
    <w:p>
      <w:pPr>
        <w:spacing w:after="0" w:line="92" w:lineRule="exact"/>
        <w:rPr>
          <w:rFonts w:ascii="Arial" w:cs="Arial" w:eastAsia="Arial" w:hAnsi="Arial"/>
          <w:sz w:val="19"/>
          <w:szCs w:val="19"/>
          <w:color w:val="auto"/>
        </w:rPr>
      </w:pPr>
    </w:p>
    <w:p>
      <w:pPr>
        <w:ind w:right="560"/>
        <w:spacing w:after="0" w:line="302" w:lineRule="auto"/>
        <w:rPr>
          <w:rFonts w:ascii="Arial" w:cs="Arial" w:eastAsia="Arial" w:hAnsi="Arial"/>
          <w:sz w:val="19"/>
          <w:szCs w:val="19"/>
          <w:color w:val="auto"/>
        </w:rPr>
      </w:pPr>
      <w:r>
        <w:rPr>
          <w:rFonts w:ascii="Arial" w:cs="Arial" w:eastAsia="Arial" w:hAnsi="Arial"/>
          <w:sz w:val="22"/>
          <w:szCs w:val="22"/>
          <w:color w:val="auto"/>
        </w:rPr>
        <w:t>prior to the Change in Control date, then any shares of Performance Stock that Performance-Vest in accordance with Sections 3.5(a) and (b) above shall Vest as of immediately prior to the Change in Control.</w:t>
      </w:r>
    </w:p>
    <w:p>
      <w:pPr>
        <w:spacing w:after="0" w:line="133" w:lineRule="exact"/>
        <w:rPr>
          <w:rFonts w:ascii="Arial" w:cs="Arial" w:eastAsia="Arial" w:hAnsi="Arial"/>
          <w:sz w:val="19"/>
          <w:szCs w:val="19"/>
          <w:color w:val="auto"/>
        </w:rPr>
      </w:pPr>
    </w:p>
    <w:p>
      <w:pPr>
        <w:ind w:left="1140" w:hanging="484"/>
        <w:spacing w:after="0"/>
        <w:tabs>
          <w:tab w:leader="none" w:pos="11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Notwithstanding Sections 3.5(a) and 3.5(b) above, if the Participant incurs (1) a Qualifying Termination on or within</w:t>
      </w:r>
    </w:p>
    <w:p>
      <w:pPr>
        <w:spacing w:after="0" w:line="92" w:lineRule="exact"/>
        <w:rPr>
          <w:rFonts w:ascii="Arial" w:cs="Arial" w:eastAsia="Arial" w:hAnsi="Arial"/>
          <w:sz w:val="19"/>
          <w:szCs w:val="19"/>
          <w:color w:val="auto"/>
        </w:rPr>
      </w:pPr>
    </w:p>
    <w:p>
      <w:pPr>
        <w:ind w:right="100"/>
        <w:spacing w:after="0" w:line="306" w:lineRule="auto"/>
        <w:rPr>
          <w:rFonts w:ascii="Arial" w:cs="Arial" w:eastAsia="Arial" w:hAnsi="Arial"/>
          <w:sz w:val="19"/>
          <w:szCs w:val="19"/>
          <w:color w:val="auto"/>
        </w:rPr>
      </w:pPr>
      <w:r>
        <w:rPr>
          <w:rFonts w:ascii="Arial" w:cs="Arial" w:eastAsia="Arial" w:hAnsi="Arial"/>
          <w:sz w:val="21"/>
          <w:szCs w:val="21"/>
          <w:color w:val="auto"/>
        </w:rPr>
        <w:t>twelve (12) months following the date of a Change in Control and prior to or on the last day of the Performance Period, or (2) a Termination of Service by reason of the Participant’s Disability or death on or following a Change in Control and prior to or on the last day of the Performance Period, then in either case any Performance-Vested shares of Performance Stock that are then-outstanding and have not yet Vested shall Vest in full upon such Termination of Service.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09" w:lineRule="exact"/>
        <w:rPr>
          <w:sz w:val="20"/>
          <w:szCs w:val="20"/>
          <w:color w:val="auto"/>
        </w:rPr>
      </w:pPr>
    </w:p>
    <w:p>
      <w:pPr>
        <w:jc w:val="both"/>
        <w:ind w:right="420" w:firstLine="648"/>
        <w:spacing w:after="0" w:line="367" w:lineRule="auto"/>
        <w:rPr>
          <w:sz w:val="20"/>
          <w:szCs w:val="20"/>
          <w:color w:val="auto"/>
        </w:rPr>
      </w:pPr>
      <w:r>
        <w:rPr>
          <w:rFonts w:ascii="Arial" w:cs="Arial" w:eastAsia="Arial" w:hAnsi="Arial"/>
          <w:sz w:val="19"/>
          <w:szCs w:val="19"/>
          <w:b w:val="1"/>
          <w:bCs w:val="1"/>
          <w:u w:val="single" w:color="auto"/>
          <w:color w:val="auto"/>
        </w:rPr>
        <w:t>Section 4.1</w:t>
      </w:r>
      <w:r>
        <w:rPr>
          <w:rFonts w:ascii="Arial" w:cs="Arial" w:eastAsia="Arial" w:hAnsi="Arial"/>
          <w:sz w:val="19"/>
          <w:szCs w:val="19"/>
          <w:b w:val="1"/>
          <w:bCs w:val="1"/>
          <w:color w:val="auto"/>
        </w:rPr>
        <w:t xml:space="preserve"> No Additional Rights</w:t>
      </w:r>
      <w:r>
        <w:rPr>
          <w:rFonts w:ascii="Arial" w:cs="Arial" w:eastAsia="Arial" w:hAnsi="Arial"/>
          <w:sz w:val="19"/>
          <w:szCs w:val="19"/>
          <w:color w:val="auto"/>
        </w:rPr>
        <w:t>. Nothing in this Award Agreement or in the Plan shall confer upon any person any</w:t>
      </w:r>
      <w:r>
        <w:rPr>
          <w:rFonts w:ascii="Arial" w:cs="Arial" w:eastAsia="Arial" w:hAnsi="Arial"/>
          <w:sz w:val="19"/>
          <w:szCs w:val="19"/>
          <w:b w:val="1"/>
          <w:bCs w:val="1"/>
          <w:color w:val="auto"/>
        </w:rPr>
        <w:t xml:space="preserve"> </w:t>
      </w:r>
      <w:r>
        <w:rPr>
          <w:rFonts w:ascii="Arial" w:cs="Arial" w:eastAsia="Arial" w:hAnsi="Arial"/>
          <w:sz w:val="19"/>
          <w:szCs w:val="19"/>
          <w:color w:val="auto"/>
        </w:rPr>
        <w:t>right to a position as an Associate or continued employment by the Company or any of its Related Corporations or Affiliates or affect in any way the right of any of the foregoing to terminate the services of an individual at any time.</w:t>
      </w:r>
    </w:p>
    <w:p>
      <w:pPr>
        <w:spacing w:after="0" w:line="78" w:lineRule="exact"/>
        <w:rPr>
          <w:sz w:val="20"/>
          <w:szCs w:val="20"/>
          <w:color w:val="auto"/>
        </w:rPr>
      </w:pPr>
    </w:p>
    <w:p>
      <w:pPr>
        <w:ind w:right="180" w:firstLine="648"/>
        <w:spacing w:after="0" w:line="320" w:lineRule="auto"/>
        <w:rPr>
          <w:sz w:val="20"/>
          <w:szCs w:val="20"/>
          <w:color w:val="auto"/>
        </w:rPr>
      </w:pPr>
      <w:r>
        <w:rPr>
          <w:rFonts w:ascii="Arial" w:cs="Arial" w:eastAsia="Arial" w:hAnsi="Arial"/>
          <w:sz w:val="22"/>
          <w:szCs w:val="22"/>
          <w:b w:val="1"/>
          <w:bCs w:val="1"/>
          <w:u w:val="single" w:color="auto"/>
          <w:color w:val="auto"/>
        </w:rPr>
        <w:t>Section 4.2</w:t>
      </w:r>
      <w:r>
        <w:rPr>
          <w:rFonts w:ascii="Arial" w:cs="Arial" w:eastAsia="Arial" w:hAnsi="Arial"/>
          <w:sz w:val="22"/>
          <w:szCs w:val="22"/>
          <w:b w:val="1"/>
          <w:bCs w:val="1"/>
          <w:color w:val="auto"/>
        </w:rPr>
        <w:t xml:space="preserve"> Anti-Assignment</w:t>
      </w:r>
      <w:r>
        <w:rPr>
          <w:rFonts w:ascii="Arial" w:cs="Arial" w:eastAsia="Arial" w:hAnsi="Arial"/>
          <w:sz w:val="22"/>
          <w:szCs w:val="22"/>
          <w:color w:val="auto"/>
        </w:rPr>
        <w:t>. The Participant shall have no right to sell, assign, transfer, pledge, or otherwise encumber</w:t>
      </w:r>
      <w:r>
        <w:rPr>
          <w:rFonts w:ascii="Arial" w:cs="Arial" w:eastAsia="Arial" w:hAnsi="Arial"/>
          <w:sz w:val="22"/>
          <w:szCs w:val="22"/>
          <w:b w:val="1"/>
          <w:bCs w:val="1"/>
          <w:color w:val="auto"/>
        </w:rPr>
        <w:t xml:space="preserve"> </w:t>
      </w:r>
      <w:r>
        <w:rPr>
          <w:rFonts w:ascii="Arial" w:cs="Arial" w:eastAsia="Arial" w:hAnsi="Arial"/>
          <w:sz w:val="22"/>
          <w:szCs w:val="22"/>
          <w:color w:val="auto"/>
        </w:rPr>
        <w:t>or dispose of the Participant’s award of shares of Performance Stock.</w:t>
      </w:r>
    </w:p>
    <w:p>
      <w:pPr>
        <w:spacing w:after="0" w:line="109" w:lineRule="exact"/>
        <w:rPr>
          <w:sz w:val="20"/>
          <w:szCs w:val="20"/>
          <w:color w:val="auto"/>
        </w:rPr>
      </w:pPr>
    </w:p>
    <w:p>
      <w:pPr>
        <w:ind w:right="20" w:firstLine="648"/>
        <w:spacing w:after="0" w:line="334" w:lineRule="auto"/>
        <w:rPr>
          <w:sz w:val="20"/>
          <w:szCs w:val="20"/>
          <w:color w:val="auto"/>
        </w:rPr>
      </w:pPr>
      <w:r>
        <w:rPr>
          <w:rFonts w:ascii="Arial" w:cs="Arial" w:eastAsia="Arial" w:hAnsi="Arial"/>
          <w:sz w:val="19"/>
          <w:szCs w:val="19"/>
          <w:b w:val="1"/>
          <w:bCs w:val="1"/>
          <w:u w:val="single" w:color="auto"/>
          <w:color w:val="auto"/>
        </w:rPr>
        <w:t>Section 4.3</w:t>
      </w:r>
      <w:r>
        <w:rPr>
          <w:rFonts w:ascii="Arial" w:cs="Arial" w:eastAsia="Arial" w:hAnsi="Arial"/>
          <w:sz w:val="19"/>
          <w:szCs w:val="19"/>
          <w:b w:val="1"/>
          <w:bCs w:val="1"/>
          <w:color w:val="auto"/>
        </w:rPr>
        <w:t xml:space="preserve"> Tax Withholding</w:t>
      </w:r>
      <w:r>
        <w:rPr>
          <w:rFonts w:ascii="Arial" w:cs="Arial" w:eastAsia="Arial" w:hAnsi="Arial"/>
          <w:sz w:val="19"/>
          <w:szCs w:val="19"/>
          <w:color w:val="auto"/>
        </w:rPr>
        <w:t>. In satisfaction of all applicable requirements with respect to amounts required by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state or local tax law to be withheld with respect to the vesting, distribution or payment of the shares of Performance Stock, the Company shall withhold Shares otherwise issuable upon such distribution or payment of the shares of Performance Stock having a Fair Market Value equal to the sums required to be withheld. Subject to the following sentence, the number of Shares which shall be so withheld in order to satisfy the Participant’s federal, state and local withholding tax liabilities with respect to the vesting of the shares of Performance Stock or issuance of Shares in payment of the shares of Performance Stock shall be limited to the number of Shares which have a Fair Market Value on the date of issuance equal to the aggregate amount of such liabilities based on the minimum statutory withholding rates for federal, state and local tax purposes that are applicable to, and required in connection with, all or a portion of such supplemental taxable income. In the event that the number of Shares having a Fair Market Value equal to the sums required to be withheld is not a whole number of Shares, the number of Shares so withheld shall be rounded up to the nearest whole share.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62"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86" w:lineRule="exact"/>
        <w:rPr>
          <w:sz w:val="20"/>
          <w:szCs w:val="20"/>
          <w:color w:val="auto"/>
        </w:rPr>
      </w:pPr>
    </w:p>
    <w:p>
      <w:pPr>
        <w:ind w:right="100" w:firstLine="648"/>
        <w:spacing w:after="0" w:line="329" w:lineRule="auto"/>
        <w:rPr>
          <w:sz w:val="20"/>
          <w:szCs w:val="20"/>
          <w:color w:val="auto"/>
        </w:rPr>
      </w:pPr>
      <w:r>
        <w:rPr>
          <w:rFonts w:ascii="Arial" w:cs="Arial" w:eastAsia="Arial" w:hAnsi="Arial"/>
          <w:sz w:val="19"/>
          <w:szCs w:val="19"/>
          <w:b w:val="1"/>
          <w:bCs w:val="1"/>
          <w:u w:val="single" w:color="auto"/>
          <w:color w:val="auto"/>
        </w:rPr>
        <w:t>Section 4.4</w:t>
      </w:r>
      <w:r>
        <w:rPr>
          <w:rFonts w:ascii="Arial" w:cs="Arial" w:eastAsia="Arial" w:hAnsi="Arial"/>
          <w:sz w:val="19"/>
          <w:szCs w:val="19"/>
          <w:b w:val="1"/>
          <w:bCs w:val="1"/>
          <w:color w:val="auto"/>
        </w:rPr>
        <w:t xml:space="preserve"> Notices</w:t>
      </w:r>
      <w:r>
        <w:rPr>
          <w:rFonts w:ascii="Arial" w:cs="Arial" w:eastAsia="Arial" w:hAnsi="Arial"/>
          <w:sz w:val="19"/>
          <w:szCs w:val="19"/>
          <w:color w:val="auto"/>
        </w:rPr>
        <w:t>. Any notice to be given under the terms of this Award Agreement to the Company shall be addressed</w:t>
      </w:r>
      <w:r>
        <w:rPr>
          <w:rFonts w:ascii="Arial" w:cs="Arial" w:eastAsia="Arial" w:hAnsi="Arial"/>
          <w:sz w:val="19"/>
          <w:szCs w:val="19"/>
          <w:b w:val="1"/>
          <w:bCs w:val="1"/>
          <w:color w:val="auto"/>
        </w:rPr>
        <w:t xml:space="preserve"> </w:t>
      </w:r>
      <w:r>
        <w:rPr>
          <w:rFonts w:ascii="Arial" w:cs="Arial" w:eastAsia="Arial" w:hAnsi="Arial"/>
          <w:sz w:val="19"/>
          <w:szCs w:val="19"/>
          <w:color w:val="auto"/>
        </w:rPr>
        <w:t>to the Company in care of its Chief Human Resources Officer, and any notice to be given to the Participant shall be addressed to the Participant at his or her address of record maintained by the Human Resources Department.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or her status and address by written notice under this Section</w:t>
      </w:r>
    </w:p>
    <w:p>
      <w:pPr>
        <w:spacing w:after="0" w:line="5" w:lineRule="exact"/>
        <w:rPr>
          <w:sz w:val="20"/>
          <w:szCs w:val="20"/>
          <w:color w:val="auto"/>
        </w:rPr>
      </w:pPr>
    </w:p>
    <w:p>
      <w:pPr>
        <w:ind w:right="40"/>
        <w:spacing w:after="0" w:line="387" w:lineRule="auto"/>
        <w:rPr>
          <w:sz w:val="20"/>
          <w:szCs w:val="20"/>
          <w:color w:val="auto"/>
        </w:rPr>
      </w:pPr>
      <w:r>
        <w:rPr>
          <w:rFonts w:ascii="Arial" w:cs="Arial" w:eastAsia="Arial" w:hAnsi="Arial"/>
          <w:sz w:val="19"/>
          <w:szCs w:val="19"/>
          <w:color w:val="auto"/>
        </w:rPr>
        <w:t>4.4.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59" w:lineRule="exact"/>
        <w:rPr>
          <w:sz w:val="20"/>
          <w:szCs w:val="20"/>
          <w:color w:val="auto"/>
        </w:rPr>
      </w:pPr>
    </w:p>
    <w:p>
      <w:pPr>
        <w:ind w:right="500" w:firstLine="648"/>
        <w:spacing w:after="0" w:line="320" w:lineRule="auto"/>
        <w:rPr>
          <w:sz w:val="20"/>
          <w:szCs w:val="20"/>
          <w:color w:val="auto"/>
        </w:rPr>
      </w:pPr>
      <w:r>
        <w:rPr>
          <w:rFonts w:ascii="Arial" w:cs="Arial" w:eastAsia="Arial" w:hAnsi="Arial"/>
          <w:sz w:val="22"/>
          <w:szCs w:val="22"/>
          <w:b w:val="1"/>
          <w:bCs w:val="1"/>
          <w:u w:val="single" w:color="auto"/>
          <w:color w:val="auto"/>
        </w:rPr>
        <w:t>Section 4.5</w:t>
      </w:r>
      <w:r>
        <w:rPr>
          <w:rFonts w:ascii="Arial" w:cs="Arial" w:eastAsia="Arial" w:hAnsi="Arial"/>
          <w:sz w:val="22"/>
          <w:szCs w:val="22"/>
          <w:b w:val="1"/>
          <w:bCs w:val="1"/>
          <w:color w:val="auto"/>
        </w:rPr>
        <w:t xml:space="preserve"> Titles</w:t>
      </w:r>
      <w:r>
        <w:rPr>
          <w:rFonts w:ascii="Arial" w:cs="Arial" w:eastAsia="Arial" w:hAnsi="Arial"/>
          <w:sz w:val="22"/>
          <w:szCs w:val="22"/>
          <w:color w:val="auto"/>
        </w:rPr>
        <w:t>. Titles are provided herein for convenience only and are not to serve as a basis for interpretation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construction of this Award Agreement.</w:t>
      </w:r>
    </w:p>
    <w:p>
      <w:pPr>
        <w:spacing w:after="0" w:line="109" w:lineRule="exact"/>
        <w:rPr>
          <w:sz w:val="20"/>
          <w:szCs w:val="20"/>
          <w:color w:val="auto"/>
        </w:rPr>
      </w:pPr>
    </w:p>
    <w:p>
      <w:pPr>
        <w:ind w:right="20" w:firstLine="648"/>
        <w:spacing w:after="0" w:line="342" w:lineRule="auto"/>
        <w:rPr>
          <w:sz w:val="20"/>
          <w:szCs w:val="20"/>
          <w:color w:val="auto"/>
        </w:rPr>
      </w:pPr>
      <w:r>
        <w:rPr>
          <w:rFonts w:ascii="Arial" w:cs="Arial" w:eastAsia="Arial" w:hAnsi="Arial"/>
          <w:sz w:val="19"/>
          <w:szCs w:val="19"/>
          <w:b w:val="1"/>
          <w:bCs w:val="1"/>
          <w:u w:val="single" w:color="auto"/>
          <w:color w:val="auto"/>
        </w:rPr>
        <w:t>Section 4.6</w:t>
      </w:r>
      <w:r>
        <w:rPr>
          <w:rFonts w:ascii="Arial" w:cs="Arial" w:eastAsia="Arial" w:hAnsi="Arial"/>
          <w:sz w:val="19"/>
          <w:szCs w:val="19"/>
          <w:b w:val="1"/>
          <w:bCs w:val="1"/>
          <w:color w:val="auto"/>
        </w:rPr>
        <w:t xml:space="preserve"> Conformity to Securities Laws</w:t>
      </w:r>
      <w:r>
        <w:rPr>
          <w:rFonts w:ascii="Arial" w:cs="Arial" w:eastAsia="Arial" w:hAnsi="Arial"/>
          <w:sz w:val="19"/>
          <w:szCs w:val="19"/>
          <w:color w:val="auto"/>
        </w:rPr>
        <w:t>. This Award Agreement is intended to conform to the extent necessary with</w:t>
      </w:r>
      <w:r>
        <w:rPr>
          <w:rFonts w:ascii="Arial" w:cs="Arial" w:eastAsia="Arial" w:hAnsi="Arial"/>
          <w:sz w:val="19"/>
          <w:szCs w:val="19"/>
          <w:b w:val="1"/>
          <w:bCs w:val="1"/>
          <w:color w:val="auto"/>
        </w:rPr>
        <w:t xml:space="preserve"> </w:t>
      </w:r>
      <w:r>
        <w:rPr>
          <w:rFonts w:ascii="Arial" w:cs="Arial" w:eastAsia="Arial" w:hAnsi="Arial"/>
          <w:sz w:val="19"/>
          <w:szCs w:val="19"/>
          <w:color w:val="auto"/>
        </w:rPr>
        <w:t>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shares of Performance Stock shall be issued, only in such a manner as to conform to such laws, rules and regulations. To the extent permitted by applicable law, this Award Agreement and the shares of Performance Stock issued hereunder shall be deemed amended to the extent necessary to conform to such laws, rules and regulations.</w:t>
      </w:r>
    </w:p>
    <w:p>
      <w:pPr>
        <w:spacing w:after="0" w:line="104" w:lineRule="exact"/>
        <w:rPr>
          <w:sz w:val="20"/>
          <w:szCs w:val="20"/>
          <w:color w:val="auto"/>
        </w:rPr>
      </w:pPr>
    </w:p>
    <w:p>
      <w:pPr>
        <w:ind w:right="40" w:firstLine="648"/>
        <w:spacing w:after="0" w:line="320" w:lineRule="auto"/>
        <w:rPr>
          <w:sz w:val="20"/>
          <w:szCs w:val="20"/>
          <w:color w:val="auto"/>
        </w:rPr>
      </w:pPr>
      <w:r>
        <w:rPr>
          <w:rFonts w:ascii="Arial" w:cs="Arial" w:eastAsia="Arial" w:hAnsi="Arial"/>
          <w:sz w:val="22"/>
          <w:szCs w:val="22"/>
          <w:b w:val="1"/>
          <w:bCs w:val="1"/>
          <w:u w:val="single" w:color="auto"/>
          <w:color w:val="auto"/>
        </w:rPr>
        <w:t>Section 4.7</w:t>
      </w:r>
      <w:r>
        <w:rPr>
          <w:rFonts w:ascii="Arial" w:cs="Arial" w:eastAsia="Arial" w:hAnsi="Arial"/>
          <w:sz w:val="22"/>
          <w:szCs w:val="22"/>
          <w:b w:val="1"/>
          <w:bCs w:val="1"/>
          <w:color w:val="auto"/>
        </w:rPr>
        <w:t xml:space="preserve"> Amendment</w:t>
      </w:r>
      <w:r>
        <w:rPr>
          <w:rFonts w:ascii="Arial" w:cs="Arial" w:eastAsia="Arial" w:hAnsi="Arial"/>
          <w:sz w:val="22"/>
          <w:szCs w:val="22"/>
          <w:color w:val="auto"/>
        </w:rPr>
        <w:t>. This Award Agreement may be amended only by a writing executed by the parties hereto which</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states that it is amending this Award Agreement.</w:t>
      </w:r>
    </w:p>
    <w:p>
      <w:pPr>
        <w:spacing w:after="0" w:line="109" w:lineRule="exact"/>
        <w:rPr>
          <w:sz w:val="20"/>
          <w:szCs w:val="20"/>
          <w:color w:val="auto"/>
        </w:rPr>
      </w:pPr>
    </w:p>
    <w:p>
      <w:pPr>
        <w:ind w:right="80" w:firstLine="648"/>
        <w:spacing w:after="0" w:line="301" w:lineRule="auto"/>
        <w:rPr>
          <w:sz w:val="20"/>
          <w:szCs w:val="20"/>
          <w:color w:val="auto"/>
        </w:rPr>
      </w:pPr>
      <w:r>
        <w:rPr>
          <w:rFonts w:ascii="Arial" w:cs="Arial" w:eastAsia="Arial" w:hAnsi="Arial"/>
          <w:sz w:val="22"/>
          <w:szCs w:val="22"/>
          <w:b w:val="1"/>
          <w:bCs w:val="1"/>
          <w:u w:val="single" w:color="auto"/>
          <w:color w:val="auto"/>
        </w:rPr>
        <w:t>Section 4.8</w:t>
      </w:r>
      <w:r>
        <w:rPr>
          <w:rFonts w:ascii="Arial" w:cs="Arial" w:eastAsia="Arial" w:hAnsi="Arial"/>
          <w:sz w:val="22"/>
          <w:szCs w:val="22"/>
          <w:b w:val="1"/>
          <w:bCs w:val="1"/>
          <w:color w:val="auto"/>
        </w:rPr>
        <w:t xml:space="preserve"> Governing Law</w:t>
      </w:r>
      <w:r>
        <w:rPr>
          <w:rFonts w:ascii="Arial" w:cs="Arial" w:eastAsia="Arial" w:hAnsi="Arial"/>
          <w:sz w:val="22"/>
          <w:szCs w:val="22"/>
          <w:color w:val="auto"/>
        </w:rPr>
        <w:t>. The laws of the State of Delaware shall govern the interpretation, validity, administration,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and performance of the terms of this Award Agreement regardless of the law that might be applied under principles of conflicts of laws.</w:t>
      </w:r>
    </w:p>
    <w:p>
      <w:pPr>
        <w:spacing w:after="0" w:line="1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9"/>
          <w:szCs w:val="19"/>
          <w:b w:val="1"/>
          <w:bCs w:val="1"/>
          <w:u w:val="single" w:color="auto"/>
          <w:color w:val="auto"/>
        </w:rPr>
        <w:t>Section 4.9</w:t>
      </w:r>
      <w:r>
        <w:rPr>
          <w:rFonts w:ascii="Arial" w:cs="Arial" w:eastAsia="Arial" w:hAnsi="Arial"/>
          <w:sz w:val="19"/>
          <w:szCs w:val="19"/>
          <w:b w:val="1"/>
          <w:bCs w:val="1"/>
          <w:color w:val="auto"/>
        </w:rPr>
        <w:t xml:space="preserve"> Section 409A</w:t>
      </w:r>
      <w:r>
        <w:rPr>
          <w:rFonts w:ascii="Arial" w:cs="Arial" w:eastAsia="Arial" w:hAnsi="Arial"/>
          <w:sz w:val="19"/>
          <w:szCs w:val="19"/>
          <w:color w:val="auto"/>
        </w:rPr>
        <w:t>. This Award Agreement shall be interpreted in accordance with the requirements of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409A of the Code. Notwithstanding any provision in this Award Agreement to the contrary, if a payment is deemed to be deferred compensation subject to the requirements of Section 409A of the Code, such payment may only be made under this Award Agreement upon an event and in a manner permitted by Section 409A of the Code. If a payment is not made by the designated payment date under this Award Agreement, the payment shall be made by December 31 of the calendar year in which the designated date occurs. In no event may the Participant, directly or indirectly, designate the calendar year of payment. A</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6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92" w:lineRule="exact"/>
        <w:rPr>
          <w:sz w:val="20"/>
          <w:szCs w:val="20"/>
          <w:color w:val="auto"/>
        </w:rPr>
      </w:pPr>
    </w:p>
    <w:p>
      <w:pPr>
        <w:ind w:right="80"/>
        <w:spacing w:after="0" w:line="332" w:lineRule="auto"/>
        <w:rPr>
          <w:sz w:val="20"/>
          <w:szCs w:val="20"/>
          <w:color w:val="auto"/>
        </w:rPr>
      </w:pPr>
      <w:r>
        <w:rPr>
          <w:rFonts w:ascii="Arial" w:cs="Arial" w:eastAsia="Arial" w:hAnsi="Arial"/>
          <w:sz w:val="19"/>
          <w:szCs w:val="19"/>
          <w:color w:val="auto"/>
        </w:rPr>
        <w:t>termination of service shall not be deemed to have occurred for purposes of any provision of this Award Agreement providing for the payment of any amounts or benefits upon or following a termination of service that are considered “nonqualified deferred compensation” under Section 409A of the Code unless such termination is also a “separation from service” within the meaning of Section 409A of the Code and, for purposes of any such provision of this award Agreement, references to a “termination,” “Termination of Service” or like terms shall mean “separation from service.” Notwithstanding anything to the contrary in this Award Agreement, no amounts payable to the Participant under this Award Agreement shall be paid to the Participant prior to the expiration of the 6-month period following the Participant’s “separation from service” if the Company determines that paying such amounts at the time or times indicated in this Award Agreement would be a prohibited distribution under Section 409A(a)(2)(b)(i) of the Code. If the payment of any such amounts is delayed as a result of the previous sentence, then on the first day following the end of such 6-month period, the Company shall pay the Participant a lump-sum amount equal to the cumulative amount that would have otherwise been payable to the Participant during such 6-month period.</w:t>
      </w:r>
    </w:p>
    <w:p>
      <w:pPr>
        <w:spacing w:after="0" w:line="113" w:lineRule="exact"/>
        <w:rPr>
          <w:sz w:val="20"/>
          <w:szCs w:val="20"/>
          <w:color w:val="auto"/>
        </w:rPr>
      </w:pPr>
    </w:p>
    <w:p>
      <w:pPr>
        <w:ind w:right="40" w:firstLine="648"/>
        <w:spacing w:after="0" w:line="303" w:lineRule="auto"/>
        <w:rPr>
          <w:sz w:val="20"/>
          <w:szCs w:val="20"/>
          <w:color w:val="auto"/>
        </w:rPr>
      </w:pPr>
      <w:r>
        <w:rPr>
          <w:rFonts w:ascii="Arial" w:cs="Arial" w:eastAsia="Arial" w:hAnsi="Arial"/>
          <w:sz w:val="21"/>
          <w:szCs w:val="21"/>
          <w:b w:val="1"/>
          <w:bCs w:val="1"/>
          <w:u w:val="single" w:color="auto"/>
          <w:color w:val="auto"/>
        </w:rPr>
        <w:t>Section 4.10</w:t>
      </w:r>
      <w:r>
        <w:rPr>
          <w:rFonts w:ascii="Arial" w:cs="Arial" w:eastAsia="Arial" w:hAnsi="Arial"/>
          <w:sz w:val="21"/>
          <w:szCs w:val="21"/>
          <w:b w:val="1"/>
          <w:bCs w:val="1"/>
          <w:color w:val="auto"/>
        </w:rPr>
        <w:t xml:space="preserve"> Electronic Delivery and Acceptance</w:t>
      </w:r>
      <w:r>
        <w:rPr>
          <w:rFonts w:ascii="Arial" w:cs="Arial" w:eastAsia="Arial" w:hAnsi="Arial"/>
          <w:sz w:val="21"/>
          <w:szCs w:val="21"/>
          <w:color w:val="auto"/>
        </w:rPr>
        <w:t>. Participant hereby consents to receive the Notice of Grant of Award</w:t>
      </w:r>
      <w:r>
        <w:rPr>
          <w:rFonts w:ascii="Arial" w:cs="Arial" w:eastAsia="Arial" w:hAnsi="Arial"/>
          <w:sz w:val="21"/>
          <w:szCs w:val="21"/>
          <w:b w:val="1"/>
          <w:bCs w:val="1"/>
          <w:color w:val="auto"/>
        </w:rPr>
        <w:t xml:space="preserve"> </w:t>
      </w:r>
      <w:r>
        <w:rPr>
          <w:rFonts w:ascii="Arial" w:cs="Arial" w:eastAsia="Arial" w:hAnsi="Arial"/>
          <w:sz w:val="21"/>
          <w:szCs w:val="21"/>
          <w:color w:val="auto"/>
        </w:rPr>
        <w:t>and Award Agreement and any other documents related to this award or future awards by electronic delivery and to accept this or future awards through an on-line or electronic system established and maintained by the Company or another third party designated by the Company Participant acknowledges that he/she has read, understand and agrees to the terms of the Notice of Grant of Award and Award Agreement. By clicking the “ACCEPT” button on E*TRADE’s on-line grant agreement response page, it will act as Participant’s electronic signature to these documents and will result in a contract between Integra LifeSciences Holdings Corporation and the Participant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62"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Performance Stock Agreement as of the date first above written.</w:t>
      </w:r>
    </w:p>
    <w:p>
      <w:pPr>
        <w:spacing w:after="0" w:line="200" w:lineRule="exact"/>
        <w:rPr>
          <w:sz w:val="20"/>
          <w:szCs w:val="20"/>
          <w:color w:val="auto"/>
        </w:rPr>
      </w:pPr>
    </w:p>
    <w:p>
      <w:pPr>
        <w:spacing w:after="0" w:line="31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INTEGRA LIFESCIENCES</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HOLDINGS CORPORATION</w:t>
      </w:r>
    </w:p>
    <w:p>
      <w:pPr>
        <w:spacing w:after="0" w:line="200" w:lineRule="exact"/>
        <w:rPr>
          <w:sz w:val="20"/>
          <w:szCs w:val="20"/>
          <w:color w:val="auto"/>
        </w:rPr>
      </w:pPr>
    </w:p>
    <w:p>
      <w:pPr>
        <w:spacing w:after="0" w:line="258"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By___________________</w:t>
      </w:r>
    </w:p>
    <w:p>
      <w:pPr>
        <w:ind w:left="6880"/>
        <w:spacing w:after="0" w:line="238"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b w:val="1"/>
          <w:bCs w:val="1"/>
          <w:color w:val="auto"/>
        </w:rPr>
        <w:t>Peter Arduini</w:t>
      </w:r>
    </w:p>
    <w:p>
      <w:pPr>
        <w:ind w:left="68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b w:val="1"/>
          <w:bCs w:val="1"/>
          <w:color w:val="auto"/>
        </w:rPr>
        <w:t>President &amp; CEO</w:t>
      </w:r>
    </w:p>
    <w:p>
      <w:pPr>
        <w:spacing w:after="0" w:line="200" w:lineRule="exact"/>
        <w:rPr>
          <w:sz w:val="20"/>
          <w:szCs w:val="20"/>
          <w:color w:val="auto"/>
        </w:rPr>
      </w:pPr>
    </w:p>
    <w:p>
      <w:pPr>
        <w:spacing w:after="0" w:line="252" w:lineRule="exact"/>
        <w:rPr>
          <w:sz w:val="20"/>
          <w:szCs w:val="20"/>
          <w:color w:val="auto"/>
        </w:rPr>
      </w:pPr>
    </w:p>
    <w:p>
      <w:pPr>
        <w:ind w:left="6880"/>
        <w:spacing w:after="0"/>
        <w:rPr>
          <w:sz w:val="20"/>
          <w:szCs w:val="20"/>
          <w:color w:val="auto"/>
        </w:rPr>
      </w:pPr>
      <w:r>
        <w:rPr>
          <w:rFonts w:ascii="Arial" w:cs="Arial" w:eastAsia="Arial" w:hAnsi="Arial"/>
          <w:sz w:val="22"/>
          <w:szCs w:val="22"/>
          <w:b w:val="1"/>
          <w:bCs w:val="1"/>
          <w:color w:val="auto"/>
        </w:rPr>
        <w:t>PARTICIPANT</w:t>
      </w:r>
    </w:p>
    <w:p>
      <w:pPr>
        <w:spacing w:after="0" w:line="233" w:lineRule="exact"/>
        <w:rPr>
          <w:sz w:val="20"/>
          <w:szCs w:val="20"/>
          <w:color w:val="auto"/>
        </w:rPr>
      </w:pPr>
    </w:p>
    <w:p>
      <w:pPr>
        <w:ind w:left="6880"/>
        <w:spacing w:after="0"/>
        <w:rPr>
          <w:sz w:val="20"/>
          <w:szCs w:val="20"/>
          <w:color w:val="auto"/>
        </w:rPr>
      </w:pPr>
      <w:r>
        <w:rPr>
          <w:rFonts w:ascii="Arial" w:cs="Arial" w:eastAsia="Arial" w:hAnsi="Arial"/>
          <w:sz w:val="22"/>
          <w:szCs w:val="22"/>
          <w:b w:val="1"/>
          <w:bCs w:val="1"/>
          <w:color w:val="auto"/>
        </w:rPr>
        <w:t>_____________________</w:t>
      </w:r>
    </w:p>
    <w:p>
      <w:pPr>
        <w:sectPr>
          <w:pgSz w:w="11900" w:h="16838" w:orient="portrait"/>
          <w:cols w:equalWidth="0" w:num="1">
            <w:col w:w="11420"/>
          </w:cols>
          <w:pgMar w:left="240" w:top="16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73"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EXHIBIT A</w:t>
      </w:r>
    </w:p>
    <w:p>
      <w:pPr>
        <w:spacing w:after="0" w:line="193"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PERFORMANCE GOALS AND PERFORMANCE PERIOD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Capitalized terms shall have the meaning set forth in Performance Stock Agreement.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Performance Period</w:t>
      </w:r>
      <w:r>
        <w:rPr>
          <w:rFonts w:ascii="Arial" w:cs="Arial" w:eastAsia="Arial" w:hAnsi="Arial"/>
          <w:sz w:val="22"/>
          <w:szCs w:val="22"/>
          <w:color w:val="auto"/>
        </w:rPr>
        <w:t>” shall be the three-year period beginning January 1, 2018 and ending December 31, 2020.</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Catch-Up Performance Goal</w:t>
      </w:r>
      <w:r>
        <w:rPr>
          <w:rFonts w:ascii="Arial" w:cs="Arial" w:eastAsia="Arial" w:hAnsi="Arial"/>
          <w:sz w:val="22"/>
          <w:szCs w:val="22"/>
          <w:color w:val="auto"/>
        </w:rPr>
        <w:t>” shall mean that the Company achieves, as of the end of the Performance Period (but not due to a Change in Control), an average 3-year Annual Organic Revenue growth rate of at least 5.0%.</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With respect to each fiscal year in the Performance Period, the “Performance Goal” is that the Company achieves a Threshold Level or higher level of growth in Annual Organic Revenue over the immediately preceding fiscal year, as set forth in the table below. A number of shares of Performance Stock will Performance-Vest in accordance with Section 3.1 of the Performance Stock Agreement based on the percentage growth in Annual Organic Revenue over the immediately preceding fiscal year:</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3900" w:type="dxa"/>
            <w:vAlign w:val="bottom"/>
            <w:tcBorders>
              <w:top w:val="single" w:sz="8" w:color="auto"/>
              <w:left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22"/>
                <w:szCs w:val="22"/>
                <w:b w:val="1"/>
                <w:bCs w:val="1"/>
                <w:color w:val="auto"/>
                <w:w w:val="91"/>
              </w:rPr>
              <w:t>Growth in Annual Organic</w:t>
            </w:r>
          </w:p>
        </w:tc>
        <w:tc>
          <w:tcPr>
            <w:tcW w:w="21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w w:val="89"/>
              </w:rPr>
              <w:t>Performance Vesting</w:t>
            </w:r>
          </w:p>
        </w:tc>
        <w:tc>
          <w:tcPr>
            <w:tcW w:w="0" w:type="dxa"/>
            <w:vAlign w:val="bottom"/>
          </w:tcPr>
          <w:p>
            <w:pPr>
              <w:spacing w:after="0"/>
              <w:rPr>
                <w:sz w:val="1"/>
                <w:szCs w:val="1"/>
                <w:color w:val="auto"/>
              </w:rPr>
            </w:pPr>
          </w:p>
        </w:tc>
      </w:tr>
      <w:tr>
        <w:trPr>
          <w:trHeight w:val="148"/>
        </w:trPr>
        <w:tc>
          <w:tcPr>
            <w:tcW w:w="3900" w:type="dxa"/>
            <w:vAlign w:val="bottom"/>
            <w:tcBorders>
              <w:lef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800" w:type="dxa"/>
            <w:vAlign w:val="bottom"/>
            <w:gridSpan w:val="3"/>
          </w:tcPr>
          <w:p>
            <w:pPr>
              <w:jc w:val="center"/>
              <w:ind w:right="20"/>
              <w:spacing w:after="0" w:line="148" w:lineRule="exact"/>
              <w:rPr>
                <w:sz w:val="20"/>
                <w:szCs w:val="20"/>
                <w:color w:val="auto"/>
              </w:rPr>
            </w:pPr>
            <w:r>
              <w:rPr>
                <w:rFonts w:ascii="Arial" w:cs="Arial" w:eastAsia="Arial" w:hAnsi="Arial"/>
                <w:sz w:val="17"/>
                <w:szCs w:val="17"/>
                <w:b w:val="1"/>
                <w:bCs w:val="1"/>
                <w:color w:val="auto"/>
              </w:rPr>
              <w:t>Revenue over the Prior</w:t>
            </w:r>
          </w:p>
        </w:tc>
        <w:tc>
          <w:tcPr>
            <w:tcW w:w="2100" w:type="dxa"/>
            <w:vAlign w:val="bottom"/>
            <w:tcBorders>
              <w:right w:val="single" w:sz="8" w:color="auto"/>
            </w:tcBorders>
            <w:vMerge w:val="restart"/>
          </w:tcPr>
          <w:p>
            <w:pPr>
              <w:jc w:val="right"/>
              <w:ind w:right="452"/>
              <w:spacing w:after="0"/>
              <w:rPr>
                <w:sz w:val="20"/>
                <w:szCs w:val="20"/>
                <w:color w:val="auto"/>
              </w:rPr>
            </w:pPr>
            <w:r>
              <w:rPr>
                <w:rFonts w:ascii="Arial" w:cs="Arial" w:eastAsia="Arial" w:hAnsi="Arial"/>
                <w:sz w:val="22"/>
                <w:szCs w:val="22"/>
                <w:b w:val="1"/>
                <w:bCs w:val="1"/>
                <w:color w:val="auto"/>
              </w:rPr>
              <w:t>Percentage</w:t>
            </w:r>
          </w:p>
        </w:tc>
        <w:tc>
          <w:tcPr>
            <w:tcW w:w="0" w:type="dxa"/>
            <w:vAlign w:val="bottom"/>
          </w:tcPr>
          <w:p>
            <w:pPr>
              <w:spacing w:after="0"/>
              <w:rPr>
                <w:sz w:val="1"/>
                <w:szCs w:val="1"/>
                <w:color w:val="auto"/>
              </w:rPr>
            </w:pPr>
          </w:p>
        </w:tc>
      </w:tr>
      <w:tr>
        <w:trPr>
          <w:trHeight w:val="159"/>
        </w:trPr>
        <w:tc>
          <w:tcPr>
            <w:tcW w:w="390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800" w:type="dxa"/>
            <w:vAlign w:val="bottom"/>
            <w:gridSpan w:val="3"/>
            <w:vMerge w:val="restart"/>
          </w:tcPr>
          <w:p>
            <w:pPr>
              <w:jc w:val="center"/>
              <w:ind w:right="40"/>
              <w:spacing w:after="0"/>
              <w:rPr>
                <w:sz w:val="20"/>
                <w:szCs w:val="20"/>
                <w:color w:val="auto"/>
              </w:rPr>
            </w:pPr>
            <w:r>
              <w:rPr>
                <w:rFonts w:ascii="Arial" w:cs="Arial" w:eastAsia="Arial" w:hAnsi="Arial"/>
                <w:sz w:val="22"/>
                <w:szCs w:val="22"/>
                <w:b w:val="1"/>
                <w:bCs w:val="1"/>
                <w:color w:val="auto"/>
                <w:w w:val="91"/>
              </w:rPr>
              <w:t>Fiscal Year (%)</w:t>
            </w:r>
          </w:p>
        </w:tc>
        <w:tc>
          <w:tcPr>
            <w:tcW w:w="21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900" w:type="dxa"/>
            <w:vAlign w:val="bottom"/>
            <w:tcBorders>
              <w:lef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2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0"/>
        </w:trPr>
        <w:tc>
          <w:tcPr>
            <w:tcW w:w="3900" w:type="dxa"/>
            <w:vAlign w:val="bottom"/>
            <w:tcBorders>
              <w:left w:val="single" w:sz="8" w:color="auto"/>
            </w:tcBorders>
            <w:shd w:val="clear" w:color="auto" w:fill="DAEEF3"/>
          </w:tcPr>
          <w:p>
            <w:pPr>
              <w:spacing w:after="0"/>
              <w:rPr>
                <w:sz w:val="24"/>
                <w:szCs w:val="24"/>
                <w:color w:val="auto"/>
              </w:rPr>
            </w:pPr>
          </w:p>
        </w:tc>
        <w:tc>
          <w:tcPr>
            <w:tcW w:w="3180" w:type="dxa"/>
            <w:vAlign w:val="bottom"/>
            <w:gridSpan w:val="4"/>
            <w:shd w:val="clear" w:color="auto" w:fill="DAEEF3"/>
          </w:tcPr>
          <w:p>
            <w:pPr>
              <w:jc w:val="right"/>
              <w:ind w:right="240"/>
              <w:spacing w:after="0"/>
              <w:rPr>
                <w:sz w:val="20"/>
                <w:szCs w:val="20"/>
                <w:color w:val="auto"/>
              </w:rPr>
            </w:pPr>
            <w:r>
              <w:rPr>
                <w:rFonts w:ascii="Arial" w:cs="Arial" w:eastAsia="Arial" w:hAnsi="Arial"/>
                <w:sz w:val="22"/>
                <w:szCs w:val="22"/>
                <w:color w:val="auto"/>
              </w:rPr>
              <w:t>&lt; 2%</w:t>
            </w:r>
          </w:p>
        </w:tc>
        <w:tc>
          <w:tcPr>
            <w:tcW w:w="2100" w:type="dxa"/>
            <w:vAlign w:val="bottom"/>
            <w:tcBorders>
              <w:right w:val="single" w:sz="8" w:color="auto"/>
            </w:tcBorders>
            <w:shd w:val="clear" w:color="auto" w:fill="DAEEF3"/>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02"/>
        </w:trPr>
        <w:tc>
          <w:tcPr>
            <w:tcW w:w="3900" w:type="dxa"/>
            <w:vAlign w:val="bottom"/>
            <w:tcBorders>
              <w:left w:val="single" w:sz="8" w:color="auto"/>
            </w:tcBorders>
          </w:tcPr>
          <w:p>
            <w:pPr>
              <w:ind w:left="40"/>
              <w:spacing w:after="0"/>
              <w:rPr>
                <w:sz w:val="20"/>
                <w:szCs w:val="20"/>
                <w:color w:val="auto"/>
              </w:rPr>
            </w:pPr>
            <w:r>
              <w:rPr>
                <w:rFonts w:ascii="Arial" w:cs="Arial" w:eastAsia="Arial" w:hAnsi="Arial"/>
                <w:sz w:val="22"/>
                <w:szCs w:val="22"/>
                <w:b w:val="1"/>
                <w:bCs w:val="1"/>
                <w:color w:val="auto"/>
              </w:rPr>
              <w:t>“Threshold Level”</w:t>
            </w:r>
          </w:p>
        </w:tc>
        <w:tc>
          <w:tcPr>
            <w:tcW w:w="3180" w:type="dxa"/>
            <w:vAlign w:val="bottom"/>
            <w:gridSpan w:val="4"/>
          </w:tcPr>
          <w:p>
            <w:pPr>
              <w:jc w:val="right"/>
              <w:ind w:right="60"/>
              <w:spacing w:after="0"/>
              <w:rPr>
                <w:sz w:val="20"/>
                <w:szCs w:val="20"/>
                <w:color w:val="auto"/>
              </w:rPr>
            </w:pPr>
            <w:r>
              <w:rPr>
                <w:rFonts w:ascii="Arial" w:cs="Arial" w:eastAsia="Arial" w:hAnsi="Arial"/>
                <w:sz w:val="22"/>
                <w:szCs w:val="22"/>
                <w:color w:val="auto"/>
              </w:rPr>
              <w:t>2%</w:t>
            </w:r>
          </w:p>
        </w:tc>
        <w:tc>
          <w:tcPr>
            <w:tcW w:w="210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319"/>
        </w:trPr>
        <w:tc>
          <w:tcPr>
            <w:tcW w:w="3900" w:type="dxa"/>
            <w:vAlign w:val="bottom"/>
            <w:tcBorders>
              <w:left w:val="single" w:sz="8" w:color="auto"/>
            </w:tcBorders>
            <w:shd w:val="clear" w:color="auto" w:fill="DAEEF3"/>
          </w:tcPr>
          <w:p>
            <w:pPr>
              <w:ind w:left="40"/>
              <w:spacing w:after="0"/>
              <w:rPr>
                <w:sz w:val="20"/>
                <w:szCs w:val="20"/>
                <w:color w:val="auto"/>
              </w:rPr>
            </w:pPr>
            <w:r>
              <w:rPr>
                <w:rFonts w:ascii="Arial" w:cs="Arial" w:eastAsia="Arial" w:hAnsi="Arial"/>
                <w:sz w:val="22"/>
                <w:szCs w:val="22"/>
                <w:b w:val="1"/>
                <w:bCs w:val="1"/>
                <w:color w:val="auto"/>
              </w:rPr>
              <w:t>“Target Level”</w:t>
            </w:r>
          </w:p>
        </w:tc>
        <w:tc>
          <w:tcPr>
            <w:tcW w:w="3180" w:type="dxa"/>
            <w:vAlign w:val="bottom"/>
            <w:gridSpan w:val="4"/>
            <w:shd w:val="clear" w:color="auto" w:fill="DAEEF3"/>
          </w:tcPr>
          <w:p>
            <w:pPr>
              <w:jc w:val="right"/>
              <w:ind w:right="60"/>
              <w:spacing w:after="0"/>
              <w:rPr>
                <w:sz w:val="20"/>
                <w:szCs w:val="20"/>
                <w:color w:val="auto"/>
              </w:rPr>
            </w:pPr>
            <w:r>
              <w:rPr>
                <w:rFonts w:ascii="Arial" w:cs="Arial" w:eastAsia="Arial" w:hAnsi="Arial"/>
                <w:sz w:val="22"/>
                <w:szCs w:val="22"/>
                <w:color w:val="auto"/>
              </w:rPr>
              <w:t>5%</w:t>
            </w:r>
          </w:p>
        </w:tc>
        <w:tc>
          <w:tcPr>
            <w:tcW w:w="2100" w:type="dxa"/>
            <w:vAlign w:val="bottom"/>
            <w:tcBorders>
              <w:right w:val="single" w:sz="8" w:color="auto"/>
            </w:tcBorders>
            <w:shd w:val="clear" w:color="auto" w:fill="DAEEF3"/>
          </w:tcPr>
          <w:p>
            <w:pPr>
              <w:jc w:val="right"/>
              <w:spacing w:after="0"/>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243"/>
        </w:trPr>
        <w:tc>
          <w:tcPr>
            <w:tcW w:w="390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“Maximum Level”</w:t>
            </w:r>
          </w:p>
        </w:tc>
        <w:tc>
          <w:tcPr>
            <w:tcW w:w="3180" w:type="dxa"/>
            <w:vAlign w:val="bottom"/>
            <w:gridSpan w:val="4"/>
          </w:tcPr>
          <w:p>
            <w:pPr>
              <w:jc w:val="right"/>
              <w:ind w:right="240"/>
              <w:spacing w:after="0" w:line="243" w:lineRule="exact"/>
              <w:rPr>
                <w:sz w:val="20"/>
                <w:szCs w:val="20"/>
                <w:color w:val="auto"/>
              </w:rPr>
            </w:pPr>
            <w:r>
              <w:rPr>
                <w:rFonts w:ascii="Arial" w:cs="Arial" w:eastAsia="Arial" w:hAnsi="Arial"/>
                <w:sz w:val="22"/>
                <w:szCs w:val="22"/>
                <w:color w:val="auto"/>
              </w:rPr>
              <w:t>&gt; 7%</w:t>
            </w:r>
          </w:p>
        </w:tc>
        <w:tc>
          <w:tcPr>
            <w:tcW w:w="210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rPr>
              <w:t>150%</w:t>
            </w:r>
          </w:p>
        </w:tc>
        <w:tc>
          <w:tcPr>
            <w:tcW w:w="0" w:type="dxa"/>
            <w:vAlign w:val="bottom"/>
          </w:tcPr>
          <w:p>
            <w:pPr>
              <w:spacing w:after="0"/>
              <w:rPr>
                <w:sz w:val="1"/>
                <w:szCs w:val="1"/>
                <w:color w:val="auto"/>
              </w:rPr>
            </w:pPr>
          </w:p>
        </w:tc>
      </w:tr>
      <w:tr>
        <w:trPr>
          <w:trHeight w:val="48"/>
        </w:trPr>
        <w:tc>
          <w:tcPr>
            <w:tcW w:w="3900" w:type="dxa"/>
            <w:vAlign w:val="bottom"/>
            <w:tcBorders>
              <w:lef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3900" w:type="dxa"/>
            <w:vAlign w:val="bottom"/>
            <w:tcBorders>
              <w:left w:val="single" w:sz="8" w:color="auto"/>
            </w:tcBorders>
            <w:shd w:val="clear" w:color="auto" w:fill="000000"/>
          </w:tcPr>
          <w:p>
            <w:pPr>
              <w:spacing w:after="0"/>
              <w:rPr>
                <w:sz w:val="24"/>
                <w:szCs w:val="24"/>
                <w:color w:val="auto"/>
              </w:rPr>
            </w:pPr>
          </w:p>
        </w:tc>
        <w:tc>
          <w:tcPr>
            <w:tcW w:w="380" w:type="dxa"/>
            <w:vAlign w:val="bottom"/>
            <w:shd w:val="clear" w:color="auto" w:fill="000000"/>
          </w:tcPr>
          <w:p>
            <w:pPr>
              <w:spacing w:after="0"/>
              <w:rPr>
                <w:sz w:val="24"/>
                <w:szCs w:val="24"/>
                <w:color w:val="auto"/>
              </w:rPr>
            </w:pPr>
          </w:p>
        </w:tc>
        <w:tc>
          <w:tcPr>
            <w:tcW w:w="210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580" w:type="dxa"/>
            <w:vAlign w:val="bottom"/>
            <w:shd w:val="clear" w:color="auto" w:fill="000000"/>
          </w:tcPr>
          <w:p>
            <w:pPr>
              <w:spacing w:after="0"/>
              <w:rPr>
                <w:sz w:val="24"/>
                <w:szCs w:val="24"/>
                <w:color w:val="auto"/>
              </w:rPr>
            </w:pPr>
          </w:p>
        </w:tc>
        <w:tc>
          <w:tcPr>
            <w:tcW w:w="210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-1731645</wp:posOffset>
            </wp:positionV>
            <wp:extent cx="5805805" cy="1732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05805" cy="1732280"/>
                    </a:xfrm>
                    <a:prstGeom prst="rect">
                      <a:avLst/>
                    </a:prstGeom>
                    <a:noFill/>
                  </pic:spPr>
                </pic:pic>
              </a:graphicData>
            </a:graphic>
          </wp:anchor>
        </w:drawing>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the event that the growth in Annual Organic Revenue over the immediately preceding fiscal year falls between the “Threshold Level” and the “Target Level,” then the Performance Vesting Percentage shall be determined by extrapolating between the “Threshold Level,” anchor points of 3% Annual Organic Revenue growth (with a 70% Performance Vesting Percentage) and 4% Annual Organic Revenue growth (with an 85% Performance Vesting Percentage), and the “Target Level.” In the event that the growth in Annual Organic Revenue over the immediately preceding fiscal year falls between the “Target Level” and the “Maximum Level,” then the Performance Vesting Percentage shall be determined by means of linear interpolation between the “Target Level,” an anchor point of 6% Annual Organic Revenue growth (with a 125% Performance Vesting Percentage), and the “Maximum Level.”</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Notwithstanding the forgoing, in the event that (i) a Change in Control does not occur during the Performance Period, (ii) the Performance Goal with respect to a given fiscal year in the Performance Period is not achieved at the applicable Target Level or higher, and (iii) the Catch-Up Performance Goal is achieved, then a number of shares of Performance Stock equal to the difference between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A-0</w:t>
      </w:r>
    </w:p>
    <w:p>
      <w:pPr>
        <w:sectPr>
          <w:pgSz w:w="11900" w:h="16838" w:orient="portrait"/>
          <w:cols w:equalWidth="0" w:num="1">
            <w:col w:w="11420"/>
          </w:cols>
          <w:pgMar w:left="240" w:top="162"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8"/>
        <w:spacing w:after="0" w:line="302" w:lineRule="auto"/>
        <w:tabs>
          <w:tab w:leader="none" w:pos="308"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number of shares of Performance Stock which would have Vested in the event that the Performance Goal had been achieved at the Target Level with respect to such fiscal year and (y) the number of shares of Performance Stock which actually became Vested based on the applicable Performance Vesting Percentage for such fiscal year, shall become Vested in accordance with Section 3.1(b) of the Performance Stock Agreement (such number of shares, the “</w:t>
      </w:r>
      <w:r>
        <w:rPr>
          <w:rFonts w:ascii="Arial" w:cs="Arial" w:eastAsia="Arial" w:hAnsi="Arial"/>
          <w:sz w:val="19"/>
          <w:szCs w:val="19"/>
          <w:u w:val="single" w:color="auto"/>
          <w:color w:val="auto"/>
        </w:rPr>
        <w:t>Catch-Up Shares</w:t>
      </w:r>
      <w:r>
        <w:rPr>
          <w:rFonts w:ascii="Arial" w:cs="Arial" w:eastAsia="Arial" w:hAnsi="Arial"/>
          <w:sz w:val="19"/>
          <w:szCs w:val="19"/>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162"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PERFORMANCE STOCK AGREEMENT </w:t>
      </w:r>
      <w:r>
        <w:rPr>
          <w:rFonts w:ascii="Arial" w:cs="Arial" w:eastAsia="Arial" w:hAnsi="Arial"/>
          <w:sz w:val="21"/>
          <w:szCs w:val="21"/>
          <w:color w:val="auto"/>
        </w:rPr>
        <w:t>(the “</w:t>
      </w:r>
      <w:r>
        <w:rPr>
          <w:rFonts w:ascii="Arial" w:cs="Arial" w:eastAsia="Arial" w:hAnsi="Arial"/>
          <w:sz w:val="21"/>
          <w:szCs w:val="21"/>
          <w:u w:val="single" w:color="auto"/>
          <w:color w:val="auto"/>
        </w:rPr>
        <w:t>Award Agreement</w:t>
      </w:r>
      <w:r>
        <w:rPr>
          <w:rFonts w:ascii="Arial" w:cs="Arial" w:eastAsia="Arial" w:hAnsi="Arial"/>
          <w:sz w:val="21"/>
          <w:szCs w:val="21"/>
          <w:color w:val="auto"/>
        </w:rPr>
        <w:t>”), dated as of _____________ (the “</w:t>
      </w:r>
      <w:r>
        <w:rPr>
          <w:rFonts w:ascii="Arial" w:cs="Arial" w:eastAsia="Arial" w:hAnsi="Arial"/>
          <w:sz w:val="21"/>
          <w:szCs w:val="21"/>
          <w:u w:val="single" w:color="auto"/>
          <w:color w:val="auto"/>
        </w:rPr>
        <w:t>Award</w:t>
      </w:r>
    </w:p>
    <w:p>
      <w:pPr>
        <w:spacing w:after="0" w:line="3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u w:val="single" w:color="auto"/>
          <w:color w:val="auto"/>
        </w:rPr>
        <w:t>Date</w:t>
      </w:r>
      <w:r>
        <w:rPr>
          <w:rFonts w:ascii="Arial" w:cs="Arial" w:eastAsia="Arial" w:hAnsi="Arial"/>
          <w:sz w:val="22"/>
          <w:szCs w:val="22"/>
          <w:color w:val="auto"/>
        </w:rPr>
        <w:t>”), is made by and between Integra LifeSciences Holdings Corporation,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and____________, an employee of the Company (or one or more of its Related Corporations or Affiliates), hereinafter referred to as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determined to grant to the Participant an award of Performance Stock (as defined below), on</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set forth herein, under the Integra LifeSciences Holdings Corporation Fourth Amended and Restated 2003 Equity Incentive Plan, as amended (the “</w:t>
      </w:r>
      <w:r>
        <w:rPr>
          <w:rFonts w:ascii="Arial" w:cs="Arial" w:eastAsia="Arial" w:hAnsi="Arial"/>
          <w:sz w:val="22"/>
          <w:szCs w:val="22"/>
          <w:u w:val="single" w:color="auto"/>
          <w:color w:val="auto"/>
        </w:rPr>
        <w:t>Plan</w:t>
      </w:r>
      <w:r>
        <w:rPr>
          <w:rFonts w:ascii="Arial" w:cs="Arial" w:eastAsia="Arial" w:hAnsi="Arial"/>
          <w:sz w:val="22"/>
          <w:szCs w:val="22"/>
          <w:color w:val="auto"/>
        </w:rPr>
        <w:t>”), the terms of which are hereby incorporated by reference and made part of this Award Agreement.</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various covenants herein contained, and intending to be legally bound</w:t>
      </w:r>
      <w:r>
        <w:rPr>
          <w:rFonts w:ascii="Arial" w:cs="Arial" w:eastAsia="Arial" w:hAnsi="Arial"/>
          <w:sz w:val="22"/>
          <w:szCs w:val="22"/>
          <w:b w:val="1"/>
          <w:bCs w:val="1"/>
          <w:color w:val="auto"/>
        </w:rPr>
        <w:t xml:space="preserve"> </w:t>
      </w:r>
      <w:r>
        <w:rPr>
          <w:rFonts w:ascii="Arial" w:cs="Arial" w:eastAsia="Arial" w:hAnsi="Arial"/>
          <w:sz w:val="22"/>
          <w:szCs w:val="22"/>
          <w:color w:val="auto"/>
        </w:rPr>
        <w:t>hereby, the parties hereto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Capitalized terms not otherwise defined below shall have the meaning set forth in the Plan. The masculine pronoun shall include the feminine and neuter, and the singular the plural, where the context so indicates.</w:t>
      </w:r>
    </w:p>
    <w:p>
      <w:pPr>
        <w:spacing w:after="0" w:line="22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u w:val="single" w:color="auto"/>
          <w:color w:val="auto"/>
        </w:rPr>
        <w:t>Section 1.1</w:t>
      </w:r>
      <w:r>
        <w:rPr>
          <w:rFonts w:ascii="Arial" w:cs="Arial" w:eastAsia="Arial" w:hAnsi="Arial"/>
          <w:sz w:val="22"/>
          <w:szCs w:val="22"/>
          <w:b w:val="1"/>
          <w:bCs w:val="1"/>
          <w:color w:val="auto"/>
        </w:rPr>
        <w:t xml:space="preserve"> Annual Organic Revenue</w:t>
      </w:r>
      <w:r>
        <w:rPr>
          <w:rFonts w:ascii="Arial" w:cs="Arial" w:eastAsia="Arial" w:hAnsi="Arial"/>
          <w:sz w:val="22"/>
          <w:szCs w:val="22"/>
          <w:color w:val="auto"/>
        </w:rPr>
        <w:t>. “Annual Organic Revenue” shall mean the Company’s gross revenue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an applicable fiscal year excluding the effects of currency exchange rates, acquired revenues, product discontinuances and divestitures.</w:t>
      </w:r>
    </w:p>
    <w:p>
      <w:pPr>
        <w:spacing w:after="0" w:line="12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1.2</w:t>
      </w:r>
      <w:r>
        <w:rPr>
          <w:rFonts w:ascii="Arial" w:cs="Arial" w:eastAsia="Arial" w:hAnsi="Arial"/>
          <w:sz w:val="22"/>
          <w:szCs w:val="22"/>
          <w:b w:val="1"/>
          <w:bCs w:val="1"/>
          <w:color w:val="auto"/>
        </w:rPr>
        <w:t xml:space="preserve"> Catch-Up Performance Goal</w:t>
      </w:r>
      <w:r>
        <w:rPr>
          <w:rFonts w:ascii="Arial" w:cs="Arial" w:eastAsia="Arial" w:hAnsi="Arial"/>
          <w:sz w:val="22"/>
          <w:szCs w:val="22"/>
          <w:color w:val="auto"/>
        </w:rPr>
        <w:t>. “Catch-Up Performance Goal” shall mean the specific goal determined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as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1.3</w:t>
      </w:r>
      <w:r>
        <w:rPr>
          <w:rFonts w:ascii="Arial" w:cs="Arial" w:eastAsia="Arial" w:hAnsi="Arial"/>
          <w:sz w:val="22"/>
          <w:szCs w:val="22"/>
          <w:b w:val="1"/>
          <w:bCs w:val="1"/>
          <w:color w:val="auto"/>
        </w:rPr>
        <w:t xml:space="preserve">  Catch-Up Shares</w:t>
      </w:r>
      <w:r>
        <w:rPr>
          <w:rFonts w:ascii="Arial" w:cs="Arial" w:eastAsia="Arial" w:hAnsi="Arial"/>
          <w:sz w:val="22"/>
          <w:szCs w:val="22"/>
          <w:color w:val="auto"/>
        </w:rPr>
        <w:t>. “Catch-Up Shares” shall have the meaning as specified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1.4</w:t>
      </w:r>
      <w:r>
        <w:rPr>
          <w:rFonts w:ascii="Arial" w:cs="Arial" w:eastAsia="Arial" w:hAnsi="Arial"/>
          <w:sz w:val="22"/>
          <w:szCs w:val="22"/>
          <w:b w:val="1"/>
          <w:bCs w:val="1"/>
          <w:color w:val="auto"/>
        </w:rPr>
        <w:t xml:space="preserve">  Cause</w:t>
      </w:r>
      <w:r>
        <w:rPr>
          <w:rFonts w:ascii="Arial" w:cs="Arial" w:eastAsia="Arial" w:hAnsi="Arial"/>
          <w:sz w:val="22"/>
          <w:szCs w:val="22"/>
          <w:color w:val="auto"/>
        </w:rPr>
        <w:t>. “Cause” shall have the meaning set forth in the Employment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1.5</w:t>
      </w:r>
      <w:r>
        <w:rPr>
          <w:rFonts w:ascii="Arial" w:cs="Arial" w:eastAsia="Arial" w:hAnsi="Arial"/>
          <w:sz w:val="22"/>
          <w:szCs w:val="22"/>
          <w:b w:val="1"/>
          <w:bCs w:val="1"/>
          <w:color w:val="auto"/>
        </w:rPr>
        <w:t xml:space="preserve">  Change in Control</w:t>
      </w:r>
      <w:r>
        <w:rPr>
          <w:rFonts w:ascii="Arial" w:cs="Arial" w:eastAsia="Arial" w:hAnsi="Arial"/>
          <w:sz w:val="22"/>
          <w:szCs w:val="22"/>
          <w:color w:val="auto"/>
        </w:rPr>
        <w:t>. “Change in Control” shall have the meaning set forth in the Plan.</w:t>
      </w:r>
    </w:p>
    <w:p>
      <w:pPr>
        <w:spacing w:after="0" w:line="233" w:lineRule="exact"/>
        <w:rPr>
          <w:sz w:val="20"/>
          <w:szCs w:val="20"/>
          <w:color w:val="auto"/>
        </w:rPr>
      </w:pPr>
    </w:p>
    <w:p>
      <w:pPr>
        <w:ind w:right="20" w:firstLine="648"/>
        <w:spacing w:after="0" w:line="320" w:lineRule="auto"/>
        <w:rPr>
          <w:sz w:val="20"/>
          <w:szCs w:val="20"/>
          <w:color w:val="auto"/>
        </w:rPr>
      </w:pPr>
      <w:r>
        <w:rPr>
          <w:rFonts w:ascii="Arial" w:cs="Arial" w:eastAsia="Arial" w:hAnsi="Arial"/>
          <w:sz w:val="22"/>
          <w:szCs w:val="22"/>
          <w:b w:val="1"/>
          <w:bCs w:val="1"/>
          <w:u w:val="single" w:color="auto"/>
          <w:color w:val="auto"/>
        </w:rPr>
        <w:t>Section 1.6</w:t>
      </w:r>
      <w:r>
        <w:rPr>
          <w:rFonts w:ascii="Arial" w:cs="Arial" w:eastAsia="Arial" w:hAnsi="Arial"/>
          <w:sz w:val="22"/>
          <w:szCs w:val="22"/>
          <w:b w:val="1"/>
          <w:bCs w:val="1"/>
          <w:color w:val="auto"/>
        </w:rPr>
        <w:t xml:space="preserve"> Chief Human Resources Officer</w:t>
      </w:r>
      <w:r>
        <w:rPr>
          <w:rFonts w:ascii="Arial" w:cs="Arial" w:eastAsia="Arial" w:hAnsi="Arial"/>
          <w:sz w:val="22"/>
          <w:szCs w:val="22"/>
          <w:color w:val="auto"/>
        </w:rPr>
        <w:t>. “Chief Human Resources Officer” shall mean the Chief Human Resources</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of the Company.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62"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86"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2"/>
          <w:szCs w:val="22"/>
          <w:b w:val="1"/>
          <w:bCs w:val="1"/>
          <w:u w:val="single" w:color="auto"/>
          <w:color w:val="auto"/>
        </w:rPr>
        <w:t>Section 1.7</w:t>
      </w:r>
      <w:r>
        <w:rPr>
          <w:rFonts w:ascii="Arial" w:cs="Arial" w:eastAsia="Arial" w:hAnsi="Arial"/>
          <w:sz w:val="22"/>
          <w:szCs w:val="22"/>
          <w:b w:val="1"/>
          <w:bCs w:val="1"/>
          <w:color w:val="auto"/>
        </w:rPr>
        <w:t xml:space="preserve"> Employment Agreement</w:t>
      </w:r>
      <w:r>
        <w:rPr>
          <w:rFonts w:ascii="Arial" w:cs="Arial" w:eastAsia="Arial" w:hAnsi="Arial"/>
          <w:sz w:val="22"/>
          <w:szCs w:val="22"/>
          <w:color w:val="auto"/>
        </w:rPr>
        <w:t>. “Employment Agreement” shall mean that Third Amended and Restated</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Agreement, effective January 1, 2018, between the Company and the Participant (as may be amended from time to time).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1.8</w:t>
      </w:r>
      <w:r>
        <w:rPr>
          <w:rFonts w:ascii="Arial" w:cs="Arial" w:eastAsia="Arial" w:hAnsi="Arial"/>
          <w:sz w:val="22"/>
          <w:szCs w:val="22"/>
          <w:b w:val="1"/>
          <w:bCs w:val="1"/>
          <w:color w:val="auto"/>
        </w:rPr>
        <w:t xml:space="preserve">  Good Reason</w:t>
      </w:r>
      <w:r>
        <w:rPr>
          <w:rFonts w:ascii="Arial" w:cs="Arial" w:eastAsia="Arial" w:hAnsi="Arial"/>
          <w:sz w:val="22"/>
          <w:szCs w:val="22"/>
          <w:color w:val="auto"/>
        </w:rPr>
        <w:t>. “Good Reason” shall have the meaning set forth in the Employment Agreement.</w:t>
      </w:r>
    </w:p>
    <w:p>
      <w:pPr>
        <w:spacing w:after="0" w:line="233"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1.9</w:t>
      </w:r>
      <w:r>
        <w:rPr>
          <w:rFonts w:ascii="Arial" w:cs="Arial" w:eastAsia="Arial" w:hAnsi="Arial"/>
          <w:sz w:val="22"/>
          <w:szCs w:val="22"/>
          <w:b w:val="1"/>
          <w:bCs w:val="1"/>
          <w:color w:val="auto"/>
        </w:rPr>
        <w:t xml:space="preserve"> Performance Goals</w:t>
      </w:r>
      <w:r>
        <w:rPr>
          <w:rFonts w:ascii="Arial" w:cs="Arial" w:eastAsia="Arial" w:hAnsi="Arial"/>
          <w:sz w:val="22"/>
          <w:szCs w:val="22"/>
          <w:color w:val="auto"/>
        </w:rPr>
        <w:t>. “Performance Goals” shall mean the specific goal or goals determined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as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 including (if applicable) the Catch-Up Performance Goal.</w:t>
      </w:r>
    </w:p>
    <w:p>
      <w:pPr>
        <w:spacing w:after="0" w:line="10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1.10</w:t>
      </w:r>
      <w:r>
        <w:rPr>
          <w:rFonts w:ascii="Arial" w:cs="Arial" w:eastAsia="Arial" w:hAnsi="Arial"/>
          <w:sz w:val="22"/>
          <w:szCs w:val="22"/>
          <w:b w:val="1"/>
          <w:bCs w:val="1"/>
          <w:color w:val="auto"/>
        </w:rPr>
        <w:t xml:space="preserve"> Performance Period</w:t>
      </w:r>
      <w:r>
        <w:rPr>
          <w:rFonts w:ascii="Arial" w:cs="Arial" w:eastAsia="Arial" w:hAnsi="Arial"/>
          <w:sz w:val="22"/>
          <w:szCs w:val="22"/>
          <w:color w:val="auto"/>
        </w:rPr>
        <w:t>. “Performance Period” shall mean the period or periods of time that the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Goals must be met, as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0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1.11</w:t>
      </w:r>
      <w:r>
        <w:rPr>
          <w:rFonts w:ascii="Arial" w:cs="Arial" w:eastAsia="Arial" w:hAnsi="Arial"/>
          <w:sz w:val="22"/>
          <w:szCs w:val="22"/>
          <w:b w:val="1"/>
          <w:bCs w:val="1"/>
          <w:color w:val="auto"/>
        </w:rPr>
        <w:t xml:space="preserve"> Performance-Vest</w:t>
      </w:r>
      <w:r>
        <w:rPr>
          <w:rFonts w:ascii="Arial" w:cs="Arial" w:eastAsia="Arial" w:hAnsi="Arial"/>
          <w:sz w:val="22"/>
          <w:szCs w:val="22"/>
          <w:color w:val="auto"/>
        </w:rPr>
        <w:t>. “Performance-Vest” shall mean that, with respect to a share of Performance Stock, the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Performance Goal has been achieved.</w:t>
      </w:r>
    </w:p>
    <w:p>
      <w:pPr>
        <w:spacing w:after="0" w:line="1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u w:val="single" w:color="auto"/>
          <w:color w:val="auto"/>
        </w:rPr>
        <w:t>Section 1.12</w:t>
      </w:r>
      <w:r>
        <w:rPr>
          <w:rFonts w:ascii="Arial" w:cs="Arial" w:eastAsia="Arial" w:hAnsi="Arial"/>
          <w:sz w:val="22"/>
          <w:szCs w:val="22"/>
          <w:b w:val="1"/>
          <w:bCs w:val="1"/>
          <w:color w:val="auto"/>
        </w:rPr>
        <w:t xml:space="preserve"> Performance Vesting Percentage</w:t>
      </w:r>
      <w:r>
        <w:rPr>
          <w:rFonts w:ascii="Arial" w:cs="Arial" w:eastAsia="Arial" w:hAnsi="Arial"/>
          <w:sz w:val="22"/>
          <w:szCs w:val="22"/>
          <w:color w:val="auto"/>
        </w:rPr>
        <w:t>. “Performance Vesting Percentage” shall mean the percentage determined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which is a function of whether and to what extent the Performance Goals are achieved during the Performance Period.</w:t>
      </w:r>
    </w:p>
    <w:p>
      <w:pPr>
        <w:spacing w:after="0" w:line="1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u w:val="single" w:color="auto"/>
          <w:color w:val="auto"/>
        </w:rPr>
        <w:t>Section 1.13</w:t>
      </w:r>
      <w:r>
        <w:rPr>
          <w:rFonts w:ascii="Arial" w:cs="Arial" w:eastAsia="Arial" w:hAnsi="Arial"/>
          <w:sz w:val="22"/>
          <w:szCs w:val="22"/>
          <w:b w:val="1"/>
          <w:bCs w:val="1"/>
          <w:color w:val="auto"/>
        </w:rPr>
        <w:t xml:space="preserve"> Qualifying Termination</w:t>
      </w:r>
      <w:r>
        <w:rPr>
          <w:rFonts w:ascii="Arial" w:cs="Arial" w:eastAsia="Arial" w:hAnsi="Arial"/>
          <w:sz w:val="22"/>
          <w:szCs w:val="22"/>
          <w:color w:val="auto"/>
        </w:rPr>
        <w:t>. “Qualifying Termination” shall mean a Termination of Service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Cause or by the Participant for Good Reason or a termination of employment by the Participant due to the Participant’s Retirement.</w:t>
      </w:r>
    </w:p>
    <w:p>
      <w:pPr>
        <w:spacing w:after="0" w:line="129"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u w:val="single" w:color="auto"/>
          <w:color w:val="auto"/>
        </w:rPr>
        <w:t>Section 1.14</w:t>
      </w:r>
      <w:r>
        <w:rPr>
          <w:rFonts w:ascii="Arial" w:cs="Arial" w:eastAsia="Arial" w:hAnsi="Arial"/>
          <w:sz w:val="19"/>
          <w:szCs w:val="19"/>
          <w:b w:val="1"/>
          <w:bCs w:val="1"/>
          <w:color w:val="auto"/>
        </w:rPr>
        <w:t xml:space="preserve"> Retirement</w:t>
      </w:r>
      <w:r>
        <w:rPr>
          <w:rFonts w:ascii="Arial" w:cs="Arial" w:eastAsia="Arial" w:hAnsi="Arial"/>
          <w:sz w:val="19"/>
          <w:szCs w:val="19"/>
          <w:color w:val="auto"/>
        </w:rPr>
        <w:t>. “Retirement” shall mean a termination of the Participant’s employment by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following the date on which the Participant becomes Retirement Eligible; </w:t>
      </w:r>
      <w:r>
        <w:rPr>
          <w:rFonts w:ascii="Arial" w:cs="Arial" w:eastAsia="Arial" w:hAnsi="Arial"/>
          <w:sz w:val="19"/>
          <w:szCs w:val="19"/>
          <w:i w:val="1"/>
          <w:iCs w:val="1"/>
          <w:color w:val="auto"/>
        </w:rPr>
        <w:t>provided</w:t>
      </w:r>
      <w:r>
        <w:rPr>
          <w:rFonts w:ascii="Arial" w:cs="Arial" w:eastAsia="Arial" w:hAnsi="Arial"/>
          <w:sz w:val="19"/>
          <w:szCs w:val="19"/>
          <w:color w:val="auto"/>
        </w:rPr>
        <w:t>, that the Participant provides no less than six (6) months’ prior written notice of such termination of employment unless a shorter period of time is agreed to by the Committee.</w:t>
      </w:r>
    </w:p>
    <w:p>
      <w:pPr>
        <w:spacing w:after="0" w:line="78"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u w:val="single" w:color="auto"/>
          <w:color w:val="auto"/>
        </w:rPr>
        <w:t>Section 1.15</w:t>
      </w:r>
      <w:r>
        <w:rPr>
          <w:rFonts w:ascii="Arial" w:cs="Arial" w:eastAsia="Arial" w:hAnsi="Arial"/>
          <w:sz w:val="19"/>
          <w:szCs w:val="19"/>
          <w:b w:val="1"/>
          <w:bCs w:val="1"/>
          <w:color w:val="auto"/>
        </w:rPr>
        <w:t xml:space="preserve"> Retirement Eligible</w:t>
      </w:r>
      <w:r>
        <w:rPr>
          <w:rFonts w:ascii="Arial" w:cs="Arial" w:eastAsia="Arial" w:hAnsi="Arial"/>
          <w:sz w:val="19"/>
          <w:szCs w:val="19"/>
          <w:color w:val="auto"/>
        </w:rPr>
        <w:t>. “Retirement Eligible” shall mean the Participant has attained the age of 55 and has</w:t>
      </w:r>
      <w:r>
        <w:rPr>
          <w:rFonts w:ascii="Arial" w:cs="Arial" w:eastAsia="Arial" w:hAnsi="Arial"/>
          <w:sz w:val="19"/>
          <w:szCs w:val="19"/>
          <w:b w:val="1"/>
          <w:bCs w:val="1"/>
          <w:color w:val="auto"/>
        </w:rPr>
        <w:t xml:space="preserve"> </w:t>
      </w:r>
      <w:r>
        <w:rPr>
          <w:rFonts w:ascii="Arial" w:cs="Arial" w:eastAsia="Arial" w:hAnsi="Arial"/>
          <w:sz w:val="19"/>
          <w:szCs w:val="19"/>
          <w:color w:val="auto"/>
        </w:rPr>
        <w:t>been in continuous service to the Company or its Related Corporations as an employee or Associate for ten (10) years or more.</w:t>
      </w:r>
    </w:p>
    <w:p>
      <w:pPr>
        <w:spacing w:after="0" w:line="3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1.16</w:t>
      </w:r>
      <w:r>
        <w:rPr>
          <w:rFonts w:ascii="Arial" w:cs="Arial" w:eastAsia="Arial" w:hAnsi="Arial"/>
          <w:sz w:val="22"/>
          <w:szCs w:val="22"/>
          <w:b w:val="1"/>
          <w:bCs w:val="1"/>
          <w:color w:val="auto"/>
        </w:rPr>
        <w:t xml:space="preserve"> Rule 16b-3</w:t>
      </w:r>
      <w:r>
        <w:rPr>
          <w:rFonts w:ascii="Arial" w:cs="Arial" w:eastAsia="Arial" w:hAnsi="Arial"/>
          <w:sz w:val="22"/>
          <w:szCs w:val="22"/>
          <w:color w:val="auto"/>
        </w:rPr>
        <w:t>. “Rule 16b-3” shall mean that certain Rule 16b-3 under the Exchange Act, as such Rule may be</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from time to time.</w:t>
      </w:r>
    </w:p>
    <w:p>
      <w:pPr>
        <w:spacing w:after="0" w:line="10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u w:val="single" w:color="auto"/>
          <w:color w:val="auto"/>
        </w:rPr>
        <w:t>Section 1.17</w:t>
      </w:r>
      <w:r>
        <w:rPr>
          <w:rFonts w:ascii="Arial" w:cs="Arial" w:eastAsia="Arial" w:hAnsi="Arial"/>
          <w:sz w:val="21"/>
          <w:szCs w:val="21"/>
          <w:b w:val="1"/>
          <w:bCs w:val="1"/>
          <w:color w:val="auto"/>
        </w:rPr>
        <w:t xml:space="preserve"> Termination of Service</w:t>
      </w:r>
      <w:r>
        <w:rPr>
          <w:rFonts w:ascii="Arial" w:cs="Arial" w:eastAsia="Arial" w:hAnsi="Arial"/>
          <w:sz w:val="21"/>
          <w:szCs w:val="21"/>
          <w:color w:val="auto"/>
        </w:rPr>
        <w:t>. “Termination of Service” shall mean the time when the Participant ceases to</w:t>
      </w:r>
      <w:r>
        <w:rPr>
          <w:rFonts w:ascii="Arial" w:cs="Arial" w:eastAsia="Arial" w:hAnsi="Arial"/>
          <w:sz w:val="21"/>
          <w:szCs w:val="21"/>
          <w:b w:val="1"/>
          <w:bCs w:val="1"/>
          <w:color w:val="auto"/>
        </w:rPr>
        <w:t xml:space="preserve"> </w:t>
      </w:r>
      <w:r>
        <w:rPr>
          <w:rFonts w:ascii="Arial" w:cs="Arial" w:eastAsia="Arial" w:hAnsi="Arial"/>
          <w:sz w:val="21"/>
          <w:szCs w:val="21"/>
          <w:color w:val="auto"/>
        </w:rPr>
        <w:t>provide services to the Company and its Related Corporations and Affiliates as an employee or Associate for any reason with or without Cause, including, but not by way of limitation, a termination by resignation, discharge, death, or Disability. A Termination of Service shall not include a termination where the Participant is simultaneously reemployed by, or remains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62"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92"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employed by, or continues to provide services to, the Company and/or one or more of its Related Corporations and Affiliates or a successor entity thereto.</w:t>
      </w:r>
    </w:p>
    <w:p>
      <w:pPr>
        <w:spacing w:after="0" w:line="127"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u w:val="single" w:color="auto"/>
          <w:color w:val="auto"/>
        </w:rPr>
        <w:t>Section 1.18</w:t>
      </w:r>
      <w:r>
        <w:rPr>
          <w:rFonts w:ascii="Arial" w:cs="Arial" w:eastAsia="Arial" w:hAnsi="Arial"/>
          <w:sz w:val="19"/>
          <w:szCs w:val="19"/>
          <w:b w:val="1"/>
          <w:bCs w:val="1"/>
          <w:color w:val="auto"/>
        </w:rPr>
        <w:t xml:space="preserve"> Vest or Vested</w:t>
      </w:r>
      <w:r>
        <w:rPr>
          <w:rFonts w:ascii="Arial" w:cs="Arial" w:eastAsia="Arial" w:hAnsi="Arial"/>
          <w:sz w:val="19"/>
          <w:szCs w:val="19"/>
          <w:color w:val="auto"/>
        </w:rPr>
        <w:t>. “Vest” or “Vested” shall mean that, with respect to a share of Performance Stock, both (i)</w:t>
      </w:r>
      <w:r>
        <w:rPr>
          <w:rFonts w:ascii="Arial" w:cs="Arial" w:eastAsia="Arial" w:hAnsi="Arial"/>
          <w:sz w:val="19"/>
          <w:szCs w:val="19"/>
          <w:b w:val="1"/>
          <w:bCs w:val="1"/>
          <w:color w:val="auto"/>
        </w:rPr>
        <w:t xml:space="preserve"> </w:t>
      </w:r>
      <w:r>
        <w:rPr>
          <w:rFonts w:ascii="Arial" w:cs="Arial" w:eastAsia="Arial" w:hAnsi="Arial"/>
          <w:sz w:val="19"/>
          <w:szCs w:val="19"/>
          <w:color w:val="auto"/>
        </w:rPr>
        <w:t>such share of Performance Stock has Performance-Vested and (ii) the continued service condition has been satisfied.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AWARD OF PERFORMANCE STOCK</w:t>
      </w:r>
    </w:p>
    <w:p>
      <w:pPr>
        <w:spacing w:after="0" w:line="250"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9"/>
          <w:szCs w:val="19"/>
          <w:b w:val="1"/>
          <w:bCs w:val="1"/>
          <w:u w:val="single" w:color="auto"/>
          <w:color w:val="auto"/>
        </w:rPr>
        <w:t>Section 2.1</w:t>
      </w:r>
      <w:r>
        <w:rPr>
          <w:rFonts w:ascii="Arial" w:cs="Arial" w:eastAsia="Arial" w:hAnsi="Arial"/>
          <w:sz w:val="19"/>
          <w:szCs w:val="19"/>
          <w:b w:val="1"/>
          <w:bCs w:val="1"/>
          <w:color w:val="auto"/>
        </w:rPr>
        <w:t xml:space="preserve"> Award of Shares of Performance Stock</w:t>
      </w:r>
      <w:r>
        <w:rPr>
          <w:rFonts w:ascii="Arial" w:cs="Arial" w:eastAsia="Arial" w:hAnsi="Arial"/>
          <w:sz w:val="19"/>
          <w:szCs w:val="19"/>
          <w:color w:val="auto"/>
        </w:rPr>
        <w:t>. Effective as of the Award Date, the Company grants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 award of_____________ target shares of Performance Stock (the “</w:t>
      </w:r>
      <w:r>
        <w:rPr>
          <w:rFonts w:ascii="Arial" w:cs="Arial" w:eastAsia="Arial" w:hAnsi="Arial"/>
          <w:sz w:val="19"/>
          <w:szCs w:val="19"/>
          <w:u w:val="single" w:color="auto"/>
          <w:color w:val="auto"/>
        </w:rPr>
        <w:t>Target Performance Shares</w:t>
      </w:r>
      <w:r>
        <w:rPr>
          <w:rFonts w:ascii="Arial" w:cs="Arial" w:eastAsia="Arial" w:hAnsi="Arial"/>
          <w:sz w:val="19"/>
          <w:szCs w:val="19"/>
          <w:color w:val="auto"/>
        </w:rPr>
        <w:t>”). Each share of</w:t>
      </w:r>
    </w:p>
    <w:p>
      <w:pPr>
        <w:jc w:val="both"/>
        <w:spacing w:after="0" w:line="302" w:lineRule="auto"/>
        <w:rPr>
          <w:sz w:val="20"/>
          <w:szCs w:val="20"/>
          <w:color w:val="auto"/>
        </w:rPr>
      </w:pPr>
      <w:r>
        <w:rPr>
          <w:rFonts w:ascii="Arial" w:cs="Arial" w:eastAsia="Arial" w:hAnsi="Arial"/>
          <w:sz w:val="22"/>
          <w:szCs w:val="22"/>
          <w:color w:val="auto"/>
        </w:rPr>
        <w:t>Performance Stock represents the Participant’s right to receive one Share under this Award Agreement if the Performance Goals are met during the Performance Period and the vesting conditions set forth herein are satisfied.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9"/>
          <w:szCs w:val="19"/>
          <w:b w:val="1"/>
          <w:bCs w:val="1"/>
          <w:u w:val="single" w:color="auto"/>
          <w:color w:val="auto"/>
        </w:rPr>
        <w:t>Section 2.2</w:t>
      </w:r>
      <w:r>
        <w:rPr>
          <w:rFonts w:ascii="Arial" w:cs="Arial" w:eastAsia="Arial" w:hAnsi="Arial"/>
          <w:sz w:val="19"/>
          <w:szCs w:val="19"/>
          <w:b w:val="1"/>
          <w:bCs w:val="1"/>
          <w:color w:val="auto"/>
        </w:rPr>
        <w:t xml:space="preserve">  Forfeiture</w:t>
      </w:r>
      <w:r>
        <w:rPr>
          <w:rFonts w:ascii="Arial" w:cs="Arial" w:eastAsia="Arial" w:hAnsi="Arial"/>
          <w:sz w:val="19"/>
          <w:szCs w:val="19"/>
          <w:color w:val="auto"/>
        </w:rPr>
        <w:t>. Shares of Performance Stock shall be subject to forfeiture as provided in Section 3.2 below.</w:t>
      </w:r>
    </w:p>
    <w:p>
      <w:pPr>
        <w:spacing w:after="0" w:line="268"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9"/>
          <w:szCs w:val="19"/>
          <w:b w:val="1"/>
          <w:bCs w:val="1"/>
          <w:u w:val="single" w:color="auto"/>
          <w:color w:val="auto"/>
        </w:rPr>
        <w:t>Section 2.3</w:t>
      </w:r>
      <w:r>
        <w:rPr>
          <w:rFonts w:ascii="Arial" w:cs="Arial" w:eastAsia="Arial" w:hAnsi="Arial"/>
          <w:sz w:val="19"/>
          <w:szCs w:val="19"/>
          <w:b w:val="1"/>
          <w:bCs w:val="1"/>
          <w:color w:val="auto"/>
        </w:rPr>
        <w:t xml:space="preserve"> Dividend Equivalents</w:t>
      </w:r>
      <w:r>
        <w:rPr>
          <w:rFonts w:ascii="Arial" w:cs="Arial" w:eastAsia="Arial" w:hAnsi="Arial"/>
          <w:sz w:val="19"/>
          <w:szCs w:val="19"/>
          <w:color w:val="auto"/>
        </w:rPr>
        <w:t>. The Participant shall be entitled to receive, with respect to each outstanding Vested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but unissued share of Performance Stock, dividend equivalent amounts equal to the regular quarterly cash dividend paid or made with respect to the Shares underlying such Vested but unissued shares of Performance Stock (to the extent regular quarterly cash dividends are paid). Such dividend equivalent amounts shall be aggregated and paid to the Participant within thirty (30) days following the date on which the Shares underlying the Vested shares of Performance Stock are issued to the Participant, but in no event later than December 31 of the year in which the Shares underlying the Vested shares of Performance Stock are issued to the Participant. Notwithstanding the foregoing, if a “Change in Control” occurs prior to the date on which such dividend equivalent amounts are paid, such dividend equivalent amounts shall be paid to the Participant on the date of the Change in Control;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such payment shall only occur if the Change in Control meets the requirements of Section 409A(a)(2)(A)(v)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its corresponding regulations. For the avoidance of doubt, such dividend equivalent amounts shall only be paid to the extent that the shares of Performance Stock are Vested as of the applicable dividend payment date, and the Participant shall not be entitled to receive any dividend equivalent amounts with respect to shares of Performance Stock that have not Vested as of such dividend payment date. The dividend equivalents and any amounts that may become payable in respect thereof shall be treated separately from the shares of Performance Stock and the rights arising in connection therewith for purposes of the designation of time and form of payments required by Code Section 409A.</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6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u w:val="single" w:color="auto"/>
          <w:color w:val="auto"/>
        </w:rPr>
        <w:t>Section 2.4</w:t>
      </w:r>
      <w:r>
        <w:rPr>
          <w:rFonts w:ascii="Arial" w:cs="Arial" w:eastAsia="Arial" w:hAnsi="Arial"/>
          <w:sz w:val="22"/>
          <w:szCs w:val="22"/>
          <w:b w:val="1"/>
          <w:bCs w:val="1"/>
          <w:color w:val="auto"/>
        </w:rPr>
        <w:t xml:space="preserve"> Voting Rights</w:t>
      </w:r>
      <w:r>
        <w:rPr>
          <w:rFonts w:ascii="Arial" w:cs="Arial" w:eastAsia="Arial" w:hAnsi="Arial"/>
          <w:sz w:val="22"/>
          <w:szCs w:val="22"/>
          <w:color w:val="auto"/>
        </w:rPr>
        <w:t>. The Participant shall not have any voting rights in respect of the shares of Performance Stock</w:t>
      </w:r>
      <w:r>
        <w:rPr>
          <w:rFonts w:ascii="Arial" w:cs="Arial" w:eastAsia="Arial" w:hAnsi="Arial"/>
          <w:sz w:val="22"/>
          <w:szCs w:val="22"/>
          <w:b w:val="1"/>
          <w:bCs w:val="1"/>
          <w:color w:val="auto"/>
        </w:rPr>
        <w:t xml:space="preserve"> </w:t>
      </w:r>
      <w:r>
        <w:rPr>
          <w:rFonts w:ascii="Arial" w:cs="Arial" w:eastAsia="Arial" w:hAnsi="Arial"/>
          <w:sz w:val="22"/>
          <w:szCs w:val="22"/>
          <w:color w:val="auto"/>
        </w:rPr>
        <w:t>and any Shares underlying the shares of Performance Stock unless and until such Shares shall have been issued by the Company and the Participant becomes the holder of record of such Shares (as evidenced by the appropriate entry on the books of the Company or of a duly authorized transfer agent of the Company).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RESTRICTIONS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3.1</w:t>
      </w:r>
      <w:r>
        <w:rPr>
          <w:rFonts w:ascii="Arial" w:cs="Arial" w:eastAsia="Arial" w:hAnsi="Arial"/>
          <w:sz w:val="22"/>
          <w:szCs w:val="22"/>
          <w:b w:val="1"/>
          <w:bCs w:val="1"/>
          <w:color w:val="auto"/>
        </w:rPr>
        <w:t xml:space="preserve">  Vesting</w:t>
      </w:r>
      <w:r>
        <w:rPr>
          <w:rFonts w:ascii="Arial" w:cs="Arial" w:eastAsia="Arial" w:hAnsi="Arial"/>
          <w:sz w:val="22"/>
          <w:szCs w:val="22"/>
          <w:color w:val="auto"/>
        </w:rPr>
        <w:t>.</w:t>
      </w:r>
    </w:p>
    <w:p>
      <w:pPr>
        <w:spacing w:after="0" w:line="239" w:lineRule="exact"/>
        <w:rPr>
          <w:sz w:val="20"/>
          <w:szCs w:val="20"/>
          <w:color w:val="auto"/>
        </w:rPr>
      </w:pPr>
    </w:p>
    <w:p>
      <w:pPr>
        <w:ind w:firstLine="656"/>
        <w:spacing w:after="0" w:line="315" w:lineRule="auto"/>
        <w:tabs>
          <w:tab w:leader="none" w:pos="1095" w:val="left"/>
        </w:tabs>
        <w:numPr>
          <w:ilvl w:val="0"/>
          <w:numId w:val="28"/>
        </w:numPr>
        <w:rPr>
          <w:rFonts w:ascii="Arial" w:cs="Arial" w:eastAsia="Arial" w:hAnsi="Arial"/>
          <w:sz w:val="22"/>
          <w:szCs w:val="22"/>
          <w:color w:val="auto"/>
        </w:rPr>
      </w:pPr>
      <w:r>
        <w:rPr>
          <w:rFonts w:ascii="Arial" w:cs="Arial" w:eastAsia="Arial" w:hAnsi="Arial"/>
          <w:sz w:val="22"/>
          <w:szCs w:val="22"/>
          <w:color w:val="auto"/>
        </w:rPr>
        <w:t>Subject to paragraph (b) below and Sections 3.2 and 3.5 below, shares of Performance Stock shall Vest in cumulative installments as follows:</w:t>
      </w:r>
    </w:p>
    <w:p>
      <w:pPr>
        <w:spacing w:after="0" w:line="119" w:lineRule="exact"/>
        <w:rPr>
          <w:rFonts w:ascii="Arial" w:cs="Arial" w:eastAsia="Arial" w:hAnsi="Arial"/>
          <w:sz w:val="22"/>
          <w:szCs w:val="22"/>
          <w:color w:val="auto"/>
        </w:rPr>
      </w:pPr>
    </w:p>
    <w:p>
      <w:pPr>
        <w:ind w:left="1720" w:hanging="415"/>
        <w:spacing w:after="0"/>
        <w:tabs>
          <w:tab w:leader="none" w:pos="1720" w:val="left"/>
        </w:tabs>
        <w:numPr>
          <w:ilvl w:val="1"/>
          <w:numId w:val="28"/>
        </w:numPr>
        <w:rPr>
          <w:rFonts w:ascii="Arial" w:cs="Arial" w:eastAsia="Arial" w:hAnsi="Arial"/>
          <w:sz w:val="19"/>
          <w:szCs w:val="19"/>
          <w:color w:val="auto"/>
        </w:rPr>
      </w:pPr>
      <w:r>
        <w:rPr>
          <w:rFonts w:ascii="Arial" w:cs="Arial" w:eastAsia="Arial" w:hAnsi="Arial"/>
          <w:sz w:val="19"/>
          <w:szCs w:val="19"/>
          <w:color w:val="auto"/>
        </w:rPr>
        <w:t>With respect to fiscal year [2018], a number of shares of Performance Stock equal to the product of (x) thirty-</w:t>
      </w:r>
    </w:p>
    <w:p>
      <w:pPr>
        <w:spacing w:after="0" w:line="92" w:lineRule="exact"/>
        <w:rPr>
          <w:rFonts w:ascii="Arial" w:cs="Arial" w:eastAsia="Arial" w:hAnsi="Arial"/>
          <w:sz w:val="19"/>
          <w:szCs w:val="19"/>
          <w:color w:val="auto"/>
        </w:rPr>
      </w:pPr>
    </w:p>
    <w:p>
      <w:pPr>
        <w:ind w:left="66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three percent (33%) of the Target Performance Shares, multiplied by (y) the applicable Performance Vesting Percentage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shall Vest on the first anniversary of the Award Date;</w:t>
      </w:r>
    </w:p>
    <w:p>
      <w:pPr>
        <w:spacing w:after="0" w:line="105" w:lineRule="exact"/>
        <w:rPr>
          <w:rFonts w:ascii="Arial" w:cs="Arial" w:eastAsia="Arial" w:hAnsi="Arial"/>
          <w:sz w:val="19"/>
          <w:szCs w:val="19"/>
          <w:color w:val="auto"/>
        </w:rPr>
      </w:pPr>
    </w:p>
    <w:p>
      <w:pPr>
        <w:ind w:left="1780" w:hanging="475"/>
        <w:spacing w:after="0"/>
        <w:tabs>
          <w:tab w:leader="none" w:pos="1780" w:val="left"/>
        </w:tabs>
        <w:numPr>
          <w:ilvl w:val="1"/>
          <w:numId w:val="28"/>
        </w:numPr>
        <w:rPr>
          <w:rFonts w:ascii="Arial" w:cs="Arial" w:eastAsia="Arial" w:hAnsi="Arial"/>
          <w:sz w:val="19"/>
          <w:szCs w:val="19"/>
          <w:color w:val="auto"/>
        </w:rPr>
      </w:pPr>
      <w:r>
        <w:rPr>
          <w:rFonts w:ascii="Arial" w:cs="Arial" w:eastAsia="Arial" w:hAnsi="Arial"/>
          <w:sz w:val="19"/>
          <w:szCs w:val="19"/>
          <w:color w:val="auto"/>
        </w:rPr>
        <w:t>With respect to fiscal year [2019], a number of shares of Performance Stock equal to the product of (x) thirty-</w:t>
      </w:r>
    </w:p>
    <w:p>
      <w:pPr>
        <w:spacing w:after="0" w:line="92" w:lineRule="exact"/>
        <w:rPr>
          <w:rFonts w:ascii="Arial" w:cs="Arial" w:eastAsia="Arial" w:hAnsi="Arial"/>
          <w:sz w:val="19"/>
          <w:szCs w:val="19"/>
          <w:color w:val="auto"/>
        </w:rPr>
      </w:pPr>
    </w:p>
    <w:p>
      <w:pPr>
        <w:ind w:left="66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three percent (33%) of the Target Performance Shares, multiplied by (y) the applicable Performance Vesting Percentage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shall Vest on the second anniversary of the Award Date; and</w:t>
      </w:r>
    </w:p>
    <w:p>
      <w:pPr>
        <w:spacing w:after="0" w:line="105" w:lineRule="exact"/>
        <w:rPr>
          <w:rFonts w:ascii="Arial" w:cs="Arial" w:eastAsia="Arial" w:hAnsi="Arial"/>
          <w:sz w:val="19"/>
          <w:szCs w:val="19"/>
          <w:color w:val="auto"/>
        </w:rPr>
      </w:pPr>
    </w:p>
    <w:p>
      <w:pPr>
        <w:ind w:left="1820" w:hanging="515"/>
        <w:spacing w:after="0"/>
        <w:tabs>
          <w:tab w:leader="none" w:pos="1820" w:val="left"/>
        </w:tabs>
        <w:numPr>
          <w:ilvl w:val="1"/>
          <w:numId w:val="28"/>
        </w:numPr>
        <w:rPr>
          <w:rFonts w:ascii="Arial" w:cs="Arial" w:eastAsia="Arial" w:hAnsi="Arial"/>
          <w:sz w:val="19"/>
          <w:szCs w:val="19"/>
          <w:color w:val="auto"/>
        </w:rPr>
      </w:pPr>
      <w:r>
        <w:rPr>
          <w:rFonts w:ascii="Arial" w:cs="Arial" w:eastAsia="Arial" w:hAnsi="Arial"/>
          <w:sz w:val="19"/>
          <w:szCs w:val="19"/>
          <w:color w:val="auto"/>
        </w:rPr>
        <w:t>With respect to fiscal year [2020], a number of shares of Performance Stock equal to the product of (x) thirty-</w:t>
      </w:r>
    </w:p>
    <w:p>
      <w:pPr>
        <w:spacing w:after="0" w:line="92" w:lineRule="exact"/>
        <w:rPr>
          <w:rFonts w:ascii="Arial" w:cs="Arial" w:eastAsia="Arial" w:hAnsi="Arial"/>
          <w:sz w:val="19"/>
          <w:szCs w:val="19"/>
          <w:color w:val="auto"/>
        </w:rPr>
      </w:pPr>
    </w:p>
    <w:p>
      <w:pPr>
        <w:ind w:left="66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four percent (34%) of the Target Performance Shares, multiplied by (y) the applicable Performance Vesting Percentage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shall Vest on the third anniversary of the Award Date.</w:t>
      </w:r>
    </w:p>
    <w:p>
      <w:pPr>
        <w:spacing w:after="0" w:line="105" w:lineRule="exact"/>
        <w:rPr>
          <w:rFonts w:ascii="Arial" w:cs="Arial" w:eastAsia="Arial" w:hAnsi="Arial"/>
          <w:sz w:val="19"/>
          <w:szCs w:val="19"/>
          <w:color w:val="auto"/>
        </w:rPr>
      </w:pPr>
    </w:p>
    <w:p>
      <w:pPr>
        <w:ind w:firstLine="656"/>
        <w:spacing w:after="0" w:line="387" w:lineRule="auto"/>
        <w:tabs>
          <w:tab w:leader="none" w:pos="1165" w:val="left"/>
        </w:tabs>
        <w:numPr>
          <w:ilvl w:val="0"/>
          <w:numId w:val="28"/>
        </w:numPr>
        <w:rPr>
          <w:rFonts w:ascii="Arial" w:cs="Arial" w:eastAsia="Arial" w:hAnsi="Arial"/>
          <w:sz w:val="19"/>
          <w:szCs w:val="19"/>
          <w:color w:val="auto"/>
        </w:rPr>
      </w:pPr>
      <w:r>
        <w:rPr>
          <w:rFonts w:ascii="Arial" w:cs="Arial" w:eastAsia="Arial" w:hAnsi="Arial"/>
          <w:sz w:val="19"/>
          <w:szCs w:val="19"/>
          <w:color w:val="auto"/>
        </w:rPr>
        <w:t>Subject to Sections 3.2 and 3.5 below, in the event that the Company achieves the Catch-Up Performance Goal with respect to the Performance Period, then any Catch-Up Shares shall Vest on the third anniversary of the Award Date.</w:t>
      </w: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3.2</w:t>
      </w:r>
      <w:r>
        <w:rPr>
          <w:rFonts w:ascii="Arial" w:cs="Arial" w:eastAsia="Arial" w:hAnsi="Arial"/>
          <w:sz w:val="22"/>
          <w:szCs w:val="22"/>
          <w:b w:val="1"/>
          <w:bCs w:val="1"/>
          <w:color w:val="auto"/>
        </w:rPr>
        <w:t xml:space="preserve">  Effect of Termination of Service; Forfeiture</w:t>
      </w:r>
      <w:r>
        <w:rPr>
          <w:rFonts w:ascii="Arial" w:cs="Arial" w:eastAsia="Arial" w:hAnsi="Arial"/>
          <w:sz w:val="22"/>
          <w:szCs w:val="22"/>
          <w:color w:val="auto"/>
        </w:rPr>
        <w:t>.</w:t>
      </w:r>
    </w:p>
    <w:p>
      <w:pPr>
        <w:spacing w:after="0" w:line="239" w:lineRule="exact"/>
        <w:rPr>
          <w:sz w:val="20"/>
          <w:szCs w:val="20"/>
          <w:color w:val="auto"/>
        </w:rPr>
      </w:pPr>
    </w:p>
    <w:p>
      <w:pPr>
        <w:jc w:val="both"/>
        <w:ind w:firstLine="656"/>
        <w:spacing w:after="0" w:line="303" w:lineRule="auto"/>
        <w:tabs>
          <w:tab w:leader="none" w:pos="11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In the event the Participant incurs, prior to or on the last day of the Performance Period, (i) a Qualifying Termination or (ii) a Termination of Service by reason of the Participant’s Disability or death, and further subject to the Participant’s ongoing compliance with the restrictive covenants contained in Section 19(c) of the Employment Agreement, any shares of Performance Stock which have not Vested in accordance with Section 3.1 above on or prior to such termination shall remain outstanding and eligible to Vest in accordance with Section 3.1 above and Section 3.5</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6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below based on the Company’s achievement of the Performance Goals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56"/>
        <w:spacing w:after="0" w:line="303" w:lineRule="auto"/>
        <w:tabs>
          <w:tab w:leader="none" w:pos="1191" w:val="left"/>
        </w:tabs>
        <w:numPr>
          <w:ilvl w:val="0"/>
          <w:numId w:val="30"/>
        </w:numPr>
        <w:rPr>
          <w:rFonts w:ascii="Arial" w:cs="Arial" w:eastAsia="Arial" w:hAnsi="Arial"/>
          <w:sz w:val="21"/>
          <w:szCs w:val="21"/>
          <w:color w:val="auto"/>
        </w:rPr>
      </w:pPr>
      <w:r>
        <w:rPr>
          <w:rFonts w:ascii="Arial" w:cs="Arial" w:eastAsia="Arial" w:hAnsi="Arial"/>
          <w:sz w:val="21"/>
          <w:szCs w:val="21"/>
          <w:color w:val="auto"/>
        </w:rPr>
        <w:t>Immediately upon the Participant’s Termination of Service that is not a Qualifying Termination or by reason of the Participant’s Disability or death, the Participant shall automatically and without further action forfeit all shares of Performance Stock (and all dividend equivalent rights with respect to such shares of Performance Stock) which have not Vested in accordance with Section 3.1 above or Section 3.5 below on or prior to such termination, and the Participant shall have no further right to or interest in or with respect to such shares of Performance Stock (or such dividend equivalents).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9" w:lineRule="exact"/>
        <w:rPr>
          <w:rFonts w:ascii="Arial" w:cs="Arial" w:eastAsia="Arial" w:hAnsi="Arial"/>
          <w:sz w:val="21"/>
          <w:szCs w:val="21"/>
          <w:color w:val="auto"/>
        </w:rPr>
      </w:pPr>
    </w:p>
    <w:p>
      <w:pPr>
        <w:jc w:val="both"/>
        <w:ind w:firstLine="656"/>
        <w:spacing w:after="0" w:line="306" w:lineRule="auto"/>
        <w:tabs>
          <w:tab w:leader="none" w:pos="1159" w:val="left"/>
        </w:tabs>
        <w:numPr>
          <w:ilvl w:val="0"/>
          <w:numId w:val="30"/>
        </w:numPr>
        <w:rPr>
          <w:rFonts w:ascii="Arial" w:cs="Arial" w:eastAsia="Arial" w:hAnsi="Arial"/>
          <w:sz w:val="21"/>
          <w:szCs w:val="21"/>
          <w:color w:val="auto"/>
        </w:rPr>
      </w:pPr>
      <w:r>
        <w:rPr>
          <w:rFonts w:ascii="Arial" w:cs="Arial" w:eastAsia="Arial" w:hAnsi="Arial"/>
          <w:sz w:val="21"/>
          <w:szCs w:val="21"/>
          <w:color w:val="auto"/>
        </w:rPr>
        <w:t>Any shares of Performance Stock that do not Performance-Vest in connection with a Change in Control pursuant to Sections 3.5(a) and 3.5(b) below (and all dividend equivalent rights with respect to such shares of Performance Stock) shall thereupon automatically be forfeited as of such Change in Control, and the Participant shall have no further right to or interest in or with respect to such shares of Performance Stock (or such dividend equivalents).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5" w:lineRule="exact"/>
        <w:rPr>
          <w:rFonts w:ascii="Arial" w:cs="Arial" w:eastAsia="Arial" w:hAnsi="Arial"/>
          <w:sz w:val="21"/>
          <w:szCs w:val="21"/>
          <w:color w:val="auto"/>
        </w:rPr>
      </w:pPr>
    </w:p>
    <w:p>
      <w:pPr>
        <w:jc w:val="both"/>
        <w:ind w:firstLine="656"/>
        <w:spacing w:after="0" w:line="288" w:lineRule="auto"/>
        <w:tabs>
          <w:tab w:leader="none" w:pos="1203"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shares of Performance Stock that fail to vest as of the third anniversary of the Award Date (and all dividend equivalent rights with respect to such Performance Stock) shall automatically and without further action be cancelled and forfeited, and the Participant shall have no further right to or interest in or with respect to such unvested shares of Performance Stock (or such dividend equivalents).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3.3</w:t>
      </w:r>
      <w:r>
        <w:rPr>
          <w:rFonts w:ascii="Arial" w:cs="Arial" w:eastAsia="Arial" w:hAnsi="Arial"/>
          <w:sz w:val="22"/>
          <w:szCs w:val="22"/>
          <w:b w:val="1"/>
          <w:bCs w:val="1"/>
          <w:color w:val="auto"/>
        </w:rPr>
        <w:t xml:space="preserve">  Issuance of Shares</w:t>
      </w:r>
      <w:r>
        <w:rPr>
          <w:rFonts w:ascii="Arial" w:cs="Arial" w:eastAsia="Arial" w:hAnsi="Arial"/>
          <w:sz w:val="22"/>
          <w:szCs w:val="22"/>
          <w:color w:val="auto"/>
        </w:rPr>
        <w:t>.</w:t>
      </w:r>
    </w:p>
    <w:p>
      <w:pPr>
        <w:spacing w:after="0" w:line="239" w:lineRule="exact"/>
        <w:rPr>
          <w:sz w:val="20"/>
          <w:szCs w:val="20"/>
          <w:color w:val="auto"/>
        </w:rPr>
      </w:pPr>
    </w:p>
    <w:p>
      <w:pPr>
        <w:jc w:val="both"/>
        <w:ind w:firstLine="656"/>
        <w:spacing w:after="0" w:line="303" w:lineRule="auto"/>
        <w:tabs>
          <w:tab w:leader="none" w:pos="1136" w:val="left"/>
        </w:tabs>
        <w:numPr>
          <w:ilvl w:val="0"/>
          <w:numId w:val="31"/>
        </w:numPr>
        <w:rPr>
          <w:rFonts w:ascii="Arial" w:cs="Arial" w:eastAsia="Arial" w:hAnsi="Arial"/>
          <w:sz w:val="21"/>
          <w:szCs w:val="21"/>
          <w:color w:val="auto"/>
        </w:rPr>
      </w:pPr>
      <w:r>
        <w:rPr>
          <w:rFonts w:ascii="Arial" w:cs="Arial" w:eastAsia="Arial" w:hAnsi="Arial"/>
          <w:sz w:val="21"/>
          <w:szCs w:val="21"/>
          <w:color w:val="auto"/>
        </w:rPr>
        <w:t>Subject to a determination of the Committee as to whether and to what extent the applicable Performance Goals have been met, Shares represented by shares of Performance Stock which Vest pursuant to Section 3.1 above or Section 3.5 below shall be issued to the Participant or his or her legal representative on or within five (5) business days following the date on which such shares of Performance Stock Vest pursuant to Section 3.1 above or Section 3.5 below (but in no event later than December 31 of the applicable year in which such shares of Performance Stock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62"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92" w:lineRule="exact"/>
        <w:rPr>
          <w:sz w:val="20"/>
          <w:szCs w:val="20"/>
          <w:color w:val="auto"/>
        </w:rPr>
      </w:pPr>
    </w:p>
    <w:p>
      <w:pPr>
        <w:jc w:val="both"/>
        <w:ind w:firstLine="656"/>
        <w:spacing w:after="0" w:line="335" w:lineRule="auto"/>
        <w:tabs>
          <w:tab w:leader="none" w:pos="1104"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All Shares issued hereunder shall be issued in certificated form or shall be recorded with the Company’s transfer agent. All such Shares shall be issued free from any restrictions;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Shares shall be subject to any restrictions and conditions as may be required pursuant to Section 4.6 below and those that the Company imposes on its employees in general with respect to selling its Shares. Notwithstanding the foregoing, the Company shall not be required to issue or record such Shares in the name of the Participant or his or her legal representative unless the Participant or his or her legal representative shall have satisfied the full amount of all federal, state and local withholding or other employment taxes applicable to the taxable income of the Participant resulting from the vesting of the shares of Performance Stock and issuance of the Shares as provided in this Award Agreement (including, without limitation, in the manner set forth in Section 4.3 below).</w:t>
      </w: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u w:val="single" w:color="auto"/>
          <w:color w:val="auto"/>
        </w:rPr>
        <w:t>Section 3.4</w:t>
      </w:r>
      <w:r>
        <w:rPr>
          <w:rFonts w:ascii="Arial" w:cs="Arial" w:eastAsia="Arial" w:hAnsi="Arial"/>
          <w:sz w:val="22"/>
          <w:szCs w:val="22"/>
          <w:b w:val="1"/>
          <w:bCs w:val="1"/>
          <w:color w:val="auto"/>
        </w:rPr>
        <w:t xml:space="preserve"> Clawback</w:t>
      </w:r>
      <w:r>
        <w:rPr>
          <w:rFonts w:ascii="Arial" w:cs="Arial" w:eastAsia="Arial" w:hAnsi="Arial"/>
          <w:sz w:val="22"/>
          <w:szCs w:val="22"/>
          <w:color w:val="auto"/>
        </w:rPr>
        <w:t>. Notwithstanding anything contained in the Plan or the Award Agreement to the contrary, the</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of Performance Stock, and any related payments,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the shares of Performance Stock under the Plan.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Section 3.5</w:t>
      </w:r>
      <w:r>
        <w:rPr>
          <w:rFonts w:ascii="Arial" w:cs="Arial" w:eastAsia="Arial" w:hAnsi="Arial"/>
          <w:sz w:val="22"/>
          <w:szCs w:val="22"/>
          <w:b w:val="1"/>
          <w:bCs w:val="1"/>
          <w:color w:val="auto"/>
        </w:rPr>
        <w:t xml:space="preserve">  Change in Control</w:t>
      </w:r>
      <w:r>
        <w:rPr>
          <w:rFonts w:ascii="Arial" w:cs="Arial" w:eastAsia="Arial" w:hAnsi="Arial"/>
          <w:sz w:val="22"/>
          <w:szCs w:val="22"/>
          <w:color w:val="auto"/>
        </w:rPr>
        <w:t>. In the event that a Change in Control occurs during the Performance Period:</w:t>
      </w:r>
    </w:p>
    <w:p>
      <w:pPr>
        <w:spacing w:after="0" w:line="239"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number of shares of Performance Stock shall Performance-Vest equal to a number determined at the greater of (i) the</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achievement of the “Target Level” Performance Vesting Percentage with respect to the fiscal year in which the Change in Control occurs, as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and (ii) the Company’s actual achievement of the Performance Goal for such year through the Change in Control. Subject to Sections 3.5(d) and (e) below, such Performance-Vested shares of Performance Stock shall remain outstanding and eligible to Vest on the anniversary of the Award Date immediately following the Change in Control, subject to the Participant’s continuous service.</w:t>
      </w:r>
    </w:p>
    <w:p>
      <w:pPr>
        <w:spacing w:after="0" w:line="148" w:lineRule="exact"/>
        <w:rPr>
          <w:rFonts w:ascii="Arial" w:cs="Arial" w:eastAsia="Arial" w:hAnsi="Arial"/>
          <w:sz w:val="19"/>
          <w:szCs w:val="19"/>
          <w:color w:val="auto"/>
        </w:rPr>
      </w:pPr>
    </w:p>
    <w:p>
      <w:pPr>
        <w:ind w:left="1100" w:hanging="444"/>
        <w:spacing w:after="0"/>
        <w:tabs>
          <w:tab w:leader="none" w:pos="11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 addition, and subject to Sections 3.5(d) and (e) below, a number of shares of Performance Stock shall Performance-</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 xml:space="preserve">Vest equal to the number of shares of Performance Stock that could vest with respect to each fiscal year of the Performance Period following the fiscal year in which the Change in Control occurs (if any) based on the achievement of the “Target Level” Performance Vesting Percentage with respect to each such year, as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 and shall remain outstanding and eligible to Vest on the date(s) outlined in Section 3.1(a)(ii) and/or (iii)</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62" w:right="239" w:bottom="1440" w:gutter="0" w:footer="0" w:header="0"/>
        </w:sectPr>
      </w:pPr>
    </w:p>
    <w:bookmarkStart w:id="61" w:name="page62"/>
    <w:bookmarkEnd w:id="61"/>
    <w:p>
      <w:pPr>
        <w:ind w:left="1048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315" w:lineRule="exact"/>
        <w:rPr>
          <w:sz w:val="20"/>
          <w:szCs w:val="20"/>
          <w:color w:val="auto"/>
        </w:rPr>
      </w:pPr>
    </w:p>
    <w:p>
      <w:pPr>
        <w:ind w:right="20"/>
        <w:spacing w:after="0" w:line="302" w:lineRule="auto"/>
        <w:rPr>
          <w:sz w:val="20"/>
          <w:szCs w:val="20"/>
          <w:color w:val="auto"/>
        </w:rPr>
      </w:pPr>
      <w:r>
        <w:rPr>
          <w:rFonts w:ascii="Arial" w:cs="Arial" w:eastAsia="Arial" w:hAnsi="Arial"/>
          <w:sz w:val="22"/>
          <w:szCs w:val="22"/>
          <w:color w:val="auto"/>
        </w:rPr>
        <w:t>(excluding any Catch-Up Shares which are forfeited in the event of a Change in Control), subject to the Participant’s continued service.</w:t>
      </w:r>
    </w:p>
    <w:p>
      <w:pPr>
        <w:spacing w:after="0" w:line="133" w:lineRule="exact"/>
        <w:rPr>
          <w:sz w:val="20"/>
          <w:szCs w:val="20"/>
          <w:color w:val="auto"/>
        </w:rPr>
      </w:pPr>
    </w:p>
    <w:p>
      <w:pPr>
        <w:ind w:left="1140" w:hanging="484"/>
        <w:spacing w:after="0"/>
        <w:tabs>
          <w:tab w:leader="none" w:pos="11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addition, if the Change in Control occurs following the completion of a fiscal year in the Performance Period but</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prior to the date on which shares of Performance Stock with respect to such year become Vested pursuant to Section 3.1(a) above, then such shares of Performance Stock shall Vest as of immediately prior to the Change in Control in a number determined in accordance with Section 3.1(a) above.</w:t>
      </w:r>
    </w:p>
    <w:p>
      <w:pPr>
        <w:spacing w:after="0" w:line="143" w:lineRule="exact"/>
        <w:rPr>
          <w:rFonts w:ascii="Arial" w:cs="Arial" w:eastAsia="Arial" w:hAnsi="Arial"/>
          <w:sz w:val="19"/>
          <w:szCs w:val="19"/>
          <w:color w:val="auto"/>
        </w:rPr>
      </w:pPr>
    </w:p>
    <w:p>
      <w:pPr>
        <w:ind w:left="1120" w:hanging="464"/>
        <w:spacing w:after="0"/>
        <w:tabs>
          <w:tab w:leader="none" w:pos="11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If the Participant incurred a (1) Qualifying Termination or (2) a Termination of Service by reason of the Participant’s</w:t>
      </w:r>
    </w:p>
    <w:p>
      <w:pPr>
        <w:spacing w:after="0" w:line="92" w:lineRule="exact"/>
        <w:rPr>
          <w:rFonts w:ascii="Arial" w:cs="Arial" w:eastAsia="Arial" w:hAnsi="Arial"/>
          <w:sz w:val="19"/>
          <w:szCs w:val="19"/>
          <w:color w:val="auto"/>
        </w:rPr>
      </w:pPr>
    </w:p>
    <w:p>
      <w:pPr>
        <w:ind w:right="20"/>
        <w:spacing w:after="0" w:line="387" w:lineRule="auto"/>
        <w:rPr>
          <w:rFonts w:ascii="Arial" w:cs="Arial" w:eastAsia="Arial" w:hAnsi="Arial"/>
          <w:sz w:val="19"/>
          <w:szCs w:val="19"/>
          <w:color w:val="auto"/>
        </w:rPr>
      </w:pPr>
      <w:r>
        <w:rPr>
          <w:rFonts w:ascii="Arial" w:cs="Arial" w:eastAsia="Arial" w:hAnsi="Arial"/>
          <w:sz w:val="19"/>
          <w:szCs w:val="19"/>
          <w:color w:val="auto"/>
        </w:rPr>
        <w:t>Disability or death, in either case, prior to the Change in Control date, then any shares of Performance Stock that Performance-Vest in accordance with Sections 3.5(a) and (b) above shall Vest as of immediately prior to the Change in Control.</w:t>
      </w:r>
    </w:p>
    <w:p>
      <w:pPr>
        <w:spacing w:after="0" w:line="65" w:lineRule="exact"/>
        <w:rPr>
          <w:rFonts w:ascii="Arial" w:cs="Arial" w:eastAsia="Arial" w:hAnsi="Arial"/>
          <w:sz w:val="19"/>
          <w:szCs w:val="19"/>
          <w:color w:val="auto"/>
        </w:rPr>
      </w:pPr>
    </w:p>
    <w:p>
      <w:pPr>
        <w:ind w:left="1260" w:hanging="604"/>
        <w:spacing w:after="0"/>
        <w:tabs>
          <w:tab w:leader="none" w:pos="12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Notwithstanding Sections 3.5(a) and 3.5(b) above, if the Participant incurs (1) a Qualifying Termination or (2) a</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Termination of Service by reason of the Participant’s Disability or death, in either case, on or following a Change in Control and prior to or on the last day of the Performance Period, then any Performance-Vested shares of Performance Stock that are then-outstanding and have not yet Vested shall Vest in full upon such termination.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09"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1"/>
          <w:szCs w:val="21"/>
          <w:b w:val="1"/>
          <w:bCs w:val="1"/>
          <w:u w:val="single" w:color="auto"/>
          <w:color w:val="auto"/>
        </w:rPr>
        <w:t>Section 4.1</w:t>
      </w:r>
      <w:r>
        <w:rPr>
          <w:rFonts w:ascii="Arial" w:cs="Arial" w:eastAsia="Arial" w:hAnsi="Arial"/>
          <w:sz w:val="21"/>
          <w:szCs w:val="21"/>
          <w:b w:val="1"/>
          <w:bCs w:val="1"/>
          <w:color w:val="auto"/>
        </w:rPr>
        <w:t xml:space="preserve"> No Additional Rights</w:t>
      </w:r>
      <w:r>
        <w:rPr>
          <w:rFonts w:ascii="Arial" w:cs="Arial" w:eastAsia="Arial" w:hAnsi="Arial"/>
          <w:sz w:val="21"/>
          <w:szCs w:val="21"/>
          <w:color w:val="auto"/>
        </w:rPr>
        <w:t>. Nothing in this Award Agreement or in the Plan shall confer upon any person any</w:t>
      </w:r>
      <w:r>
        <w:rPr>
          <w:rFonts w:ascii="Arial" w:cs="Arial" w:eastAsia="Arial" w:hAnsi="Arial"/>
          <w:sz w:val="21"/>
          <w:szCs w:val="21"/>
          <w:b w:val="1"/>
          <w:bCs w:val="1"/>
          <w:color w:val="auto"/>
        </w:rPr>
        <w:t xml:space="preserve"> </w:t>
      </w:r>
      <w:r>
        <w:rPr>
          <w:rFonts w:ascii="Arial" w:cs="Arial" w:eastAsia="Arial" w:hAnsi="Arial"/>
          <w:sz w:val="21"/>
          <w:szCs w:val="21"/>
          <w:color w:val="auto"/>
        </w:rPr>
        <w:t>right to a position as an Associate or continued employment by the Company or any of its Related Corporations or Affiliates or affect in any way the right of any of the foregoing to terminate the services of an individual at any time.</w:t>
      </w:r>
    </w:p>
    <w:p>
      <w:pPr>
        <w:spacing w:after="0" w:line="11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4.2</w:t>
      </w:r>
      <w:r>
        <w:rPr>
          <w:rFonts w:ascii="Arial" w:cs="Arial" w:eastAsia="Arial" w:hAnsi="Arial"/>
          <w:sz w:val="22"/>
          <w:szCs w:val="22"/>
          <w:b w:val="1"/>
          <w:bCs w:val="1"/>
          <w:color w:val="auto"/>
        </w:rPr>
        <w:t xml:space="preserve"> Anti-Assignment</w:t>
      </w:r>
      <w:r>
        <w:rPr>
          <w:rFonts w:ascii="Arial" w:cs="Arial" w:eastAsia="Arial" w:hAnsi="Arial"/>
          <w:sz w:val="22"/>
          <w:szCs w:val="22"/>
          <w:color w:val="auto"/>
        </w:rPr>
        <w:t>. The Participant shall have no right to sell, assign, transfer, pledge, or otherwise encumber</w:t>
      </w:r>
      <w:r>
        <w:rPr>
          <w:rFonts w:ascii="Arial" w:cs="Arial" w:eastAsia="Arial" w:hAnsi="Arial"/>
          <w:sz w:val="22"/>
          <w:szCs w:val="22"/>
          <w:b w:val="1"/>
          <w:bCs w:val="1"/>
          <w:color w:val="auto"/>
        </w:rPr>
        <w:t xml:space="preserve"> </w:t>
      </w:r>
      <w:r>
        <w:rPr>
          <w:rFonts w:ascii="Arial" w:cs="Arial" w:eastAsia="Arial" w:hAnsi="Arial"/>
          <w:sz w:val="22"/>
          <w:szCs w:val="22"/>
          <w:color w:val="auto"/>
        </w:rPr>
        <w:t>or dispose of the Participant’s award of shares of Performance Stock.</w:t>
      </w:r>
    </w:p>
    <w:p>
      <w:pPr>
        <w:spacing w:after="0" w:line="109"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b w:val="1"/>
          <w:bCs w:val="1"/>
          <w:u w:val="single" w:color="auto"/>
          <w:color w:val="auto"/>
        </w:rPr>
        <w:t>Section 4.3</w:t>
      </w:r>
      <w:r>
        <w:rPr>
          <w:rFonts w:ascii="Arial" w:cs="Arial" w:eastAsia="Arial" w:hAnsi="Arial"/>
          <w:sz w:val="19"/>
          <w:szCs w:val="19"/>
          <w:b w:val="1"/>
          <w:bCs w:val="1"/>
          <w:color w:val="auto"/>
        </w:rPr>
        <w:t xml:space="preserve"> Tax Withholding</w:t>
      </w:r>
      <w:r>
        <w:rPr>
          <w:rFonts w:ascii="Arial" w:cs="Arial" w:eastAsia="Arial" w:hAnsi="Arial"/>
          <w:sz w:val="19"/>
          <w:szCs w:val="19"/>
          <w:color w:val="auto"/>
        </w:rPr>
        <w:t>. In satisfaction of all applicable requirements with respect to amounts required by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state or local tax law to be withheld with respect to the vesting, distribution or payment of the shares of Performance Stock, the Company shall withhold Shares otherwise issuable upon such distribution or payment of the shares of Performance Stock having a Fair Market Value equal to the sums required to be withheld. Subject to the following sentence, the number of Shares which shall be so withheld in order to satisfy the Participant’s federal, state and local withholding tax liabilities with respect to the vesting of the shares of Performance Stock or issuance of Shares in payment of the shares of Performance Stock shall be limited to the number of Shares which have a Fair Market Value on the date of issuance equal to the aggregate amount of such liabilities based on the minimum statutory withholding rates for federal, state and local tax purposes that are applicable to, and required in connection with, all or a portion of such supplemental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62"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92" w:lineRule="exact"/>
        <w:rPr>
          <w:sz w:val="20"/>
          <w:szCs w:val="20"/>
          <w:color w:val="auto"/>
        </w:rPr>
      </w:pPr>
    </w:p>
    <w:p>
      <w:pPr>
        <w:jc w:val="both"/>
        <w:spacing w:after="0" w:line="338" w:lineRule="auto"/>
        <w:rPr>
          <w:sz w:val="20"/>
          <w:szCs w:val="20"/>
          <w:color w:val="auto"/>
        </w:rPr>
      </w:pPr>
      <w:r>
        <w:rPr>
          <w:rFonts w:ascii="Arial" w:cs="Arial" w:eastAsia="Arial" w:hAnsi="Arial"/>
          <w:sz w:val="19"/>
          <w:szCs w:val="19"/>
          <w:color w:val="auto"/>
        </w:rPr>
        <w:t>taxable income. In the event that the number of Shares having a Fair Market Value equal to the sums required to be withheld is not a whole number of Shares, the number of Shares so withheld shall be rounded up to the nearest whole share. In addition, to the extent that any Federal Insurance Contributions Act tax withholding obligations arise in connection with the Performance Stock prior to the applicable vesting date, the Administrator shall accelerate the payment of a portion of the award of Performance Stock sufficient to satisfy (but not in excess of) such tax withholding obligations and any tax withholding obligations associated with any such accelerated payment, and the Administrator shall withhold such amounts in satisfaction of such withholding obligations.</w:t>
      </w:r>
    </w:p>
    <w:p>
      <w:pPr>
        <w:spacing w:after="0" w:line="106"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u w:val="single" w:color="auto"/>
          <w:color w:val="auto"/>
        </w:rPr>
        <w:t>Section 4.4</w:t>
      </w:r>
      <w:r>
        <w:rPr>
          <w:rFonts w:ascii="Arial" w:cs="Arial" w:eastAsia="Arial" w:hAnsi="Arial"/>
          <w:sz w:val="19"/>
          <w:szCs w:val="19"/>
          <w:b w:val="1"/>
          <w:bCs w:val="1"/>
          <w:color w:val="auto"/>
        </w:rPr>
        <w:t xml:space="preserve"> Notices</w:t>
      </w:r>
      <w:r>
        <w:rPr>
          <w:rFonts w:ascii="Arial" w:cs="Arial" w:eastAsia="Arial" w:hAnsi="Arial"/>
          <w:sz w:val="19"/>
          <w:szCs w:val="19"/>
          <w:color w:val="auto"/>
        </w:rPr>
        <w:t>. Any notice to be given under the terms of this Award Agreement to the Company shall be addressed</w:t>
      </w:r>
      <w:r>
        <w:rPr>
          <w:rFonts w:ascii="Arial" w:cs="Arial" w:eastAsia="Arial" w:hAnsi="Arial"/>
          <w:sz w:val="19"/>
          <w:szCs w:val="19"/>
          <w:b w:val="1"/>
          <w:bCs w:val="1"/>
          <w:color w:val="auto"/>
        </w:rPr>
        <w:t xml:space="preserve"> </w:t>
      </w:r>
      <w:r>
        <w:rPr>
          <w:rFonts w:ascii="Arial" w:cs="Arial" w:eastAsia="Arial" w:hAnsi="Arial"/>
          <w:sz w:val="19"/>
          <w:szCs w:val="19"/>
          <w:color w:val="auto"/>
        </w:rPr>
        <w:t>to the Company in care of its Chief Human Resources Officer, and any notice to be given to the Participant shall be addressed to the Participant at his or her address of record maintained by the Human Resources Department.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or her status and address by written notice under this Section 4.4.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104"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u w:val="single" w:color="auto"/>
          <w:color w:val="auto"/>
        </w:rPr>
        <w:t>Section 4.5</w:t>
      </w:r>
      <w:r>
        <w:rPr>
          <w:rFonts w:ascii="Arial" w:cs="Arial" w:eastAsia="Arial" w:hAnsi="Arial"/>
          <w:sz w:val="22"/>
          <w:szCs w:val="22"/>
          <w:b w:val="1"/>
          <w:bCs w:val="1"/>
          <w:color w:val="auto"/>
        </w:rPr>
        <w:t xml:space="preserve"> Titles</w:t>
      </w:r>
      <w:r>
        <w:rPr>
          <w:rFonts w:ascii="Arial" w:cs="Arial" w:eastAsia="Arial" w:hAnsi="Arial"/>
          <w:sz w:val="22"/>
          <w:szCs w:val="22"/>
          <w:color w:val="auto"/>
        </w:rPr>
        <w:t>. Titles are provided herein for convenience only and are not to serve as a basis for interpretation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construction of this Award Agreement.</w:t>
      </w:r>
    </w:p>
    <w:p>
      <w:pPr>
        <w:spacing w:after="0" w:line="10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u w:val="single" w:color="auto"/>
          <w:color w:val="auto"/>
        </w:rPr>
        <w:t>Section 4.6</w:t>
      </w:r>
      <w:r>
        <w:rPr>
          <w:rFonts w:ascii="Arial" w:cs="Arial" w:eastAsia="Arial" w:hAnsi="Arial"/>
          <w:sz w:val="19"/>
          <w:szCs w:val="19"/>
          <w:b w:val="1"/>
          <w:bCs w:val="1"/>
          <w:color w:val="auto"/>
        </w:rPr>
        <w:t xml:space="preserve"> Conformity to Securities Laws</w:t>
      </w:r>
      <w:r>
        <w:rPr>
          <w:rFonts w:ascii="Arial" w:cs="Arial" w:eastAsia="Arial" w:hAnsi="Arial"/>
          <w:sz w:val="19"/>
          <w:szCs w:val="19"/>
          <w:color w:val="auto"/>
        </w:rPr>
        <w:t>. This Award Agreement is intended to conform to the extent necessary with</w:t>
      </w:r>
      <w:r>
        <w:rPr>
          <w:rFonts w:ascii="Arial" w:cs="Arial" w:eastAsia="Arial" w:hAnsi="Arial"/>
          <w:sz w:val="19"/>
          <w:szCs w:val="19"/>
          <w:b w:val="1"/>
          <w:bCs w:val="1"/>
          <w:color w:val="auto"/>
        </w:rPr>
        <w:t xml:space="preserve"> </w:t>
      </w:r>
      <w:r>
        <w:rPr>
          <w:rFonts w:ascii="Arial" w:cs="Arial" w:eastAsia="Arial" w:hAnsi="Arial"/>
          <w:sz w:val="19"/>
          <w:szCs w:val="19"/>
          <w:color w:val="auto"/>
        </w:rPr>
        <w:t>all 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shares of Performance Stock shall be issued, only in such a manner as to conform to such laws, rules and regulations. To the extent permitted by applicable law, this Award Agreement and the shares of Performance Stock issued hereunder shall be deemed amended to the extent necessary to conform to such laws, rules and regulations.</w:t>
      </w:r>
    </w:p>
    <w:p>
      <w:pPr>
        <w:spacing w:after="0" w:line="10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u w:val="single" w:color="auto"/>
          <w:color w:val="auto"/>
        </w:rPr>
        <w:t>Section 4.7</w:t>
      </w:r>
      <w:r>
        <w:rPr>
          <w:rFonts w:ascii="Arial" w:cs="Arial" w:eastAsia="Arial" w:hAnsi="Arial"/>
          <w:sz w:val="22"/>
          <w:szCs w:val="22"/>
          <w:b w:val="1"/>
          <w:bCs w:val="1"/>
          <w:color w:val="auto"/>
        </w:rPr>
        <w:t xml:space="preserve"> Amendment</w:t>
      </w:r>
      <w:r>
        <w:rPr>
          <w:rFonts w:ascii="Arial" w:cs="Arial" w:eastAsia="Arial" w:hAnsi="Arial"/>
          <w:sz w:val="22"/>
          <w:szCs w:val="22"/>
          <w:color w:val="auto"/>
        </w:rPr>
        <w:t>. This Award Agreement may be amended only by a writing executed by the parties hereto which</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states that it is amending this Award Agreement.</w:t>
      </w:r>
    </w:p>
    <w:p>
      <w:pPr>
        <w:spacing w:after="0" w:line="1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u w:val="single" w:color="auto"/>
          <w:color w:val="auto"/>
        </w:rPr>
        <w:t>Section 4.8</w:t>
      </w:r>
      <w:r>
        <w:rPr>
          <w:rFonts w:ascii="Arial" w:cs="Arial" w:eastAsia="Arial" w:hAnsi="Arial"/>
          <w:sz w:val="22"/>
          <w:szCs w:val="22"/>
          <w:b w:val="1"/>
          <w:bCs w:val="1"/>
          <w:color w:val="auto"/>
        </w:rPr>
        <w:t xml:space="preserve"> Governing Law</w:t>
      </w:r>
      <w:r>
        <w:rPr>
          <w:rFonts w:ascii="Arial" w:cs="Arial" w:eastAsia="Arial" w:hAnsi="Arial"/>
          <w:sz w:val="22"/>
          <w:szCs w:val="22"/>
          <w:color w:val="auto"/>
        </w:rPr>
        <w:t>. The laws of the State of Delaware shall govern the interpretation, validity, administration,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and performance of the terms of this Award Agreement regardless of the law that might be applied under principles of conflicts of laws.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62"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b w:val="1"/>
          <w:bCs w:val="1"/>
          <w:u w:val="single" w:color="auto"/>
          <w:color w:val="auto"/>
        </w:rPr>
        <w:t>Section 4.9</w:t>
      </w:r>
      <w:r>
        <w:rPr>
          <w:rFonts w:ascii="Arial" w:cs="Arial" w:eastAsia="Arial" w:hAnsi="Arial"/>
          <w:sz w:val="19"/>
          <w:szCs w:val="19"/>
          <w:b w:val="1"/>
          <w:bCs w:val="1"/>
          <w:color w:val="auto"/>
        </w:rPr>
        <w:t xml:space="preserve"> Section 409A</w:t>
      </w:r>
      <w:r>
        <w:rPr>
          <w:rFonts w:ascii="Arial" w:cs="Arial" w:eastAsia="Arial" w:hAnsi="Arial"/>
          <w:sz w:val="19"/>
          <w:szCs w:val="19"/>
          <w:color w:val="auto"/>
        </w:rPr>
        <w:t>. This Award Agreement shall be interpreted in accordance with the requirements of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409A of the Code. Notwithstanding any provision in this Award Agreement to the contrary, if a payment is deemed to be deferred compensation subject to the requirements of Section 409A of the Code, such payment may only be made under this Award Agreement upon an event and in a manner permitted by Section 409A of the Code. If a payment is not made by the designated payment date under this Award Agreement, the payment shall be made by December 31 of the calendar year in which the designated date occurs. In no event may the Participant, directly or indirectly, designate the calendar year of payment. A termination of service shall not be deemed to have occurred for purposes of any provision of this Award Agreement providing for the payment of any amounts or benefits upon or following a termination of service that are considered “nonqualified deferred compensation” under Section 409A of the Code unless such termination is also a “separation from service” within the meaning of Section 409A of the Code and, for purposes of any such provision of this award Agreement, references to a “termination,” “termination of employment,” “Termination of Service” or like terms shall mean “separation from service.” Notwithstanding anything to the contrary in this Award Agreement, no amounts payable to the Participant under this Award Agreement shall be paid to the Participant prior to the expiration of the 6-month period following the Participant’s “separation from service” if the Company determines that paying such amounts at the time or times indicated in this Award Agreement would be a prohibited distribution under Section 409A(a)(2)(b)(i) of the Code. If the payment of any such amounts is delayed as a result of the previous sentence, then on the first day following the end of such 6-month period, the Company shall pay the Participant a lump-sum amount equal to the cumulative amount that would have otherwise been payable to the Participant during such 6-month period.</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u w:val="single" w:color="auto"/>
          <w:color w:val="auto"/>
        </w:rPr>
        <w:t>Section 4.10</w:t>
      </w:r>
      <w:r>
        <w:rPr>
          <w:rFonts w:ascii="Arial" w:cs="Arial" w:eastAsia="Arial" w:hAnsi="Arial"/>
          <w:sz w:val="22"/>
          <w:szCs w:val="22"/>
          <w:b w:val="1"/>
          <w:bCs w:val="1"/>
          <w:color w:val="auto"/>
        </w:rPr>
        <w:t xml:space="preserve"> Electronic Delivery and Acceptance</w:t>
      </w:r>
      <w:r>
        <w:rPr>
          <w:rFonts w:ascii="Arial" w:cs="Arial" w:eastAsia="Arial" w:hAnsi="Arial"/>
          <w:sz w:val="22"/>
          <w:szCs w:val="22"/>
          <w:color w:val="auto"/>
        </w:rPr>
        <w:t>. The Participant hereby consents to receive the Notice of Grant of</w:t>
      </w:r>
      <w:r>
        <w:rPr>
          <w:rFonts w:ascii="Arial" w:cs="Arial" w:eastAsia="Arial" w:hAnsi="Arial"/>
          <w:sz w:val="22"/>
          <w:szCs w:val="22"/>
          <w:b w:val="1"/>
          <w:bCs w:val="1"/>
          <w:color w:val="auto"/>
        </w:rPr>
        <w:t xml:space="preserve"> </w:t>
      </w:r>
      <w:r>
        <w:rPr>
          <w:rFonts w:ascii="Arial" w:cs="Arial" w:eastAsia="Arial" w:hAnsi="Arial"/>
          <w:sz w:val="22"/>
          <w:szCs w:val="22"/>
          <w:color w:val="auto"/>
        </w:rPr>
        <w:t>Award and Award Agreement and any other documents related to this award or future awards by electronic delivery and to accept this or future awards through an on-line or electronic system established and maintained by the Company or another third party designated by the Company. The Participant acknowledges that he has read, understand and agrees to the terms of the Notice of Grant of Award and Award Agreement. Clicking the “ACCEPT” button on E*TRADE’s on-line grant agreement response page will act as the Participant’s electronic signature to these documents and will result in a contract between the Company and the Participant with respect to the award.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62"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Performance Stock Agreement as of the date first above written.</w:t>
      </w:r>
    </w:p>
    <w:p>
      <w:pPr>
        <w:spacing w:after="0" w:line="200" w:lineRule="exact"/>
        <w:rPr>
          <w:sz w:val="20"/>
          <w:szCs w:val="20"/>
          <w:color w:val="auto"/>
        </w:rPr>
      </w:pPr>
    </w:p>
    <w:p>
      <w:pPr>
        <w:spacing w:after="0" w:line="399"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_________________________________</w:t>
      </w:r>
    </w:p>
    <w:p>
      <w:pPr>
        <w:spacing w:after="0" w:line="2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PARTICIPANT</w:t>
      </w:r>
    </w:p>
    <w:p>
      <w:pPr>
        <w:spacing w:after="0" w:line="266"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__________________________________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Peter J. Arduini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EXHIBIT A</w:t>
      </w:r>
    </w:p>
    <w:p>
      <w:pPr>
        <w:spacing w:after="0" w:line="193"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PERFORMANCE GOALS AND PERFORMANCE PERIOD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Capitalized terms shall have the meaning set forth in Performance Stock Agreement.</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Performance Period</w:t>
      </w:r>
      <w:r>
        <w:rPr>
          <w:rFonts w:ascii="Arial" w:cs="Arial" w:eastAsia="Arial" w:hAnsi="Arial"/>
          <w:sz w:val="21"/>
          <w:szCs w:val="21"/>
          <w:color w:val="auto"/>
        </w:rPr>
        <w:t>” shall be the three-year period beginning January 1, [2018] and ending December 31, [2020].</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Catch-Up Performance Goal</w:t>
      </w:r>
      <w:r>
        <w:rPr>
          <w:rFonts w:ascii="Arial" w:cs="Arial" w:eastAsia="Arial" w:hAnsi="Arial"/>
          <w:sz w:val="22"/>
          <w:szCs w:val="22"/>
          <w:color w:val="auto"/>
        </w:rPr>
        <w:t>” shall mean that the Company achieves, as of the end of the Performance Period (but not due to a Change in Control), an average 3-year Annual Organic Revenue growth rate of at least [5.0%].</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With respect to each fiscal year in the Performance Period, the “Performance Goal” is that the Company achieves a Threshold Level or higher level of growth in Annual Organic Revenue over the immediately preceding fiscal year, as set forth in the table below. A number of shares of Performance Stock will Performance-Vest in accordance with Section 3.1 of the Performance Stock Agreement based on the percentage growth in Annual Organic Revenue over the immediately preceding fiscal year: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S-0</w:t>
      </w:r>
    </w:p>
    <w:p>
      <w:pPr>
        <w:sectPr>
          <w:pgSz w:w="11900" w:h="16838" w:orient="portrait"/>
          <w:cols w:equalWidth="0" w:num="1">
            <w:col w:w="11420"/>
          </w:cols>
          <w:pgMar w:left="240" w:top="162"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5822950" cy="2169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2295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4040" w:type="dxa"/>
            <w:vAlign w:val="bottom"/>
          </w:tcPr>
          <w:p>
            <w:pPr>
              <w:spacing w:after="0"/>
              <w:rPr>
                <w:sz w:val="24"/>
                <w:szCs w:val="24"/>
                <w:color w:val="auto"/>
              </w:rPr>
            </w:pPr>
          </w:p>
        </w:tc>
        <w:tc>
          <w:tcPr>
            <w:tcW w:w="3120" w:type="dxa"/>
            <w:vAlign w:val="bottom"/>
          </w:tcPr>
          <w:p>
            <w:pPr>
              <w:jc w:val="center"/>
              <w:ind w:left="276"/>
              <w:spacing w:after="0"/>
              <w:rPr>
                <w:sz w:val="20"/>
                <w:szCs w:val="20"/>
                <w:color w:val="auto"/>
              </w:rPr>
            </w:pPr>
            <w:r>
              <w:rPr>
                <w:rFonts w:ascii="Arial" w:cs="Arial" w:eastAsia="Arial" w:hAnsi="Arial"/>
                <w:sz w:val="22"/>
                <w:szCs w:val="22"/>
                <w:b w:val="1"/>
                <w:bCs w:val="1"/>
                <w:color w:val="auto"/>
                <w:w w:val="91"/>
              </w:rPr>
              <w:t>Growth in Annual Organic</w:t>
            </w:r>
          </w:p>
        </w:tc>
        <w:tc>
          <w:tcPr>
            <w:tcW w:w="2000" w:type="dxa"/>
            <w:vAlign w:val="bottom"/>
          </w:tcPr>
          <w:p>
            <w:pPr>
              <w:jc w:val="right"/>
              <w:spacing w:after="0"/>
              <w:rPr>
                <w:sz w:val="20"/>
                <w:szCs w:val="20"/>
                <w:color w:val="auto"/>
              </w:rPr>
            </w:pPr>
            <w:r>
              <w:rPr>
                <w:rFonts w:ascii="Arial" w:cs="Arial" w:eastAsia="Arial" w:hAnsi="Arial"/>
                <w:sz w:val="22"/>
                <w:szCs w:val="22"/>
                <w:b w:val="1"/>
                <w:bCs w:val="1"/>
                <w:color w:val="auto"/>
                <w:w w:val="89"/>
              </w:rPr>
              <w:t>Performance Vesting</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3120" w:type="dxa"/>
            <w:vAlign w:val="bottom"/>
          </w:tcPr>
          <w:p>
            <w:pPr>
              <w:jc w:val="center"/>
              <w:ind w:left="276"/>
              <w:spacing w:after="0" w:line="148" w:lineRule="exact"/>
              <w:rPr>
                <w:sz w:val="20"/>
                <w:szCs w:val="20"/>
                <w:color w:val="auto"/>
              </w:rPr>
            </w:pPr>
            <w:r>
              <w:rPr>
                <w:rFonts w:ascii="Arial" w:cs="Arial" w:eastAsia="Arial" w:hAnsi="Arial"/>
                <w:sz w:val="17"/>
                <w:szCs w:val="17"/>
                <w:b w:val="1"/>
                <w:bCs w:val="1"/>
                <w:color w:val="auto"/>
              </w:rPr>
              <w:t>Revenue over the Prior</w:t>
            </w:r>
          </w:p>
        </w:tc>
        <w:tc>
          <w:tcPr>
            <w:tcW w:w="2000" w:type="dxa"/>
            <w:vAlign w:val="bottom"/>
            <w:vMerge w:val="restart"/>
          </w:tcPr>
          <w:p>
            <w:pPr>
              <w:jc w:val="right"/>
              <w:ind w:right="372"/>
              <w:spacing w:after="0"/>
              <w:rPr>
                <w:sz w:val="20"/>
                <w:szCs w:val="20"/>
                <w:color w:val="auto"/>
              </w:rPr>
            </w:pPr>
            <w:r>
              <w:rPr>
                <w:rFonts w:ascii="Arial" w:cs="Arial" w:eastAsia="Arial" w:hAnsi="Arial"/>
                <w:sz w:val="22"/>
                <w:szCs w:val="22"/>
                <w:b w:val="1"/>
                <w:bCs w:val="1"/>
                <w:color w:val="auto"/>
              </w:rPr>
              <w:t>Percentage</w:t>
            </w:r>
          </w:p>
        </w:tc>
        <w:tc>
          <w:tcPr>
            <w:tcW w:w="0" w:type="dxa"/>
            <w:vAlign w:val="bottom"/>
          </w:tcPr>
          <w:p>
            <w:pPr>
              <w:spacing w:after="0"/>
              <w:rPr>
                <w:sz w:val="1"/>
                <w:szCs w:val="1"/>
                <w:color w:val="auto"/>
              </w:rPr>
            </w:pPr>
          </w:p>
        </w:tc>
      </w:tr>
      <w:tr>
        <w:trPr>
          <w:trHeight w:val="159"/>
        </w:trPr>
        <w:tc>
          <w:tcPr>
            <w:tcW w:w="4040" w:type="dxa"/>
            <w:vAlign w:val="bottom"/>
          </w:tcPr>
          <w:p>
            <w:pPr>
              <w:spacing w:after="0"/>
              <w:rPr>
                <w:sz w:val="13"/>
                <w:szCs w:val="13"/>
                <w:color w:val="auto"/>
              </w:rPr>
            </w:pPr>
          </w:p>
        </w:tc>
        <w:tc>
          <w:tcPr>
            <w:tcW w:w="3120" w:type="dxa"/>
            <w:vAlign w:val="bottom"/>
            <w:vMerge w:val="restart"/>
          </w:tcPr>
          <w:p>
            <w:pPr>
              <w:jc w:val="center"/>
              <w:ind w:left="256"/>
              <w:spacing w:after="0"/>
              <w:rPr>
                <w:sz w:val="20"/>
                <w:szCs w:val="20"/>
                <w:color w:val="auto"/>
              </w:rPr>
            </w:pPr>
            <w:r>
              <w:rPr>
                <w:rFonts w:ascii="Arial" w:cs="Arial" w:eastAsia="Arial" w:hAnsi="Arial"/>
                <w:sz w:val="22"/>
                <w:szCs w:val="22"/>
                <w:b w:val="1"/>
                <w:bCs w:val="1"/>
                <w:color w:val="auto"/>
                <w:w w:val="91"/>
              </w:rPr>
              <w:t>Fiscal Year (%)</w:t>
            </w:r>
          </w:p>
        </w:tc>
        <w:tc>
          <w:tcPr>
            <w:tcW w:w="2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040" w:type="dxa"/>
            <w:vAlign w:val="bottom"/>
          </w:tcPr>
          <w:p>
            <w:pPr>
              <w:spacing w:after="0"/>
              <w:rPr>
                <w:sz w:val="11"/>
                <w:szCs w:val="11"/>
                <w:color w:val="auto"/>
              </w:rPr>
            </w:pPr>
          </w:p>
        </w:tc>
        <w:tc>
          <w:tcPr>
            <w:tcW w:w="3120" w:type="dxa"/>
            <w:vAlign w:val="bottom"/>
            <w:vMerge w:val="continue"/>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4040" w:type="dxa"/>
            <w:vAlign w:val="bottom"/>
            <w:shd w:val="clear" w:color="auto" w:fill="DAEEF3"/>
          </w:tcPr>
          <w:p>
            <w:pPr>
              <w:ind w:left="40"/>
              <w:spacing w:after="0"/>
              <w:rPr>
                <w:sz w:val="20"/>
                <w:szCs w:val="20"/>
                <w:color w:val="auto"/>
              </w:rPr>
            </w:pPr>
            <w:r>
              <w:rPr>
                <w:rFonts w:ascii="Arial" w:cs="Arial" w:eastAsia="Arial" w:hAnsi="Arial"/>
                <w:sz w:val="22"/>
                <w:szCs w:val="22"/>
                <w:b w:val="1"/>
                <w:bCs w:val="1"/>
                <w:color w:val="auto"/>
              </w:rPr>
              <w:t>PERFORMANCE YEAR</w:t>
            </w:r>
          </w:p>
        </w:tc>
        <w:tc>
          <w:tcPr>
            <w:tcW w:w="3120" w:type="dxa"/>
            <w:vAlign w:val="bottom"/>
            <w:shd w:val="clear" w:color="auto" w:fill="DAEEF3"/>
          </w:tcPr>
          <w:p>
            <w:pPr>
              <w:spacing w:after="0"/>
              <w:rPr>
                <w:sz w:val="24"/>
                <w:szCs w:val="24"/>
                <w:color w:val="auto"/>
              </w:rPr>
            </w:pPr>
          </w:p>
        </w:tc>
        <w:tc>
          <w:tcPr>
            <w:tcW w:w="2000" w:type="dxa"/>
            <w:vAlign w:val="bottom"/>
            <w:shd w:val="clear" w:color="auto" w:fill="DAEEF3"/>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040" w:type="dxa"/>
            <w:vAlign w:val="bottom"/>
            <w:shd w:val="clear" w:color="auto" w:fill="DAEEF3"/>
          </w:tcPr>
          <w:p>
            <w:pPr>
              <w:spacing w:after="0"/>
              <w:rPr>
                <w:sz w:val="24"/>
                <w:szCs w:val="24"/>
                <w:color w:val="auto"/>
              </w:rPr>
            </w:pPr>
          </w:p>
        </w:tc>
        <w:tc>
          <w:tcPr>
            <w:tcW w:w="3120" w:type="dxa"/>
            <w:vAlign w:val="bottom"/>
            <w:shd w:val="clear" w:color="auto" w:fill="DAEEF3"/>
          </w:tcPr>
          <w:p>
            <w:pPr>
              <w:jc w:val="right"/>
              <w:spacing w:after="0"/>
              <w:rPr>
                <w:sz w:val="20"/>
                <w:szCs w:val="20"/>
                <w:color w:val="auto"/>
              </w:rPr>
            </w:pPr>
            <w:r>
              <w:rPr>
                <w:rFonts w:ascii="Arial" w:cs="Arial" w:eastAsia="Arial" w:hAnsi="Arial"/>
                <w:sz w:val="22"/>
                <w:szCs w:val="22"/>
                <w:color w:val="auto"/>
              </w:rPr>
              <w:t>[&lt; 2%]</w:t>
            </w:r>
          </w:p>
        </w:tc>
        <w:tc>
          <w:tcPr>
            <w:tcW w:w="2000" w:type="dxa"/>
            <w:vAlign w:val="bottom"/>
            <w:shd w:val="clear" w:color="auto" w:fill="DAEEF3"/>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94"/>
        </w:trPr>
        <w:tc>
          <w:tcPr>
            <w:tcW w:w="4040" w:type="dxa"/>
            <w:vAlign w:val="bottom"/>
          </w:tcPr>
          <w:p>
            <w:pPr>
              <w:ind w:left="40"/>
              <w:spacing w:after="0"/>
              <w:rPr>
                <w:sz w:val="20"/>
                <w:szCs w:val="20"/>
                <w:color w:val="auto"/>
              </w:rPr>
            </w:pPr>
            <w:r>
              <w:rPr>
                <w:rFonts w:ascii="Arial" w:cs="Arial" w:eastAsia="Arial" w:hAnsi="Arial"/>
                <w:sz w:val="22"/>
                <w:szCs w:val="22"/>
                <w:b w:val="1"/>
                <w:bCs w:val="1"/>
                <w:color w:val="auto"/>
              </w:rPr>
              <w:t>“Threshold Level”</w:t>
            </w:r>
          </w:p>
        </w:tc>
        <w:tc>
          <w:tcPr>
            <w:tcW w:w="3120" w:type="dxa"/>
            <w:vAlign w:val="bottom"/>
          </w:tcPr>
          <w:p>
            <w:pPr>
              <w:jc w:val="right"/>
              <w:spacing w:after="0"/>
              <w:rPr>
                <w:sz w:val="20"/>
                <w:szCs w:val="20"/>
                <w:color w:val="auto"/>
              </w:rPr>
            </w:pPr>
            <w:r>
              <w:rPr>
                <w:rFonts w:ascii="Arial" w:cs="Arial" w:eastAsia="Arial" w:hAnsi="Arial"/>
                <w:sz w:val="22"/>
                <w:szCs w:val="22"/>
                <w:color w:val="auto"/>
              </w:rPr>
              <w:t>[2%]</w:t>
            </w:r>
          </w:p>
        </w:tc>
        <w:tc>
          <w:tcPr>
            <w:tcW w:w="200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4040" w:type="dxa"/>
            <w:vAlign w:val="bottom"/>
            <w:shd w:val="clear" w:color="auto" w:fill="DAEEF3"/>
          </w:tcPr>
          <w:p>
            <w:pPr>
              <w:ind w:left="40"/>
              <w:spacing w:after="0"/>
              <w:rPr>
                <w:sz w:val="20"/>
                <w:szCs w:val="20"/>
                <w:color w:val="auto"/>
              </w:rPr>
            </w:pPr>
            <w:r>
              <w:rPr>
                <w:rFonts w:ascii="Arial" w:cs="Arial" w:eastAsia="Arial" w:hAnsi="Arial"/>
                <w:sz w:val="22"/>
                <w:szCs w:val="22"/>
                <w:b w:val="1"/>
                <w:bCs w:val="1"/>
                <w:color w:val="auto"/>
              </w:rPr>
              <w:t>“Target Level”</w:t>
            </w:r>
          </w:p>
        </w:tc>
        <w:tc>
          <w:tcPr>
            <w:tcW w:w="3760" w:type="dxa"/>
            <w:vAlign w:val="bottom"/>
            <w:gridSpan w:val="3"/>
            <w:shd w:val="clear" w:color="auto" w:fill="DAEEF3"/>
          </w:tcPr>
          <w:p>
            <w:pPr>
              <w:jc w:val="right"/>
              <w:ind w:right="680"/>
              <w:spacing w:after="0"/>
              <w:rPr>
                <w:sz w:val="20"/>
                <w:szCs w:val="20"/>
                <w:color w:val="auto"/>
              </w:rPr>
            </w:pPr>
            <w:r>
              <w:rPr>
                <w:rFonts w:ascii="Arial" w:cs="Arial" w:eastAsia="Arial" w:hAnsi="Arial"/>
                <w:sz w:val="22"/>
                <w:szCs w:val="22"/>
                <w:color w:val="auto"/>
              </w:rPr>
              <w:t>[5%]</w:t>
            </w:r>
          </w:p>
        </w:tc>
        <w:tc>
          <w:tcPr>
            <w:tcW w:w="1360" w:type="dxa"/>
            <w:vAlign w:val="bottom"/>
            <w:shd w:val="clear" w:color="auto" w:fill="DAEEF3"/>
          </w:tcPr>
          <w:p>
            <w:pPr>
              <w:jc w:val="right"/>
              <w:spacing w:after="0"/>
              <w:rPr>
                <w:sz w:val="20"/>
                <w:szCs w:val="20"/>
                <w:color w:val="auto"/>
              </w:rPr>
            </w:pPr>
            <w:r>
              <w:rPr>
                <w:rFonts w:ascii="Arial" w:cs="Arial" w:eastAsia="Arial" w:hAnsi="Arial"/>
                <w:sz w:val="22"/>
                <w:szCs w:val="22"/>
                <w:color w:val="auto"/>
              </w:rPr>
              <w:t>[100%]</w:t>
            </w:r>
          </w:p>
        </w:tc>
      </w:tr>
      <w:tr>
        <w:trPr>
          <w:trHeight w:val="361"/>
        </w:trPr>
        <w:tc>
          <w:tcPr>
            <w:tcW w:w="4040" w:type="dxa"/>
            <w:vAlign w:val="bottom"/>
            <w:shd w:val="clear" w:color="auto" w:fill="DAEEF3"/>
          </w:tcPr>
          <w:p>
            <w:pPr>
              <w:spacing w:after="0"/>
              <w:rPr>
                <w:sz w:val="24"/>
                <w:szCs w:val="24"/>
                <w:color w:val="auto"/>
              </w:rPr>
            </w:pPr>
          </w:p>
        </w:tc>
        <w:tc>
          <w:tcPr>
            <w:tcW w:w="2480" w:type="dxa"/>
            <w:vAlign w:val="bottom"/>
            <w:shd w:val="clear" w:color="auto" w:fill="DAEEF3"/>
          </w:tcPr>
          <w:p>
            <w:pPr>
              <w:spacing w:after="0"/>
              <w:rPr>
                <w:sz w:val="24"/>
                <w:szCs w:val="24"/>
                <w:color w:val="auto"/>
              </w:rPr>
            </w:pPr>
          </w:p>
        </w:tc>
        <w:tc>
          <w:tcPr>
            <w:tcW w:w="200" w:type="dxa"/>
            <w:vAlign w:val="bottom"/>
            <w:shd w:val="clear" w:color="auto" w:fill="DAEEF3"/>
          </w:tcPr>
          <w:p>
            <w:pPr>
              <w:spacing w:after="0"/>
              <w:rPr>
                <w:sz w:val="24"/>
                <w:szCs w:val="24"/>
                <w:color w:val="auto"/>
              </w:rPr>
            </w:pPr>
          </w:p>
        </w:tc>
        <w:tc>
          <w:tcPr>
            <w:tcW w:w="1080" w:type="dxa"/>
            <w:vAlign w:val="bottom"/>
            <w:shd w:val="clear" w:color="auto" w:fill="DAEEF3"/>
          </w:tcPr>
          <w:p>
            <w:pPr>
              <w:spacing w:after="0"/>
              <w:rPr>
                <w:sz w:val="24"/>
                <w:szCs w:val="24"/>
                <w:color w:val="auto"/>
              </w:rPr>
            </w:pPr>
          </w:p>
        </w:tc>
        <w:tc>
          <w:tcPr>
            <w:tcW w:w="1360" w:type="dxa"/>
            <w:vAlign w:val="bottom"/>
            <w:shd w:val="clear" w:color="auto" w:fill="DAEEF3"/>
          </w:tcPr>
          <w:p>
            <w:pPr>
              <w:spacing w:after="0"/>
              <w:rPr>
                <w:sz w:val="24"/>
                <w:szCs w:val="24"/>
                <w:color w:val="auto"/>
              </w:rPr>
            </w:pPr>
          </w:p>
        </w:tc>
      </w:tr>
      <w:tr>
        <w:trPr>
          <w:trHeight w:val="243"/>
        </w:trPr>
        <w:tc>
          <w:tcPr>
            <w:tcW w:w="4040" w:type="dxa"/>
            <w:vAlign w:val="bottom"/>
          </w:tcPr>
          <w:p>
            <w:pPr>
              <w:ind w:left="40"/>
              <w:spacing w:after="0" w:line="243" w:lineRule="exact"/>
              <w:rPr>
                <w:sz w:val="20"/>
                <w:szCs w:val="20"/>
                <w:color w:val="auto"/>
              </w:rPr>
            </w:pPr>
            <w:r>
              <w:rPr>
                <w:rFonts w:ascii="Arial" w:cs="Arial" w:eastAsia="Arial" w:hAnsi="Arial"/>
                <w:sz w:val="22"/>
                <w:szCs w:val="22"/>
                <w:b w:val="1"/>
                <w:bCs w:val="1"/>
                <w:color w:val="auto"/>
              </w:rPr>
              <w:t>“Maximum Level”</w:t>
            </w:r>
          </w:p>
        </w:tc>
        <w:tc>
          <w:tcPr>
            <w:tcW w:w="3760" w:type="dxa"/>
            <w:vAlign w:val="bottom"/>
            <w:gridSpan w:val="3"/>
          </w:tcPr>
          <w:p>
            <w:pPr>
              <w:jc w:val="right"/>
              <w:ind w:right="680"/>
              <w:spacing w:after="0" w:line="243" w:lineRule="exact"/>
              <w:rPr>
                <w:sz w:val="20"/>
                <w:szCs w:val="20"/>
                <w:color w:val="auto"/>
              </w:rPr>
            </w:pPr>
            <w:r>
              <w:rPr>
                <w:rFonts w:ascii="Arial" w:cs="Arial" w:eastAsia="Arial" w:hAnsi="Arial"/>
                <w:sz w:val="22"/>
                <w:szCs w:val="22"/>
                <w:color w:val="auto"/>
              </w:rPr>
              <w:t>[&gt; 7%]</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[150%]</w:t>
            </w:r>
          </w:p>
        </w:tc>
      </w:tr>
      <w:tr>
        <w:trPr>
          <w:trHeight w:val="20"/>
        </w:trPr>
        <w:tc>
          <w:tcPr>
            <w:tcW w:w="4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the event that the growth in Annual Organic Revenue over the immediately preceding fiscal year falls between the “Threshold Level” and the “Target Level,” then the Performance Vesting Percentage shall be determined by extrapolating between the “Threshold Level,” anchor points of 3% Annual Organic Revenue growth (with a 70% Performance Vesting Percentage) and 4% Annual Organic Revenue growth (with an 85% Performance Vesting Percentage), and the “Target Level.” In the event that the growth in Annual Organic Revenue over the immediately preceding fiscal year falls between the “Target Level” and the “Maximum Level,” then the Performance Vesting Percentage shall be determined by means of linear interpolation between the “Target Level,” an anchor point of 6% Annual Organic Revenue growth (with a 125% Performance Vesting Percentage), and the “Maximum Level.”</w:t>
      </w:r>
    </w:p>
    <w:p>
      <w:pPr>
        <w:spacing w:after="0" w:line="16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Notwithstanding the forgoing, in the event that (i) a Change in Control does not occur during the Performance Period, (ii) the Performance Goal with respect to a given fiscal year in the Performance Period is not achieved at the applicable Target Level or higher, and (iii) the Catch-Up Performance Goal is achieved, then a number of shares of Performance Stock equal to the difference between (x) the number of shares of Performance Stock which would have Vested in the event that the Performance Goal had been achieved at the Target Level with respect to such fiscal year and (y) the number of shares of Performance Stock which actually became Vested based on the applicable Performance Vesting Percentage for such fiscal year, shall become Vested in accordance with Section 3.1(b) of the Performance Stock Agreement (such number of shares, the “</w:t>
      </w:r>
      <w:r>
        <w:rPr>
          <w:rFonts w:ascii="Arial" w:cs="Arial" w:eastAsia="Arial" w:hAnsi="Arial"/>
          <w:sz w:val="19"/>
          <w:szCs w:val="19"/>
          <w:u w:val="single" w:color="auto"/>
          <w:color w:val="auto"/>
        </w:rPr>
        <w:t>Catch-Up Shares</w:t>
      </w:r>
      <w:r>
        <w:rPr>
          <w:rFonts w:ascii="Arial" w:cs="Arial" w:eastAsia="Arial" w:hAnsi="Arial"/>
          <w:sz w:val="19"/>
          <w:szCs w:val="19"/>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US-DOCS\90385239.3</w:t>
      </w:r>
    </w:p>
    <w:p>
      <w:pPr>
        <w:sectPr>
          <w:pgSz w:w="11900" w:h="16838" w:orient="portrait"/>
          <w:cols w:equalWidth="0" w:num="1">
            <w:col w:w="11420"/>
          </w:cols>
          <w:pgMar w:left="240" w:top="162"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920"/>
        <w:spacing w:after="0"/>
        <w:tabs>
          <w:tab w:leader="none" w:pos="6240" w:val="left"/>
        </w:tabs>
        <w:rPr>
          <w:sz w:val="20"/>
          <w:szCs w:val="20"/>
          <w:color w:val="auto"/>
        </w:rPr>
      </w:pPr>
      <w:r>
        <w:rPr>
          <w:rFonts w:ascii="Arial" w:cs="Arial" w:eastAsia="Arial" w:hAnsi="Arial"/>
          <w:sz w:val="18"/>
          <w:szCs w:val="18"/>
          <w:color w:val="auto"/>
        </w:rPr>
        <w:t>Date: April 26, 2018</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tabs>
          <w:tab w:leader="none" w:pos="136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2018</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68" w:name="page69"/>
    <w:bookmarkEnd w:id="68"/>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2018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40" w:val="left"/>
          <w:tab w:leader="none" w:pos="6140" w:val="left"/>
        </w:tabs>
        <w:rPr>
          <w:sz w:val="20"/>
          <w:szCs w:val="20"/>
          <w:color w:val="auto"/>
        </w:rPr>
      </w:pPr>
      <w:r>
        <w:rPr>
          <w:rFonts w:ascii="Arial" w:cs="Arial" w:eastAsia="Arial" w:hAnsi="Arial"/>
          <w:sz w:val="18"/>
          <w:szCs w:val="18"/>
          <w:color w:val="auto"/>
        </w:rPr>
        <w:t>Date:</w:t>
        <w:tab/>
        <w:t>April 26, 2018</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8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69" w:name="page70"/>
    <w:bookmarkEnd w:id="69"/>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2018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2018</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24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lowerRoman"/>
      <w:start w:val="1"/>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lowerRoman"/>
      <w:start w:val="1"/>
    </w:lvl>
  </w:abstractNum>
  <w:abstractNum w:abstractNumId="8">
    <w:nsid w:val="6763845E"/>
    <w:multiLevelType w:val="hybridMultilevel"/>
    <w:lvl w:ilvl="0">
      <w:lvlJc w:val="left"/>
      <w:lvlText w:val="%1."/>
      <w:numFmt w:val="lowerRoman"/>
      <w:start w:val="1"/>
    </w:lvl>
    <w:lvl w:ilvl="1">
      <w:lvlJc w:val="left"/>
      <w:lvlText w:val="%2."/>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3"/>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lvl w:ilvl="1">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lvl w:ilvl="1">
      <w:lvlJc w:val="left"/>
      <w:lvlText w:val="#"/>
      <w:numFmt w:val="bullet"/>
      <w:start w:val="1"/>
    </w:lvl>
  </w:abstractNum>
  <w:abstractNum w:abstractNumId="17">
    <w:nsid w:val="2CA88611"/>
    <w:multiLevelType w:val="hybridMultilevel"/>
    <w:lvl w:ilvl="0">
      <w:lvlJc w:val="left"/>
      <w:lvlText w:val="(%1)"/>
      <w:numFmt w:val="lowerLetter"/>
      <w:start w:val="1"/>
    </w:lvl>
    <w:lvl w:ilvl="1">
      <w:lvlJc w:val="left"/>
      <w:lvlText w:val="(%2)"/>
      <w:numFmt w:val="lowerLetter"/>
      <w:start w:val="9"/>
    </w:lvl>
  </w:abstractNum>
  <w:abstractNum w:abstractNumId="18">
    <w:nsid w:val="836C40E"/>
    <w:multiLevelType w:val="hybridMultilevel"/>
    <w:lvl w:ilvl="0">
      <w:lvlJc w:val="left"/>
      <w:lvlText w:val="%1"/>
      <w:numFmt w:val="lowerLetter"/>
      <w:start w:val="1"/>
    </w:lvl>
    <w:lvl w:ilvl="1">
      <w:lvlJc w:val="left"/>
      <w:lvlText w:val="(%2)"/>
      <w:numFmt w:val="lowerRoman"/>
      <w:start w:val="2"/>
    </w:lvl>
  </w:abstractNum>
  <w:abstractNum w:abstractNumId="19">
    <w:nsid w:val="2901D82"/>
    <w:multiLevelType w:val="hybridMultilevel"/>
    <w:lvl w:ilvl="0">
      <w:lvlJc w:val="left"/>
      <w:lvlText w:val="(%1)"/>
      <w:numFmt w:val="lowerLetter"/>
      <w:start w:val="2"/>
    </w:lvl>
    <w:lvl w:ilvl="1">
      <w:lvlJc w:val="left"/>
      <w:lvlText w:val="%2"/>
      <w:numFmt w:val="lowerRoman"/>
      <w:start w:val="1"/>
    </w:lvl>
  </w:abstractNum>
  <w:abstractNum w:abstractNumId="20">
    <w:nsid w:val="3A95F874"/>
    <w:multiLevelType w:val="hybridMultilevel"/>
    <w:lvl w:ilvl="0">
      <w:lvlJc w:val="left"/>
      <w:lvlText w:val="%1"/>
      <w:numFmt w:val="decimal"/>
      <w:start w:val="1"/>
    </w:lvl>
    <w:lvl w:ilvl="1">
      <w:lvlJc w:val="left"/>
      <w:lvlText w:val="(%2)"/>
      <w:numFmt w:val="lowerLetter"/>
      <w:start w:val="1"/>
    </w:lvl>
  </w:abstractNum>
  <w:abstractNum w:abstractNumId="21">
    <w:nsid w:val="8138641"/>
    <w:multiLevelType w:val="hybridMultilevel"/>
    <w:lvl w:ilvl="0">
      <w:lvlJc w:val="left"/>
      <w:lvlText w:val="(%1)"/>
      <w:numFmt w:val="decimal"/>
      <w:start w:val="12"/>
    </w:lvl>
    <w:lvl w:ilvl="1">
      <w:lvlJc w:val="left"/>
      <w:lvlText w:val="%2"/>
      <w:numFmt w:val="lowerLetter"/>
      <w:start w:val="1"/>
    </w:lvl>
  </w:abstractNum>
  <w:abstractNum w:abstractNumId="22">
    <w:nsid w:val="1E7FF521"/>
    <w:multiLevelType w:val="hybridMultilevel"/>
    <w:lvl w:ilvl="0">
      <w:lvlJc w:val="left"/>
      <w:lvlText w:val="(%1)"/>
      <w:numFmt w:val="lowerLetter"/>
      <w:start w:val="3"/>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4"/>
    </w:lvl>
  </w:abstractNum>
  <w:abstractNum w:abstractNumId="26">
    <w:nsid w:val="22221A70"/>
    <w:multiLevelType w:val="hybridMultilevel"/>
    <w:lvl w:ilvl="0">
      <w:lvlJc w:val="left"/>
      <w:lvlText w:val="(%1)"/>
      <w:numFmt w:val="lowerRoman"/>
      <w:start w:val="10"/>
    </w:lvl>
  </w:abstractNum>
  <w:abstractNum w:abstractNumId="27">
    <w:nsid w:val="4516DDE9"/>
    <w:multiLevelType w:val="hybridMultilevel"/>
    <w:lvl w:ilvl="0">
      <w:lvlJc w:val="left"/>
      <w:lvlText w:val="(%1)"/>
      <w:numFmt w:val="lowerLetter"/>
      <w:start w:val="1"/>
    </w:lvl>
    <w:lvl w:ilvl="1">
      <w:lvlJc w:val="left"/>
      <w:lvlText w:val="(%2)"/>
      <w:numFmt w:val="lowerRoman"/>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2"/>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2"/>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3"/>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2019-12-28T23:18:14Z</dcterms:created>
  <dcterms:modified xsi:type="dcterms:W3CDTF">2019-12-28T23:18:14Z</dcterms:modified>
</cp:coreProperties>
</file>