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June 30, 2013</w:t>
      </w:r>
    </w:p>
    <w:p>
      <w:pPr>
        <w:spacing w:after="0" w:line="343"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6200" w:type="dxa"/>
            <w:vAlign w:val="bottom"/>
          </w:tcPr>
          <w:p>
            <w:pPr>
              <w:ind w:left="340"/>
              <w:spacing w:after="0"/>
              <w:rPr>
                <w:sz w:val="20"/>
                <w:szCs w:val="20"/>
                <w:color w:val="auto"/>
              </w:rPr>
            </w:pPr>
            <w:r>
              <w:rPr>
                <w:rFonts w:ascii="Arial" w:cs="Arial" w:eastAsia="Arial" w:hAnsi="Arial"/>
                <w:sz w:val="16"/>
                <w:szCs w:val="16"/>
                <w:color w:val="auto"/>
              </w:rPr>
              <w:t>x</w:t>
            </w:r>
          </w:p>
        </w:tc>
        <w:tc>
          <w:tcPr>
            <w:tcW w:w="22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6200" w:type="dxa"/>
            <w:vAlign w:val="bottom"/>
          </w:tcPr>
          <w:p>
            <w:pPr>
              <w:ind w:left="340"/>
              <w:spacing w:after="0"/>
              <w:rPr>
                <w:sz w:val="20"/>
                <w:szCs w:val="20"/>
                <w:color w:val="auto"/>
              </w:rPr>
            </w:pPr>
            <w:r>
              <w:rPr>
                <w:rFonts w:ascii="Arial" w:cs="Arial" w:eastAsia="Arial" w:hAnsi="Arial"/>
                <w:sz w:val="16"/>
                <w:szCs w:val="16"/>
                <w:color w:val="auto"/>
              </w:rPr>
              <w:t>o (Do not check if a smaller reporting company)</w:t>
            </w:r>
          </w:p>
        </w:tc>
        <w:tc>
          <w:tcPr>
            <w:tcW w:w="224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20" w:type="dxa"/>
            <w:vAlign w:val="bottom"/>
            <w:gridSpan w:val="2"/>
          </w:tcPr>
          <w:p>
            <w:pPr>
              <w:spacing w:after="0"/>
              <w:rPr>
                <w:sz w:val="20"/>
                <w:szCs w:val="20"/>
                <w:color w:val="auto"/>
              </w:rPr>
            </w:pPr>
            <w:r>
              <w:rPr>
                <w:rFonts w:ascii="Arial" w:cs="Arial" w:eastAsia="Arial" w:hAnsi="Arial"/>
                <w:sz w:val="16"/>
                <w:szCs w:val="16"/>
                <w:color w:val="auto"/>
                <w:w w:val="94"/>
              </w:rPr>
              <w:t>Indicate by check mark whether the registrant is a shell company (as defined in Rule 12b-2 of the Exchange Act).  Yes o</w:t>
            </w:r>
          </w:p>
        </w:tc>
        <w:tc>
          <w:tcPr>
            <w:tcW w:w="224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r>
        <w:trPr>
          <w:trHeight w:val="333"/>
        </w:trPr>
        <w:tc>
          <w:tcPr>
            <w:tcW w:w="8020" w:type="dxa"/>
            <w:vAlign w:val="bottom"/>
            <w:gridSpan w:val="2"/>
          </w:tcPr>
          <w:p>
            <w:pPr>
              <w:spacing w:after="0"/>
              <w:rPr>
                <w:sz w:val="20"/>
                <w:szCs w:val="20"/>
                <w:color w:val="auto"/>
              </w:rPr>
            </w:pPr>
            <w:r>
              <w:rPr>
                <w:rFonts w:ascii="Arial" w:cs="Arial" w:eastAsia="Arial" w:hAnsi="Arial"/>
                <w:sz w:val="16"/>
                <w:szCs w:val="16"/>
                <w:color w:val="auto"/>
                <w:w w:val="92"/>
              </w:rPr>
              <w:t>The number of shares of the registrant’s Common Stock, $0.01 par value, outstanding as of July 29, 2013 was 37,000,208.</w:t>
            </w: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1"/>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1"/>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4"/>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1"/>
          </w:tcPr>
          <w:p>
            <w:pPr>
              <w:spacing w:after="0"/>
              <w:rPr>
                <w:sz w:val="20"/>
                <w:szCs w:val="20"/>
                <w:color w:val="auto"/>
              </w:rPr>
            </w:pPr>
            <w:r>
              <w:rPr>
                <w:rFonts w:ascii="Arial" w:cs="Arial" w:eastAsia="Arial" w:hAnsi="Arial"/>
                <w:sz w:val="16"/>
                <w:szCs w:val="16"/>
                <w:color w:val="auto"/>
                <w:w w:val="93"/>
              </w:rPr>
              <w:t>Condensed Consolidated Statements of Operations and Comprehensive Income for the three and six months ended June 30, 2013 and 2012 (Unaudited)</w:t>
            </w:r>
          </w:p>
        </w:tc>
        <w:tc>
          <w:tcPr>
            <w:tcW w:w="12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1"/>
          </w:tcPr>
          <w:p>
            <w:pPr>
              <w:spacing w:after="0"/>
              <w:rPr>
                <w:sz w:val="20"/>
                <w:szCs w:val="20"/>
                <w:color w:val="auto"/>
              </w:rPr>
            </w:pPr>
            <w:r>
              <w:rPr>
                <w:rFonts w:ascii="Arial" w:cs="Arial" w:eastAsia="Arial" w:hAnsi="Arial"/>
                <w:sz w:val="16"/>
                <w:szCs w:val="16"/>
                <w:color w:val="auto"/>
              </w:rPr>
              <w:t>Condensed Consolidated Balance Sheets as of June 30, 2013 and December 31, 2012 (Unaudited)</w:t>
            </w:r>
          </w:p>
        </w:tc>
        <w:tc>
          <w:tcPr>
            <w:tcW w:w="12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1"/>
          </w:tcPr>
          <w:p>
            <w:pPr>
              <w:spacing w:after="0"/>
              <w:rPr>
                <w:sz w:val="20"/>
                <w:szCs w:val="20"/>
                <w:color w:val="auto"/>
              </w:rPr>
            </w:pPr>
            <w:r>
              <w:rPr>
                <w:rFonts w:ascii="Arial" w:cs="Arial" w:eastAsia="Arial" w:hAnsi="Arial"/>
                <w:sz w:val="16"/>
                <w:szCs w:val="16"/>
                <w:color w:val="auto"/>
              </w:rPr>
              <w:t>Condensed Consolidated Statements of Cash Flows for the six months ended June 30, 2013 and 2012 (Unaudited)</w:t>
            </w:r>
          </w:p>
        </w:tc>
        <w:tc>
          <w:tcPr>
            <w:tcW w:w="122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1"/>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122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Arial" w:cs="Arial" w:eastAsia="Arial" w:hAnsi="Arial"/>
                <w:sz w:val="16"/>
                <w:szCs w:val="16"/>
                <w:color w:val="0000FF"/>
                <w:w w:val="92"/>
              </w:rPr>
            </w:pPr>
            <w:hyperlink w:anchor="page19">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w w:val="92"/>
              </w:rPr>
            </w:pPr>
            <w:hyperlink w:anchor="page32">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80" w:type="dxa"/>
            <w:vAlign w:val="bottom"/>
            <w:gridSpan w:val="5"/>
          </w:tcPr>
          <w:p>
            <w:pPr>
              <w:spacing w:after="0"/>
              <w:rPr>
                <w:rFonts w:ascii="Arial" w:cs="Arial" w:eastAsia="Arial" w:hAnsi="Arial"/>
                <w:sz w:val="16"/>
                <w:szCs w:val="16"/>
                <w:color w:val="0000FF"/>
                <w:w w:val="88"/>
              </w:rPr>
            </w:pPr>
            <w:hyperlink w:anchor="page33">
              <w:r>
                <w:rPr>
                  <w:rFonts w:ascii="Arial" w:cs="Arial" w:eastAsia="Arial" w:hAnsi="Arial"/>
                  <w:sz w:val="16"/>
                  <w:szCs w:val="16"/>
                  <w:color w:val="0000FF"/>
                  <w:w w:val="88"/>
                </w:rPr>
                <w:t>Item 4. Controls and Procedures</w:t>
              </w:r>
            </w:hyperlink>
          </w:p>
        </w:tc>
        <w:tc>
          <w:tcPr>
            <w:tcW w:w="2320" w:type="dxa"/>
            <w:vAlign w:val="bottom"/>
            <w:gridSpan w:val="4"/>
          </w:tcPr>
          <w:p>
            <w:pPr>
              <w:spacing w:after="0"/>
              <w:rPr>
                <w:sz w:val="24"/>
                <w:szCs w:val="24"/>
                <w:color w:val="auto"/>
              </w:rPr>
            </w:pPr>
          </w:p>
        </w:tc>
        <w:tc>
          <w:tcPr>
            <w:tcW w:w="5740" w:type="dxa"/>
            <w:vAlign w:val="bottom"/>
            <w:gridSpan w:val="2"/>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33">
              <w:r>
                <w:rPr>
                  <w:rFonts w:ascii="Arial" w:cs="Arial" w:eastAsia="Arial" w:hAnsi="Arial"/>
                  <w:sz w:val="16"/>
                  <w:szCs w:val="16"/>
                  <w:color w:val="0000FF"/>
                  <w:w w:val="96"/>
                </w:rPr>
                <w:t>PART II. OTHER INFORMATION</w:t>
              </w:r>
            </w:hyperlink>
          </w:p>
        </w:tc>
        <w:tc>
          <w:tcPr>
            <w:tcW w:w="782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3"/>
          </w:tcPr>
          <w:p>
            <w:pPr>
              <w:spacing w:after="0"/>
              <w:rPr>
                <w:rFonts w:ascii="Arial" w:cs="Arial" w:eastAsia="Arial" w:hAnsi="Arial"/>
                <w:sz w:val="16"/>
                <w:szCs w:val="16"/>
                <w:color w:val="0000FF"/>
                <w:w w:val="88"/>
              </w:rPr>
            </w:pPr>
            <w:hyperlink w:anchor="page34">
              <w:r>
                <w:rPr>
                  <w:rFonts w:ascii="Arial" w:cs="Arial" w:eastAsia="Arial" w:hAnsi="Arial"/>
                  <w:sz w:val="16"/>
                  <w:szCs w:val="16"/>
                  <w:color w:val="0000FF"/>
                  <w:w w:val="88"/>
                </w:rPr>
                <w:t>Item 1. Legal Proceedings</w:t>
              </w:r>
            </w:hyperlink>
          </w:p>
        </w:tc>
        <w:tc>
          <w:tcPr>
            <w:tcW w:w="8460" w:type="dxa"/>
            <w:vAlign w:val="bottom"/>
            <w:gridSpan w:val="8"/>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1A. Risk Factors</w:t>
              </w:r>
            </w:hyperlink>
          </w:p>
        </w:tc>
        <w:tc>
          <w:tcPr>
            <w:tcW w:w="8460" w:type="dxa"/>
            <w:vAlign w:val="bottom"/>
            <w:gridSpan w:val="8"/>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1"/>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2. Unregistered Sales of Equity Securities and Use of Proceeds</w:t>
              </w:r>
            </w:hyperlink>
          </w:p>
        </w:tc>
        <w:tc>
          <w:tcPr>
            <w:tcW w:w="122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left w:val="single" w:sz="8" w:color="0000FF"/>
            </w:tcBorders>
            <w:gridSpan w:val="4"/>
            <w:shd w:val="clear" w:color="auto" w:fill="0000FF"/>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 Mine Safety Disclosures</w:t>
              </w:r>
            </w:hyperlink>
          </w:p>
        </w:tc>
        <w:tc>
          <w:tcPr>
            <w:tcW w:w="5740" w:type="dxa"/>
            <w:vAlign w:val="bottom"/>
            <w:gridSpan w:val="2"/>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6"/>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85"/>
              </w:rPr>
            </w:pPr>
            <w:hyperlink w:anchor="page40">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8"/>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SIGNATURES</w:t>
              </w:r>
            </w:hyperlink>
          </w:p>
        </w:tc>
        <w:tc>
          <w:tcPr>
            <w:tcW w:w="9160" w:type="dxa"/>
            <w:vAlign w:val="bottom"/>
            <w:gridSpan w:val="10"/>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1"/>
          </w:tcPr>
          <w:p>
            <w:pPr>
              <w:ind w:left="340"/>
              <w:spacing w:after="0"/>
              <w:rPr>
                <w:sz w:val="20"/>
                <w:szCs w:val="20"/>
                <w:color w:val="auto"/>
              </w:rPr>
            </w:pPr>
            <w:r>
              <w:rPr>
                <w:rFonts w:ascii="Arial" w:cs="Arial" w:eastAsia="Arial" w:hAnsi="Arial"/>
                <w:sz w:val="16"/>
                <w:szCs w:val="16"/>
                <w:color w:val="auto"/>
              </w:rPr>
              <w:t>Exhibit 4.1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1"/>
          </w:tcPr>
          <w:p>
            <w:pPr>
              <w:ind w:left="340"/>
              <w:spacing w:after="0"/>
              <w:rPr>
                <w:sz w:val="20"/>
                <w:szCs w:val="20"/>
                <w:color w:val="auto"/>
              </w:rPr>
            </w:pPr>
            <w:r>
              <w:rPr>
                <w:rFonts w:ascii="Arial" w:cs="Arial" w:eastAsia="Arial" w:hAnsi="Arial"/>
                <w:sz w:val="16"/>
                <w:szCs w:val="16"/>
                <w:color w:val="auto"/>
              </w:rPr>
              <w:t>Exhibit 10.1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1"/>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1"/>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205,547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24,525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25,043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9,367</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197,569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192,149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394,265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370,867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35,488</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(15,032)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21,162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5,955</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15,207</w:t>
            </w: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 average common shares outstanding (See Note 11):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28,382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28,549</w:t>
            </w: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(loss) (See Note 12)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10,911</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 accounts receivable, net of allowances of $9,637 and $7,221</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114,749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114,916</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39,100</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477,736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453,051</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206,884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212,267</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15,957</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1,187,501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3,505</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34,914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31,768</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341,875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321,875</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5,393</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670,912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645,824</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1"/>
              </w:rPr>
              <w:t>Common stock; $0.01 par value; 60,000 authorized shares; 36,969 and 36,852 issued at June 30, 2013</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and December 31, 2012, respectively</w:t>
            </w:r>
          </w:p>
        </w:tc>
        <w:tc>
          <w:tcPr>
            <w:tcW w:w="34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587,301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8,903 shares at June 30, 2013 and December 31, 2012</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301,413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302,023</w:t>
            </w:r>
          </w:p>
        </w:tc>
      </w:tr>
      <w:tr>
        <w:trPr>
          <w:trHeight w:val="27"/>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516,589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517,775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1,187,501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r>
      <w:tr>
        <w:trPr>
          <w:trHeight w:val="21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0"/>
                <w:szCs w:val="20"/>
                <w:color w:val="auto"/>
              </w:rPr>
            </w:pP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15,207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24,025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25,808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 (benefit) provision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1,480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interest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Payment of accreted interest</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(30,617)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4,355</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2,252</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(23,966)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(2,155)</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10,764</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34,594</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(24,475)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(24,642)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of property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used in business acquisition, net of cash acquired</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short-term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(67,907)</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Maturities of short-term investments</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26,058</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(26,775)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(69,358)</w:t>
            </w:r>
          </w:p>
        </w:tc>
      </w:tr>
      <w:tr>
        <w:trPr>
          <w:trHeight w:val="204"/>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60"/>
        </w:trPr>
        <w:tc>
          <w:tcPr>
            <w:tcW w:w="7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155,000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(12,812)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of liability component of convertible notes</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(134,383)</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Payment of debt issuance costs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418</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8,473</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953</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(25,338)</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96,938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100,808</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75,470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the opinion of management, the June 30, 2013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2012 included in the Company’s Annual Report on Form 10-K. The December 31, 2012 consolidated balance sheet was derived from audited financial statements, but does not include all disclosures required by accounting principles generally accepted in the United States. Operating results for the three and six-month periods ended June 30, 2013 are not necessarily indicative of the results to be expected for the entire year.</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recently issued accounting standards that have an impact on the Company's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898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Tarsus Medical, Inc.</w:t>
      </w:r>
    </w:p>
    <w:p>
      <w:pPr>
        <w:ind w:right="80"/>
        <w:spacing w:after="0" w:line="257" w:lineRule="auto"/>
        <w:rPr>
          <w:sz w:val="20"/>
          <w:szCs w:val="20"/>
          <w:color w:val="auto"/>
        </w:rPr>
      </w:pPr>
      <w:r>
        <w:rPr>
          <w:rFonts w:ascii="Arial" w:cs="Arial" w:eastAsia="Arial" w:hAnsi="Arial"/>
          <w:sz w:val="18"/>
          <w:szCs w:val="18"/>
          <w:color w:val="auto"/>
        </w:rPr>
        <w:t>On January 24, 2013, the Company acquired all outstanding preferred and common stock of Tarsus Medical, Inc. for a total of $4.7 million consisting of $2.8 million in cash (less cash acquired) and contingent consideration with an estimated acquisition date fair value of approximately $1.6 million. The potential maximum undiscounted contingent consideration consists of the first milestone payment of up to $1.5 million and the second payment of up to $11.5 million. These payments are based on reaching certain sales of acquired products. Tarsus Medical, Inc. is a podiatry device company addressing clinical needs associated with diseases and injuries of the foot and ankle.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7"/>
              </w:rPr>
              <w:t>Final</w:t>
            </w:r>
          </w:p>
        </w:tc>
        <w:tc>
          <w:tcPr>
            <w:tcW w:w="170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170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5,040</w:t>
            </w:r>
          </w:p>
        </w:tc>
        <w:tc>
          <w:tcPr>
            <w:tcW w:w="1700" w:type="dxa"/>
            <w:vAlign w:val="bottom"/>
          </w:tcPr>
          <w:p>
            <w:pPr>
              <w:ind w:left="140"/>
              <w:spacing w:after="0"/>
              <w:rPr>
                <w:sz w:val="20"/>
                <w:szCs w:val="20"/>
                <w:color w:val="auto"/>
              </w:rPr>
            </w:pPr>
            <w:r>
              <w:rPr>
                <w:rFonts w:ascii="Arial" w:cs="Arial" w:eastAsia="Arial" w:hAnsi="Arial"/>
                <w:sz w:val="18"/>
                <w:szCs w:val="18"/>
                <w:color w:val="auto"/>
              </w:rPr>
              <w:t>10 - 14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Indefinite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Deferred tax asset - long term</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1,334</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6,928</w:t>
            </w:r>
          </w:p>
        </w:tc>
        <w:tc>
          <w:tcPr>
            <w:tcW w:w="1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2,152</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Management determined the preliminary fair value of net assets acquired during the first quarter of 2013 and finalized the working capital adjustment in the second quarter of 2013. The Company accounts for the contingent consideration by recording its fair value as a liability on the date of the acquisition. The contingent consideration is remeasured to fair value at each reporting date until the contingency is resolved. Changes in fair value of contingent consideration are recognized in earnings. Accordingly, on January 24, 2013 the Company recorded $1.6 million representing the initial fair value estimate of the contingent consideration that will be earned through December 31, 2015. At June 30, 2013 there was no change in the fair value of the contingent consideration. The fair value of this liability is based on future sales projections of the Tarsus Medical product under various potential scenarios and weighting the probability of these outcomes for the period ended December 31, 2015. At the date of the acquisition, the first milestone cash flow projection was discounted using a rate of 4.3% based on an estimated after tax cost of debt; the second milestone cash flow projection was discounted using a weighted average cost of capital of 16.5%. These fair value measurements were based on significant inputs not observed in the market and thus represented a Level 3 measurement.</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goodwill recorded in connection with this acquisition is based on (i) expected cost savings, operating synergies and other benefits expected to result from the combined operations, (ii) the value of the going-concern element of Tarsus’ existing business (that is, the higher rate of return on the assembled net assets versus if the Company had acquired all of the net assets separately), and (iii) intangible assets that do not qualify for separate recognition such as Tarsus’ assembled workforce. The goodwill acquired will not be deductible for tax purposes.</w:t>
      </w:r>
    </w:p>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impact of the Tarsus acquisition is not material to the consolidated operating results of the Company; therefore, the pro-forma impact of the acquisition has not been presented.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r>
      <w:tr>
        <w:trPr>
          <w:trHeight w:val="196"/>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118,464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102,401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Work-in process</w:t>
            </w:r>
          </w:p>
        </w:tc>
        <w:tc>
          <w:tcPr>
            <w:tcW w:w="38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44,771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39,944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32,222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29,461</w:t>
            </w:r>
          </w:p>
        </w:tc>
      </w:tr>
      <w:tr>
        <w:trPr>
          <w:trHeight w:val="237"/>
        </w:trPr>
        <w:tc>
          <w:tcPr>
            <w:tcW w:w="76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195,457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171,806</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finished goods inventory includes $4.6 million of capitalized medical device excise tax at June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This assessment is performed annually during the third quarter and was performed most recently on July 31, 2012 resulting in no impairment. However, if future results do not meet or exceed the Company's forecasts, or if unfavorable changes occur in the weighted-average cost of capital, growth assumptions for future revenue, terminal value growth rate and/or forecasted cash flows utilized in the discounted cash flow analysis, the Company may record an impairment of this goodwill at a future date.</w:t>
      </w:r>
    </w:p>
    <w:p>
      <w:pPr>
        <w:spacing w:after="0" w:line="16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has experienced a decline in sales relative to the previous forecasts, partially with respect to its U.S. Spine and Private Label reporting units which has recorded goodwill of $46.8 million and $8.9 million, respectively. This decline is in part attributable to the recall, as well as lower sales to customers. The Company currently believes this impact is temporary. However, in the event that sales and operating results of the U.S. Spine and Private Label reporting units in the second half of the year continue to deteriorate, or in the event that management revises its forecasts, an impairment of goodwill may be recognized.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2013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Tarsus Medical, Inc. acquisition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93,895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57,259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60,202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55,970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25,555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292,881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Pr>
          <w:p>
            <w:pPr>
              <w:ind w:left="140"/>
              <w:spacing w:after="0"/>
              <w:rPr>
                <w:sz w:val="20"/>
                <w:szCs w:val="20"/>
                <w:color w:val="auto"/>
              </w:rPr>
            </w:pPr>
            <w:r>
              <w:rPr>
                <w:rFonts w:ascii="Arial" w:cs="Arial" w:eastAsia="Arial" w:hAnsi="Arial"/>
                <w:sz w:val="14"/>
                <w:szCs w:val="14"/>
                <w:b w:val="1"/>
                <w:bCs w:val="1"/>
                <w:color w:val="auto"/>
              </w:rPr>
              <w:t>Weighted</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Net</w:t>
            </w:r>
          </w:p>
        </w:tc>
        <w:tc>
          <w:tcPr>
            <w:tcW w:w="15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   $</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38,960</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 $</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12 years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146,333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71,700</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 years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147,690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77,685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Trademarks/brand names</w:t>
            </w: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31 years</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18,414</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 years</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w w:val="96"/>
              </w:rPr>
              <w:t>Trademarks/brand names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48,484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Indefinite</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27 years</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26,160</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 years</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 years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3,166</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years</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69"/>
        </w:trPr>
        <w:tc>
          <w:tcPr>
            <w:tcW w:w="20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348,402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206,884</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At June 30, 2013 and December 31, 2012, all other included in-process research and development of $2.1 million and $1.7 million, respectively, which was indefinite-lived.</w:t>
      </w:r>
    </w:p>
    <w:p>
      <w:pPr>
        <w:spacing w:after="0" w:line="1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quarter-end exchange rates, annual amortization expense is expected to approximate $19.4 million in 2013, $18.4 million in 2014, $16.6 million in 2015, $14.3 million in 2016 and $12.5 million in 2017. Identifiable intangible assets are initially recorded at fair market value at the time of acquisition using an income or cost approach.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August 10, 2010, the Company entered into an amended and restated credit agreement with a syndicate of lending banks (the “Senior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amended the Senior Credit Facility on June 8, 2011, and further amended it on May 11, 2012 and June 21,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allows the Company to further increase the size of the revolving credit component by an aggregate of $200 million with additional commitments;</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provides the Company with decreased borrowing rates and annual commitment fees, and provides more favorable financial covenants; and</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21, 2013, the Company entered into a second amendment to the Senior Credit Facility (the “2013 Amendment”). The 2013 Amendment modified certain financial and negative covenants and 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In addition, when calculating consolidated EBITDA for any period, the 2013 Amendment permits the addition</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certain costs and expenses in the calculation of consolidated net income for such period, to the extent deducted in the calculation of consolidated net income. The effect of the 2013 Amendment is to increase the ability of the Company to borrow under the Senior Credit Facility during the affected periods. The Company capitalized $1.0 million of incremental financing costs in connection with the 2013 Amendment, which will be amortized through the maturity date of the Senior Credit Facility.</w:t>
      </w:r>
    </w:p>
    <w:p>
      <w:pPr>
        <w:spacing w:after="0" w:line="13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Senior Credit Facility is collateralized by substantially all of the assets of the Company’s U.S. subsidiaries, excluding intangible assets. The Senior Credit Facility is subject to various financial and negative covenants and at June 30, 2013, the Company was in compliance with all such covenants.</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ind w:right="20"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also pays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June 30, 2013 and December 31, 2012, there was $341.9 million and $321.9 million outstanding under the Senior Credit Facility at a weighted average interest rate of 2.0% and 1.8%, respectively. At June 30, 2013, there was approximately $258.1 million available for borrowing under the Senior Credit Facility. The fair value of outstanding borrowings under the Senior Credit Facility at June 30, 2013 was approximately $335.9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June 30, 2013, the carrying amount of the liability component was $201.4 million, the remaining unamortized discount was $28.6 million, and the principal amount outstanding was $230.0 million. The fair value of the 2016 Notes at June 30, 2013 was approximately $230.1 million. At December 31, 2012, the carrying amount of the liability component was $197.7 million, the remaining unamortized discount was $32.3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June 30, 2013, none of these conditions existed with respect to the 2016 Notes and as a result, the 2016 Notes are classified as long term.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1,622</w:t>
            </w:r>
          </w:p>
        </w:tc>
        <w:tc>
          <w:tcPr>
            <w:tcW w:w="12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1,763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3,502</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2,435</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7"/>
              </w:rPr>
              <w:t>2,697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5,371</w:t>
            </w:r>
          </w:p>
        </w:tc>
      </w:tr>
      <w:tr>
        <w:trPr>
          <w:trHeight w:val="67"/>
        </w:trPr>
        <w:tc>
          <w:tcPr>
            <w:tcW w:w="516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2012 Notes: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1,206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2,995</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7"/>
              </w:rPr>
              <w:t>1,859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4,628</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expects that approximately $1.7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2"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derivatives designated as hedging instruments as of June 30, 2013 and December 31, 2012: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Notional Amount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000" w:type="dxa"/>
            <w:vAlign w:val="bottom"/>
            <w:gridSpan w:val="4"/>
          </w:tcPr>
          <w:p>
            <w:pPr>
              <w:ind w:left="300"/>
              <w:spacing w:after="0" w:line="153" w:lineRule="exact"/>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center"/>
              <w:ind w:right="504"/>
              <w:spacing w:after="0" w:line="153" w:lineRule="exact"/>
              <w:rPr>
                <w:sz w:val="20"/>
                <w:szCs w:val="20"/>
                <w:color w:val="auto"/>
              </w:rPr>
            </w:pPr>
            <w:r>
              <w:rPr>
                <w:rFonts w:ascii="Arial" w:cs="Arial" w:eastAsia="Arial" w:hAnsi="Arial"/>
                <w:sz w:val="14"/>
                <w:szCs w:val="14"/>
                <w:b w:val="1"/>
                <w:bCs w:val="1"/>
                <w:color w:val="auto"/>
                <w:w w:val="89"/>
              </w:rPr>
              <w:t>June 30,</w:t>
            </w:r>
          </w:p>
        </w:tc>
        <w:tc>
          <w:tcPr>
            <w:tcW w:w="144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2013</w:t>
            </w:r>
          </w:p>
        </w:tc>
        <w:tc>
          <w:tcPr>
            <w:tcW w:w="14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(In thousands)</w:t>
            </w: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forward contracts — 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gridSpan w:val="3"/>
          </w:tcPr>
          <w:p>
            <w:pPr>
              <w:ind w:left="680"/>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164"/>
              <w:spacing w:after="0"/>
              <w:rPr>
                <w:sz w:val="20"/>
                <w:szCs w:val="20"/>
                <w:color w:val="auto"/>
              </w:rPr>
            </w:pPr>
            <w:r>
              <w:rPr>
                <w:rFonts w:ascii="Arial" w:cs="Arial" w:eastAsia="Arial" w:hAnsi="Arial"/>
                <w:sz w:val="18"/>
                <w:szCs w:val="18"/>
                <w:color w:val="auto"/>
              </w:rPr>
              <w:t>1,392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w w:val="91"/>
              </w:rPr>
              <w:t xml:space="preserve">Interest rate swap — Accrued expenses and other current liabilities </w:t>
            </w:r>
            <w:r>
              <w:rPr>
                <w:rFonts w:ascii="Arial" w:cs="Arial" w:eastAsia="Arial" w:hAnsi="Arial"/>
                <w:sz w:val="25"/>
                <w:szCs w:val="25"/>
                <w:color w:val="auto"/>
                <w:w w:val="91"/>
                <w:vertAlign w:val="superscript"/>
              </w:rPr>
              <w:t>(2)</w:t>
            </w:r>
          </w:p>
        </w:tc>
        <w:tc>
          <w:tcPr>
            <w:tcW w:w="300" w:type="dxa"/>
            <w:vAlign w:val="bottom"/>
          </w:tcPr>
          <w:p>
            <w:pPr>
              <w:spacing w:after="0"/>
              <w:rPr>
                <w:sz w:val="23"/>
                <w:szCs w:val="23"/>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right="20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At June 30, 2013 and December 31, 2012, the notional amount related to the Company’s sole interest rate swap was $120.0 million and $127.5 million, respectively. In the next twelve months, the Company expects to reduce the notional amount by $15.0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and six months ended June 30,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186055</wp:posOffset>
            </wp:positionV>
            <wp:extent cx="5213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2013</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Costs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Three Months Ended June 30, 2012</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Costs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2013</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Six Months Ended June 30, 2012</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and six months ended June 30,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 of June 30, 2013,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and directors, and generally expire from six to ten years for directors and certain executive officers. Restricted stock issued under the Plans vests over specified periods, generally three years after the date of grant. Performance stock vesting, issued under the Plans, is subject to service and performance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There were 32,468 stock options granted during the six months ended June 30, 2013. As of June 30, 2013, there were approximately $1.8 million of total unrecognized compensation costs related to unvested stock options. These costs are expected to be recognized over a weighted-average period of approximately one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Performance stock, restricted stock and contract stock awards generally have requisite service periods of three years. Performance stock awards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The Company granted approximately 174,000 restricted stock awards/stock units and 55,000 performance shares during the six months ended June 30, 2013. As of June 30, 2013, there were approximately $16.2 million of total unrecognized compensation costs related to these unvested awards. The Company expects to recognize these costs over a weighted-average period of approximately two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October 23, 2012, the Company's Board of Directors authorized a repurchase of up to $75.0 million of its outstanding common stock through December 2014. The Company has not repurchased any of its outstanding shares of common stock during the three and six month periods ended June 30, 2013 and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there remained $75.0 million available for repurchases under this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Effective March 31, 2011, the Company froze the benefits due to the participants of the UK Plan in their entirety; this curtailment resulted in a $0.3 million reduction in the projected benefit obligations which the Company recorded on that date. The plans cover certain current and former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321</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plan assets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$0.4 million of contributions to its defined benefit pension plans during the six months ended June 30, 2013 and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35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23495</wp:posOffset>
            </wp:positionV>
            <wp:extent cx="2058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6"/>
                <w:szCs w:val="16"/>
                <w:color w:val="auto"/>
              </w:rPr>
            </w:pPr>
          </w:p>
        </w:tc>
      </w:tr>
      <w:tr>
        <w:trPr>
          <w:trHeight w:val="250"/>
        </w:trPr>
        <w:tc>
          <w:tcPr>
            <w:tcW w:w="8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26.4%</w:t>
            </w:r>
          </w:p>
        </w:tc>
      </w:tr>
      <w:tr>
        <w:trPr>
          <w:trHeight w:val="197"/>
        </w:trPr>
        <w:tc>
          <w:tcPr>
            <w:tcW w:w="818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264"/>
        </w:trPr>
        <w:tc>
          <w:tcPr>
            <w:tcW w:w="9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22"/>
                <w:szCs w:val="22"/>
                <w:color w:val="auto"/>
              </w:rPr>
            </w:pPr>
          </w:p>
        </w:tc>
      </w:tr>
      <w:tr>
        <w:trPr>
          <w:trHeight w:val="243"/>
        </w:trPr>
        <w:tc>
          <w:tcPr>
            <w:tcW w:w="8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77.9 %</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28.1%</w:t>
            </w:r>
          </w:p>
        </w:tc>
      </w:tr>
      <w:tr>
        <w:trPr>
          <w:trHeight w:val="27"/>
        </w:trPr>
        <w:tc>
          <w:tcPr>
            <w:tcW w:w="8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effective income tax rates for the three months ended June 30, 2013 and 2012 were (14.9)% and 26.4%, respectively. For the three months ended June 30, 2013, the reduction in the income tax rate compared to the same period in 2012 was primarily the result of a change in the jurisdictional mix of year-to-date worldwide pretax income and the establishment of the Irish research and development credit. During the quarter, the Company was granted an Irish research and development credit for 2011 and 2012, which resulted in a benefit of $0.5 million. The Company also recorded a benefit of $0.8 million for the release of uncertain tax positions due to the expiration of the statute of limitation in certain state jurisdictions, which is offset by an expense of $0.3 million due to additional non-U.S. tax contingency reserves.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effective income tax rates for the six months ended June 30, 2013 and 2012 were 77.9% and 28.1%, respectively. For the six months ended June 30, 2013, the increase in the income tax rate compared to the same period in 2012 primarily resulted from a change in the jurisdictional mix of year-to-date worldwide pretax income, a reinstatement of the Federal research and development credit of, which resulted in a benefit $0.9 million and the establishment of the Irish research and development credit.</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4.5% resulting in part from foreign earnings taxed at lower tax rates, the expected release of tax contingency reserves, and the benefit from the Federal research credit. This estimate could be revised in the future as additional information is presented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3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364"/>
        </w:trPr>
        <w:tc>
          <w:tcPr>
            <w:tcW w:w="4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gridSpan w:val="6"/>
            <w:shd w:val="clear" w:color="auto" w:fill="CCEEFF"/>
          </w:tcPr>
          <w:p>
            <w:pPr>
              <w:ind w:left="20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2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27,873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28,382</w:t>
            </w: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12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27,873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28,382</w:t>
            </w: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 options and restricted stock</w:t>
            </w:r>
          </w:p>
        </w:tc>
        <w:tc>
          <w:tcPr>
            <w:tcW w:w="12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 average common shares for diluted earnings per</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28,118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28,549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0.53</w:t>
            </w:r>
          </w:p>
        </w:tc>
      </w:tr>
    </w:tbl>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June 30, 2013 and 2012, the Company had 1.7 million of outstanding stock options. The Company also has warrants outstanding relating to its 2016 Notes at June 30, 2013 and 2012. Stock options, restricted stock and warrants are included in the diluted earnings per share calculation using the treasury stock method, unless the effect of including the stock options would be anti-dilutive. For the three months ended June 30, 2013 and 2012, 1.0 million and 1.2 million of anti-dilutive stock options, respectively, were excluded from the diluted earnings per share calculation. As the strike price of the warrants exceeded the Company’s average stock price for the period, the warrants are anti-dilutive and the entire number of warrants was also excluded from the diluted earnings per share calculation. For the six months ended June 30, 2013, all stock options, restricted stock and warrants are excluded in the diluted earnings per share calculation using the treasury stock method because of their anti-dilutive effect.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jc w:val="both"/>
        <w:ind w:right="8100" w:firstLine="8"/>
        <w:spacing w:after="0" w:line="453"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(4,158)</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5,317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2012 and June 30, 2013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reclassification adjustments out of Accumulated Other Comprehensive (Loss) Income during the three and six months ended June 30, 2013 were as follows: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Three Months Ended June 30, 2013</w:t>
            </w: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65"/>
        </w:trPr>
        <w:tc>
          <w:tcPr>
            <w:tcW w:w="38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4"/>
                <w:szCs w:val="14"/>
                <w:b w:val="1"/>
                <w:bCs w:val="1"/>
                <w:color w:val="auto"/>
                <w:w w:val="96"/>
              </w:rPr>
              <w:t>Affected Line Item in the Statement where Net Income</w:t>
            </w:r>
          </w:p>
        </w:tc>
      </w:tr>
      <w:tr>
        <w:trPr>
          <w:trHeight w:val="192"/>
        </w:trPr>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6"/>
                <w:szCs w:val="16"/>
                <w:color w:val="auto"/>
              </w:rPr>
            </w:pPr>
          </w:p>
        </w:tc>
        <w:tc>
          <w:tcPr>
            <w:tcW w:w="340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20" w:type="dxa"/>
            <w:vAlign w:val="bottom"/>
          </w:tcPr>
          <w:p>
            <w:pPr>
              <w:ind w:left="1260"/>
              <w:spacing w:after="0"/>
              <w:rPr>
                <w:sz w:val="20"/>
                <w:szCs w:val="20"/>
                <w:color w:val="auto"/>
              </w:rPr>
            </w:pPr>
            <w:r>
              <w:rPr>
                <w:rFonts w:ascii="Arial" w:cs="Arial" w:eastAsia="Arial" w:hAnsi="Arial"/>
                <w:sz w:val="14"/>
                <w:szCs w:val="14"/>
                <w:b w:val="1"/>
                <w:bCs w:val="1"/>
                <w:color w:val="auto"/>
              </w:rPr>
              <w:t>(loss) is Presented</w:t>
            </w:r>
          </w:p>
        </w:tc>
      </w:tr>
      <w:tr>
        <w:trPr>
          <w:trHeight w:val="264"/>
        </w:trPr>
        <w:tc>
          <w:tcPr>
            <w:tcW w:w="3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217"/>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Six Months Ended June 30, 2013</w:t>
            </w: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65"/>
        </w:trPr>
        <w:tc>
          <w:tcPr>
            <w:tcW w:w="38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4"/>
                <w:szCs w:val="14"/>
                <w:b w:val="1"/>
                <w:bCs w:val="1"/>
                <w:color w:val="auto"/>
                <w:w w:val="96"/>
              </w:rPr>
              <w:t>Affected Line Item in the Statement where Net Income</w:t>
            </w:r>
          </w:p>
        </w:tc>
      </w:tr>
      <w:tr>
        <w:trPr>
          <w:trHeight w:val="192"/>
        </w:trPr>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20" w:type="dxa"/>
            <w:vAlign w:val="bottom"/>
          </w:tcPr>
          <w:p>
            <w:pPr>
              <w:ind w:left="1260"/>
              <w:spacing w:after="0"/>
              <w:rPr>
                <w:sz w:val="20"/>
                <w:szCs w:val="20"/>
                <w:color w:val="auto"/>
              </w:rPr>
            </w:pPr>
            <w:r>
              <w:rPr>
                <w:rFonts w:ascii="Arial" w:cs="Arial" w:eastAsia="Arial" w:hAnsi="Arial"/>
                <w:sz w:val="14"/>
                <w:szCs w:val="14"/>
                <w:b w:val="1"/>
                <w:bCs w:val="1"/>
                <w:color w:val="auto"/>
              </w:rPr>
              <w:t>(loss) is Presented</w:t>
            </w:r>
          </w:p>
        </w:tc>
      </w:tr>
      <w:tr>
        <w:trPr>
          <w:trHeight w:val="264"/>
        </w:trPr>
        <w:tc>
          <w:tcPr>
            <w:tcW w:w="3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internally manages and reports the results of its businesses to its chief operating decision maker through five reportable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 stabilization equipment. The U.S. Instruments business sells more than 60,000 instrument patterns and surgical and lighting products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 The International segment sells similar products to those discussed above, but are managed through the following geographies: (i) Europe, Middle East and Africa, and (ii) Central/South America, Asia-Pacific and Canada. The Corporate and other category includes</w:t>
      </w:r>
    </w:p>
    <w:p>
      <w:pPr>
        <w:spacing w:after="0" w:line="5" w:lineRule="exact"/>
        <w:rPr>
          <w:sz w:val="20"/>
          <w:szCs w:val="20"/>
          <w:color w:val="auto"/>
        </w:rPr>
      </w:pPr>
    </w:p>
    <w:p>
      <w:pPr>
        <w:ind w:right="400" w:firstLine="8"/>
        <w:spacing w:after="0" w:line="261"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various legal, finance, executive, and human resource functions, (ii) brand management, (iii) share-based compensation costs, and (iv) costs related to procurement, manufacturing operations and logistics for the Company’s entire organization.</w:t>
      </w:r>
    </w:p>
    <w:p>
      <w:pPr>
        <w:spacing w:after="0" w:line="18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sales and profit by reportable segment for the three and six months ended June 30, 2013 and 2012 and three months ended March 31, 2013 and 2012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38,996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40,183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41,767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42,324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80,763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82,507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79,263</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33,538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58,635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93,633</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45,799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47,289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45,706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92,317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205,547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210,170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402,199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406,355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43,046</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11,206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11,982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22,049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22,488</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12,284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27,395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30,906</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62,787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70,851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74,480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133,638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145,884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(51,812)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(101,029)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35,488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segment profits for the U.S. Instruments and U.S. Extremities segments, and Corporate and Other for the three and six months ended June 30, 2012 have been revised. The segment profits for the U.S. Instruments and U.S. Extremities segments for the three months ended March 31, 2013 and 2012 have been also revised.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91,434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95,695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181,694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68,459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67,775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131,644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133,832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46,700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88,861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205,547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210,170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402,199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406,355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that the various U.S. segments manage that are generated from non-U.S. customers and therefore are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157,166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163,483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307,185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312,157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23,776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22,884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47,393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46,552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47,621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47,646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205,547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210,170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402,199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406,355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July 1, 2013, the Company entered into a Lease Agreement with 109 Morgan Lane, LLC (the "Landlord") (the "Lease"). The Lease terminates and replaces the prior lease between the Company and the Landlord dated May 15, 2008, as amended. The Company is leasing approximately 58,011 square feet located at 109 Morgan Lane, Plainsboro, New Jersey (the "Premises") for general office, labs (research &amp; development and/or product development), manufacturing and warehouse purposes. The term of the Lease is 20 years from July 1, 2013 to June 30, 2033 with a 5 year renewal option. The rent for the Premises is $585.9 thousand per year, with monthly rent payments of $48.8 thousand. Additional payments are also required to be made by the Company to the Landlord consisting of $290.1 thousand per year, with monthly payments of $24.2 thousand for taxes and operating expenses as well as other charges. In addition, pursuant to the Lease, the Landlord agreed to pay the Company (i) $40.0 thousand of the total cost to replace the existing roof on the building and (ii) $100.0 thousand of the total cost to replace all of the existing windows in the building.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2012 included in our Annual Report on Form 10-K.</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2012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Integra is a world leader in medical devices focused on limiting uncertainty for surgeons so they can concentrate on providing the best patient care. Integra provides customers with clinically relevant, innovative and cost-effective products that improve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quality of life for patients. We focus on cranial and spinal procedures, small bone and joint injuries, the repair and reconstruction of soft tissue, and instruments for surgery.</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 group includes specialty metal implants for surgery of the extremities, shoulder and spine, orthobiologics products for repair and grafting of bone, dermal regeneration products and tissue-engineered wound dressings and nerve and tendon repair products. Our neurosurgery product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(i) helps patients by limiting uncertainty for medical professionals and (ii) is a high-quality investment for shareholders. We will achieve these goals by delivering on our Brand Promises to our customers worldwide and by becoming a top player in all markets in which we compete. Our strategy includes the following key elements: geographic expansion, disciplined focus and execution, global quality assurance and acquiring or in-licensing products that fit existing sales channels, margin expansion and leveraging platform synergies.</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 revenues, (3) operating margins (which we aim to expand as we leverage our existing infrastructure and improve our quality systems), (4) earnings before interest, taxes, depreciation, and amortization, and (5) earnings per diluted share of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16" w:lineRule="exact"/>
        <w:rPr>
          <w:rFonts w:ascii="Arial" w:cs="Arial" w:eastAsia="Arial" w:hAnsi="Arial"/>
          <w:sz w:val="18"/>
          <w:szCs w:val="18"/>
          <w:color w:val="auto"/>
        </w:rPr>
      </w:pPr>
    </w:p>
    <w:p>
      <w:pPr>
        <w:ind w:left="640" w:right="60" w:hanging="321"/>
        <w:spacing w:after="0" w:line="279"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Each of our three selling platforms contributes a different strength to our core business. Orthopedics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us to grow our top line and increase gross margins. Neurosurgery provides stable growth as a market with few elective procedures. The Instruments business has a strong capacity to generate cash flows. We have unique synergies among these platforms, such as our regenerative medicine technology, instrument sourcing capabilities, and Group Purchasing Organization (“GPO”) contract management.</w:t>
      </w:r>
    </w:p>
    <w:p>
      <w:pPr>
        <w:spacing w:after="0" w:line="117" w:lineRule="exact"/>
        <w:rPr>
          <w:rFonts w:ascii="Arial" w:cs="Arial" w:eastAsia="Arial" w:hAnsi="Arial"/>
          <w:sz w:val="17"/>
          <w:szCs w:val="17"/>
          <w:color w:val="auto"/>
        </w:rPr>
      </w:pPr>
    </w:p>
    <w:p>
      <w:pPr>
        <w:ind w:left="640" w:right="2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Unique Sales Footprint</w:t>
      </w:r>
      <w:r>
        <w:rPr>
          <w:rFonts w:ascii="Arial" w:cs="Arial" w:eastAsia="Arial" w:hAnsi="Arial"/>
          <w:sz w:val="18"/>
          <w:szCs w:val="18"/>
          <w:color w:val="auto"/>
        </w:rPr>
        <w:t>. 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market-leading products for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640" w:right="80" w:hanging="321"/>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did not complete any acquisitions during the second quarter of 2013.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for the three months ended June 30, 2013, was $3.4 million, or $0.12 per diluted share as compared with net income of $8.5 million or $0.30 per diluted share for the three months ended June 30, 2012.</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loss for the six months ended June 30, 2013 was $0.6 million, or $0.02 per diluted share as compared with net income of $15.2 million or $0.53 per diluted share for the six months ended June 30, 2012.</w:t>
      </w:r>
    </w:p>
    <w:p>
      <w:pPr>
        <w:spacing w:after="0" w:line="3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results of operations for the three and six months ended June 30, 2013 were adversely affected by a voluntary recall of certain collagen-based products manufactured in our Añasco, Puerto Rico facility. Increases in the sales returns reserve and product shortages caused by the recall led to revenue and margin reductions. We also incurred incremental expenses related to the recall, including scrap of finished good products that were not released to customers and work in process, legal and consulting costs, and expenses for remediation of our quality systems. Additionally, our expenses were impacted by higher selling, general and administration headcount, increased consulting fees and expenses incurred in connection with the implementation of our global ERP system.</w:t>
      </w:r>
    </w:p>
    <w:p>
      <w:pPr>
        <w:spacing w:after="0" w:line="10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effects of the recall noted above were offset by a decrease in our interest expense as a result of the June 2012 repayment of our 2012 Notes and capitalization of a portion of our interest expense into the cost of our capital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Facility optimization charges</w:t>
            </w: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4,620</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50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50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14,914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24,996</w:t>
            </w:r>
          </w:p>
        </w:tc>
      </w:tr>
      <w:tr>
        <w:trPr>
          <w:trHeight w:val="27"/>
        </w:trPr>
        <w:tc>
          <w:tcPr>
            <w:tcW w:w="5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10,270</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14,914</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24,996</w:t>
            </w:r>
          </w:p>
        </w:tc>
      </w:tr>
      <w:tr>
        <w:trPr>
          <w:trHeight w:val="27"/>
        </w:trPr>
        <w:tc>
          <w:tcPr>
            <w:tcW w:w="5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w:t>
      </w:r>
    </w:p>
    <w:p>
      <w:pPr>
        <w:sectPr>
          <w:pgSz w:w="11900" w:h="16838" w:orient="portrait"/>
          <w:cols w:equalWidth="0" w:num="1">
            <w:col w:w="11420"/>
          </w:cols>
          <w:pgMar w:left="240" w:top="125"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Remediation activities in our regenerative medicine facility in Plainsboro, New Jersey affected revenues and gross margin in the first and second quarters of 2013.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did not restrict our ability to manufacture or ship products, nor did it require the recall of any product. In June and July 2012, the FDA again inspected the regenerative medicine facility. The second inspection closed out on July 30, 2012 and a FDA Form 483 Inspectional Observations was issued. We have been addressing the Form 483 observations, warning letter citations and communicating with the FDA on a monthly basis. Our efforts with respect to closing out the warning letter are well along. On July 16, 2013, the FDA began an inspection of the Plainsboro facility. At this point, the inspection remains in progress.</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FDA inspected our neurosurgery manufacturing facility in Andover, England in June 2012. Subsequently, on November 5, 2012, we received a warning letter from the FDA dated November 1, 2012 related to quality systems issues at the Andover manufacturing facility. The warning letter identified violations related to corrective and preventative actions, process validations, internal quality audits, and internal review of the suitability and effectiveness of the quality system at defined intervals. We filed the FDA warning letter as an exhibit to a Current Report on Form 8-K on November 13, 2012. Since the conclusion of the FDA inspection in June 2012, we have undertaken significant efforts to remediate the observations that the FDA has made and continue to do so. We are providing the FDA with monthly status reports and working cooperatively with the FDA to resolve any outstanding issues.</w:t>
      </w:r>
    </w:p>
    <w:p>
      <w:pPr>
        <w:spacing w:after="0" w:line="165"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On February 14, 2013, we received a warning letter from the FDA relating to quality systems issues at our manufacturing facility located in Añasco, Puerto Rico.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facility.</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10, 2013, we initiated a voluntary recall of certain products manufactured in our Añasco facility between December 2010 and May 2011 and between November 2012 and March 2013. Specific lots of these products, as described below, have been recalled because we identified that there may have been deviations from required processes in their production. We identified through an internal quality assurance review that we may have deviated from a production process during the manufacture of specific lots of collagen products during the periods described. The product lots in question passed all product finished goods testing including endotoxin testing, are sterile, and were tested and accepted for release. However, due to the process deviation, they may have been released with higher levels of endotoxins than permitted by the product specifications. Higher levels of endotoxins may result in a fever in the immediate postoperative period. There have been no reports of patient injuries or other adverse events attributable to the products subject to the recall. We continue to manufacture all such products in our Añasco facility.</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believe that most of the recalled product lots manufactured between December 2010 and May 2011 have already been consumed, and that therefore, the recall of those lots will not have a material financial impact. However, the return of products, manufactured between November 2012 and March 2013, which were substantially sold in the first three months ended March 31, 2013, directly reduced revenues in the six months ended June 30, 2013 by $3.1 million. As we anticipated, we were not able to produce all the affected products quickly enough to meet the demand from customers in the three months ended June 30, 2013. Such supply shortages resulted in lower revenues in the first six months of 2013 and will result in lower revenues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2013 than previously forecasted. As expected, the recall and supply shortages had a significant impact on the U.S. Neurosurgery,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Spine and Other, and International segments during the first six months of 2013.</w:t>
      </w:r>
    </w:p>
    <w:p>
      <w:pPr>
        <w:spacing w:after="0" w:line="21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recall applies to limited and specific lots of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Dural Graft Matrix,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Plus Dural Regeneration Matrix,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Suturable Dural Regeneration Matrix, DuraGen XS™ Dural Regeneration Matrix, Layershield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Adhesion Barrier Matrix, NeuraWrap™ Nerve Protector, NeuraGen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Nerve Guide, BioMend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Membrane, OraMem</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Membrane, BioMend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Extend Absorbable Collagen Membrane, CollaCote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CollaTape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CollaPlug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HeliTape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HeliPlug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OraTape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OraPlug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Instat</w:t>
      </w:r>
      <w:r>
        <w:rPr>
          <w:rFonts w:ascii="Arial" w:cs="Arial" w:eastAsia="Arial" w:hAnsi="Arial"/>
          <w:sz w:val="18"/>
          <w:szCs w:val="18"/>
          <w:color w:val="auto"/>
          <w:vertAlign w:val="superscript"/>
        </w:rPr>
        <w:t>®</w:t>
      </w:r>
      <w:r>
        <w:rPr>
          <w:rFonts w:ascii="Arial" w:cs="Arial" w:eastAsia="Arial" w:hAnsi="Arial"/>
          <w:sz w:val="18"/>
          <w:szCs w:val="18"/>
          <w:color w:val="auto"/>
        </w:rPr>
        <w:t xml:space="preserve"> Microfibrillar Collagen Hemostat, Helistat</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Hemostatic Sponge (ACS/Helistat), and Helitene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Hemostatic Agent. The Absorbable Collagen Sponge (ACS) is not a final product, but a component of a product assembled by another company.</w:t>
      </w:r>
    </w:p>
    <w:p>
      <w:pPr>
        <w:spacing w:after="0" w:line="19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met with the Office of Compliance at the Center for Devices and Radiological Health on March 26, 2013. We presented our plans for both immediate remediation and our corporate plan for the development and implementation of a single Quality System for the entire Company. We have engaged former FDA professionals as third party consultants to work with us on our remediation plans. We also met with the Office of Compliance at the FDA San Juan, Puerto Rico office to discuss the remediation plans at the Añasco facility. We have prioritized senior level quality and regulatory staff to address the quality system improvement plans at all of our facilities.</w:t>
      </w:r>
    </w:p>
    <w:p>
      <w:pPr>
        <w:spacing w:after="0" w:line="18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have undertaken significant efforts to remediate the observations that the FDA has made and have been working on improving and revising our quality systems. During the three and six months ended June 30, 2013, we incurred $3.0 million and $5.1 million in remediation activities expenses, respectively, consisting of consulting expenses and other work activities required to complete our remediation activities. For the full year 2013, we expect to spend approximately $7.0 million on our quality systems and expect to have these activities completed in the second half of 2013. We will provide periodic status reports to the FDA and work cooperatively with the agency to resolve any outstanding issues.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9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Neurosurgery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41,767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42,324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80,763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82,507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Instruments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39,991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41,269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76,939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79,263</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Extremities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33,538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64,899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58,635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Spine and Other</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42,962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48,823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86,510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93,633</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47,289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45,706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93,088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92,317</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205,547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210,170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402,199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406,355</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83,068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78,274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163,336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152,949</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122,479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131,896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238,863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253,406</w:t>
            </w:r>
          </w:p>
        </w:tc>
      </w:tr>
      <w:tr>
        <w:trPr>
          <w:trHeight w:val="67"/>
        </w:trPr>
        <w:tc>
          <w:tcPr>
            <w:tcW w:w="496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6"/>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40" w:firstLine="8"/>
        <w:spacing w:after="0" w:line="308" w:lineRule="auto"/>
        <w:tabs>
          <w:tab w:leader="none" w:pos="1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as Compared to Three Months Ended June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2013, total revenues decreased by $4.7 million to $205.5 million from $210.2 million for the same period in 2012.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total revenues were negatively affected by our voluntary recall of certain products manufactured in our Añasco, Puerto Rico facility, including DuraGen® Dural Graft Matrix products. Although we continue to manufacture all the affected products in, and distribute from, our Añasco facility, the recall caused significant supply disruptions resulting in a decrease in our worldwide revenue and a larger than usual total backorder at the end of the current quarter. The Company expects to resolve most of these disruptions by the end of 2013, but there can be no assurance the Company will not lose some customers or that backorder levels will return to normal by the end of the year.</w:t>
      </w:r>
    </w:p>
    <w:p>
      <w:pPr>
        <w:spacing w:after="0" w:line="134"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U.S. Neurosurgery revenues were $41.8 million, a decrease of 1% from the prior-year period. The decrease continues to be directly related to our collagen product shortages caused by the recall. Tissue ablation sales also decreased on a strong comparison from the prior year period, but strong growth in neuro critical care, cranial stabilization and sterotaxy partly offset these decreases. Overall sales of neuro capital products were relatively flat.</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U.S. Instruments revenues were $40.0 million, a decrease of 3% from the prior-year period. In the quarter, we saw mid-single digit growth in our acute care sales channel as a result of several large orders for hospital starts. We continued to experience sustained growth in sales of our LED surgical headlamp, which was offset by lower sales of our legacy xenon lighting products. In addition, we experienced softness in our alternate site sales resulting from pricing pressures and discontinuation of some of our lower margin products.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U.S. Extremities revenues were $33.5 million, an increase of 5% from the prior-year period. This increase resulted primarily from mid-single digit growth in sales of our regenerative products compared to the prior year period when sales of such products were unusually high following the elimination of a significant backorder. We also saw low single digit growth in both our upper and lower extremities businesses, driven by new product introductions, including pyrocarbon implants.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$43.0 million, a 12% decrease from the prior-year period. In addition to general market softness and pricing pressure, our spine hardware product sales declined more than the market because of poor execution in the business and some distributor turnover. We have identified the issues impacting our performance and have plans in place to return to market performance by the end of the year. Orthobiologics sales were flat because of backorders in collagen ceramic bone void fillers. Sales growth in the rest of the portfolio offset much of this decrease, and demand for the overall orthobiologics line remains strong. Sales of our private label products were down significantly from the prior-year period due to the recall-related supply shortage and declining sales of absorbable collagen sponges to our important customers.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International segment revenues were $47.3 million, an increase of 4% from the prior-year period. Our sales around the world were affected by the recall of our collagen products and backorders on these recalled products. We saw double digit growth in our spine implants and mid-single digit growth in neurosurgery products. Foreign currency had a negligible impact on our sales in the current quarter.</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margin decreased 7% to $122.5 million for the three-month period ended June 30, 2013 from $131.9 million for the same period last year. Gross margin as a percentage of total revenue decreased to 59.6% for the second quarter of 2013 from 62.8% for the same period last year. The decrease in gross margin percentage resulted primarily from product mix, increased validation and remediation costs related to improving quality systems at our manufacturing facilities and the impact of the 2.3% manufacturer's excise tax that we capitalize in our inventory and subsequently record in cost of goods sold as these products are sold to third-party customers.</w:t>
      </w:r>
    </w:p>
    <w:p>
      <w:pPr>
        <w:spacing w:after="0" w:line="13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expect our consolidated gross margin percentage for the full year 2013 to be between 60% and 61%, down compared to 2012. Costs related to the expansion of our regenerative medicine activities, continued downward pressure on our private-label and spine hardware product sales volumes, and the inclusion of the medical device tax will negatively affect our consolidated gross margin.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48.5%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55.7%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5620"/>
              <w:spacing w:after="0"/>
              <w:rPr>
                <w:sz w:val="20"/>
                <w:szCs w:val="20"/>
                <w:color w:val="auto"/>
              </w:rPr>
            </w:pPr>
            <w:r>
              <w:rPr>
                <w:rFonts w:ascii="Arial" w:cs="Arial" w:eastAsia="Arial" w:hAnsi="Arial"/>
                <w:sz w:val="18"/>
                <w:szCs w:val="18"/>
                <w:color w:val="auto"/>
              </w:rPr>
              <w:t>24</w:t>
            </w: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$0.6 million, or 1%, to $114.5 million in the three months ended June 30, 2013, compared to $113.9 million in the same period last year.</w:t>
      </w:r>
    </w:p>
    <w:p>
      <w:pPr>
        <w:spacing w:after="0" w:line="12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Research and development expenses in the second quarter of 2013 decreased $1.3 million compared to the same period last year due to lower product development spending. We target full-year 2013 spending on research and development to be approximately 6.0% of total revenues.</w:t>
      </w:r>
    </w:p>
    <w:p>
      <w:pPr>
        <w:spacing w:after="0" w:line="12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Selling, general and administrative expenses in the second quarter of 2013 increased by $3.5 million to $99.6 million compared to $96.1 million in the same period last year. Selling and marketing expenses increased by $1.3 million, primarily resulting from a higher headcount of our sales force in Europe and marketing and logistic groups in the United States. General and administrative costs were up $2.2 million, primarily because of higher expenses incurred in connection with the implementation of our global ERP system and consulting costs to support various strategic projects. Our prior year general and administrative expenses included $1.1 million of expenses to terminate an exclusive product distribution agreement with a former distributor in China.</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expense in the second quarter of 2013 was $3.1 million compared to $4.6 million in the same period last year. The decrease is primarily due to certain intangible assets becoming fully amortized in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jc w:val="center"/>
              <w:ind w:left="602"/>
              <w:spacing w:after="0"/>
              <w:rPr>
                <w:sz w:val="20"/>
                <w:szCs w:val="20"/>
                <w:color w:val="auto"/>
              </w:rPr>
            </w:pPr>
            <w:r>
              <w:rPr>
                <w:rFonts w:ascii="Arial" w:cs="Arial" w:eastAsia="Arial" w:hAnsi="Arial"/>
                <w:sz w:val="14"/>
                <w:szCs w:val="14"/>
                <w:b w:val="1"/>
                <w:bCs w:val="1"/>
                <w:color w:val="auto"/>
                <w:w w:val="93"/>
              </w:rPr>
              <w:t>Three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289</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(4,965)</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(7,103)</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Interest income decreased in the three months ended June 30, 2013, because the Company no longer holds any short-term investments in time deposit accounts held outside the United States as it did in the prior-year period.</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in the three months ended June 30, 2013 decreased by $2.1 million primarily as a result of the June 2012 repayment of our 2012 Senior Convertible Notes, which decreased our interest expense by $1.9 million. In addition, we also capitalized $0.7 million of interest expense on our qualified construction in progress balances. This amount was offset by an additional $0.5 million of higher interest because of increased borrowing on our revolving line of credit. Our reported interest expense for the three-month periods ended June 30, 2013 and 2012 includes non-cash interest related to the accounting for convertible securities of $1.6 million and $3.0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second quarter of 2013 was primarily attributable to foreign exchange losses on intercompany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16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8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2,995</w:t>
            </w:r>
          </w:p>
        </w:tc>
        <w:tc>
          <w:tcPr>
            <w:tcW w:w="11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11,569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80" w:type="dxa"/>
            <w:vAlign w:val="bottom"/>
          </w:tcPr>
          <w:p>
            <w:pPr>
              <w:spacing w:after="0"/>
              <w:rPr>
                <w:sz w:val="21"/>
                <w:szCs w:val="21"/>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(445)</w:t>
            </w:r>
          </w:p>
        </w:tc>
        <w:tc>
          <w:tcPr>
            <w:tcW w:w="11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3,055</w:t>
            </w:r>
          </w:p>
        </w:tc>
      </w:tr>
      <w:tr>
        <w:trPr>
          <w:trHeight w:val="27"/>
        </w:trPr>
        <w:tc>
          <w:tcPr>
            <w:tcW w:w="7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7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effective income tax rates for the three months ended June 30, 2013 and 2012 were (14.9)% and 26.4%, respectively. For the three months ended June 30, 2013, the reduction in the income tax rate compared to the same period in 2012 was primarily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result of a change in the jurisdictional mix of worldwide pretax income and the establishment of the Irish research and development credit. During the quarter, we were granted an Irish research and development credit for 2011 and 2012 that resulted in a benefit of $0.5 million. Also, in the current quarter, we recorded a benefit of $0.8 million for the release of uncertain tax positions due to the expiration of the statute of limitations in certain state jurisdictions, which is offset by an expense of $0.3 million for the establishment of additional non-U.S. tax contingency reserves.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our effective income tax rate for the full year to be approximately 4.5% due, in part, to foreign earnings taxed at lower tax rates, the release of a tax contingency reserve, and the benefit from the Federal research credit. This estimate could be revised in the future as additional information is presented to us.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are classified as current income taxes payable.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as Compared to Six Months Ended June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six-month period ended June 30, 2013, total revenues decreased by $4.2 million or 1%, to $402.2 million from $406.4 million during the prior-year period.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total revenues for the six-month period ended June 30, 2013, were negatively affected by our voluntary recall of certain products manufactured in our Añasco, Puerto Rico facility, including DuraGen® Dural Graft Matrix products.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 Neurosurgery revenues were $80.8 million, a decrease of 2% from the prior year. The decrease was directly related to our collagen product shortages caused by the recall. Capital sales were up mid to high single digits as we saw growth in our critical care, cranial stabilization and stereotaxy lines. This growth was partly offset by a decrease in tissue ablation sales on a strong comparison from the prior period. Our disposable product sales grew to mid-single digits.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 Instruments revenues were $76.9 million, a decrease of 3% from the prior year. We saw lower sales of our legacy lighting products due to some product discontinuation and conversion of the legacy xenon lighting products to LED lighting. We saw growth in our acute care sales channel as a result of several large orders for hospital starts. These increases were offset by softness in our alternate sites sales due to pricing pressures and product discontinuation of some of our lower margin products.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 Extremities revenues were $64.9 million, an increase of 11% from the prior year. This low-double digit growth resulted primarily from significant increases in sales of our dermal and wound care products. We also saw low-double digit growth in both our upper and lower extremities businesses, driven by new product introductions, including pyrocarbon implants.</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U.S. Spine and Other revenues, which include our spine hardware, orthobiologics and private label products, were $86.5 million, a decrease of 8% from the prior year. In addition to general market softness and pricing pressure, our spine hardware product sales declined more than the market because of poor execution in the business and some distributor turnover. We have identified the issues impacting our performance and have plans in place to return to market performance by the end of the year. Orthobiologics sales were flat because of backorders in collagen ceramic bone void fillers. We expect supply to return to normal levels by the end of the third quarter. Sales growth in the rest of the portfolio offset much of this decrease, and demand for the overall orthobiologics line remains strong. Sales of our private label products were down significantly from the prior-year period due to the recall-related supply shortage.</w:t>
      </w:r>
    </w:p>
    <w:p>
      <w:pPr>
        <w:spacing w:after="0" w:line="1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International segment revenues were $93.1 million, an increase of 1% from prior year. Our sales around the world were affected by the recall of our collagen products and backorders on these recalled products. We saw growth in our spine implants and dermal and wound businesses with several new product introductions and increasing product coverage in direct and indirect channels. We experienced growth in Asia-Pacific and Latin America markets for our duraplasty products not affected by the recall. Foreign currency unfavorably impacted our sales by $0.4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margin decreased 6% to $238.9 million for the six-month period ended June 30, 2013 from $253.4 million for the same period last year. Gross margin as a percentage of total revenue decreased to 59.4% for the first six months of 2013 from 62.4% for the same period last year. The decrease in gross margin percentage resulted primarily from increases in reserves related to inventory associated with the recall and increased spending and remediation costs related to improving quality systems and validation processes at our manufacturing facilities. Finally, in January, we began paying the manufacturer's excise tax imposed on the first sale of certain medical devices in the United States. We elected to capitalize the excise tax in inventory and subsequently record in cost of goods sold as these products are sold to third-party customers, which had the impact of decreasing our gross margin by 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52"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7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7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$13.0 million, or 6%, to $230.9 million in the six months of 2013, compared to $217.9 million in the same period last year.</w:t>
      </w:r>
    </w:p>
    <w:p>
      <w:pPr>
        <w:spacing w:after="0" w:line="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Research and development expenses in the six months of 2013 decreased slightly compared to the same period last year due to lower spending on product development.</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Selling, general and administrative expenses in the six months of 2013 increased by $16.3 million to $199.8 million compared to $183.5 million in the same period last year. Selling and marketing expenses increased by $8.4 million primarily resulting from higher headcount. Additionally, U.S. Extremities' commission costs were higher as a result of increases in revenue. General and administrative costs were up $7.9 million primarily because of higher headcount, increased expenses incurred in connection with the implementation of our global ERP system, and consulting costs to support various strategic projects.</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in the first six months of 2013 decreased by $2.8 million to $6.6 million, compared to $9.4 million in the same period last year. The decrease is primarily due to certain intangible assets becoming fully amortized in the first half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2"/>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352</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(9,765)</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(15,032)</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1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income decreased in the six-month period ended June 30, 2013, because the Company no longer holds any short-term investments in time deposit accounts held outside the United States as it did in the prior year period.</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expense in the six-month period ended June 30, 2013 decreased by $5.3 million primarily as a result of the June 2012 repayment of our 2012 Senior Convertible Notes, which decreased our interest expense by $4.9 million. In addition, we capitalized $1.4 million of interest expense on our qualified construction in progress balances. This amount was offset by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$1.0 million of higher interest because of increased borrowing on our revolving line of credit. Furthermore, the amount of our 2016 Notes discount amortization increased by $0.2 million as expected when using the effective interest method for its amortization in the six month period ended June 30, 2012. Our reported interest expense for the six-month periods ended June 30, 2013 and 2012 includes non-cash interest related to the accounting for convertible securities of $3.2 million and $6.5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expenses of $1.3 million in 2013 were primarily attributable to a write off of $1.5 million for a capital expenditure project not placed into service and by foreign exchange losses on intercompany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4"/>
                <w:szCs w:val="14"/>
                <w:b w:val="1"/>
                <w:bCs w:val="1"/>
                <w:color w:val="auto"/>
                <w:w w:val="92"/>
              </w:rPr>
              <w:t>Six Months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(2,760)</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21,162</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0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(2,150)</w:t>
            </w:r>
          </w:p>
        </w:tc>
        <w:tc>
          <w:tcPr>
            <w:tcW w:w="1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5,955</w:t>
            </w:r>
          </w:p>
        </w:tc>
      </w:tr>
      <w:tr>
        <w:trPr>
          <w:trHeight w:val="27"/>
        </w:trPr>
        <w:tc>
          <w:tcPr>
            <w:tcW w:w="7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7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effective income tax rates for the six months ended June 30, 2013 and 2012 were77.9% and 28.1%, respectively. The change in year-to-date effective tax rates is attributable to the change in the mix in year-to-date worldwide pretax income, as well as a reduction in the estimated domestic manufacturing deduction caused by a change in U.S. taxable income for 2013. The year-to-date tax increase is offset by a benefit of $1.2 million for the release of tax contingency reserves and a benefit of $0.9 million for the extension of the Federal research credit and the establishment of the Irish research and development credit.</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effective income tax rate for the full year to be approximately 4.5%.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ectPr>
          <w:pgSz w:w="11900" w:h="16838" w:orient="portrait"/>
          <w:cols w:equalWidth="0" w:num="1">
            <w:col w:w="11420"/>
          </w:cols>
          <w:pgMar w:left="240" w:top="125" w:right="239" w:bottom="1440" w:gutter="0" w:footer="0" w:header="0"/>
        </w:sectPr>
      </w:pPr>
    </w:p>
    <w:p>
      <w:pPr>
        <w:spacing w:after="0" w:line="375"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157,166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163,483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307,185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312,157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23,776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47,393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46,552</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205,547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210,170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402,199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406,355</w:t>
            </w:r>
          </w:p>
        </w:tc>
      </w:tr>
      <w:tr>
        <w:trPr>
          <w:trHeight w:val="27"/>
        </w:trPr>
        <w:tc>
          <w:tcPr>
            <w:tcW w:w="5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Domestic revenues decreased 4% to $157.2 million, or 76% of total revenues, for the three months ended June 30, 2013 from $163.5 million, or 78% of total revenues, for the three months ended June 30, 2012. International revenues increased to $48.4 million from $46.7 million in the prior-year period, an increase of 4%. Foreign exchange rate fluctuations accounted for a $0.1 million decrease in revenues during the second quarter of 2013 as compared to the same period last year.</w:t>
      </w:r>
    </w:p>
    <w:p>
      <w:pPr>
        <w:spacing w:after="0" w:line="5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Domestic revenues decreased by 2% to $307.2 million, and were 76% of the total revenues, for the six months ended June 30, 2013 from $312.2 million, or 77% of total revenues, for the six months ended 2012. International revenues increased by 1% to $95.0 million. Foreign exchange rate fluctuations accounted for a $0.4 million decrease in revenues during the six-month period ended June 30, 2013 as compared to the same period last year.</w:t>
      </w:r>
    </w:p>
    <w:p>
      <w:pPr>
        <w:spacing w:after="0" w:line="9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had cash and cash equivalents totaling approximately $98.6 million and $96.9 million at June 30, 2013 and December 31, 2012, respectively. At June 30, 2013, our non-U.S. subsidiaries held approximately $82.4 million of cash and cash equivalents that are available for use by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(26,775)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(69,358)</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19,323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953</w:t>
            </w:r>
          </w:p>
        </w:tc>
      </w:tr>
      <w:tr>
        <w:trPr>
          <w:trHeight w:val="27"/>
        </w:trPr>
        <w:tc>
          <w:tcPr>
            <w:tcW w:w="7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(25,338)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In 2013, we anticipate that our principal uses of cash will include payments of the new medical device excise tax in a range of $9 -$12 million. We also plan to spend between $55.0 million and $65.0 million on capital expenditures primarily for our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continued expansion of regenerative medicine manufacturing capacity, support maintenance in our existing plants, our enterprise resource planning system implementation, and additions to our instrument kits used in sales of orthopedic products.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$10.8 million and $34.6 million for the six months ended June 30, 2013 and 2012, respectively.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cash flow was lower than the same period in 2012 largely because net income decreased by $15.8 million for the six months ended June 30, 2013. Changes in working capital decreased cash flows by approximately $22.2 million. Among the changes in working capital, accounts receivable used $0.7 million of cash, inventory used $24.0 million of cash, prepaid expenses and other current assets used $0.6 million of cash, and accounts payable, accrued expenses and other current liabilities provided $2.9 million of cash.</w:t>
      </w:r>
    </w:p>
    <w:p>
      <w:pPr>
        <w:spacing w:after="0" w:line="5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income for the six months ended June 30, 2012 plus non-cash items included in those earnings amounted to approximately $50.8 million. The operating cash flows were largely impacted by the repayment of our convertible 2012 Notes of $165 million, of which $31.0 million was classified as an operating use of cash for the repayment of accreted interest.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During the six months ended June 30, 2013, we paid $24.5 million in cash for capital expenditures, most of which was directed to the expansion of our regenerative medicine production capacity and global enterprise system implementation. We also paid $2.8 million for the acquisition of Tarsus Medical, Inc.</w:t>
      </w:r>
    </w:p>
    <w:p>
      <w:pPr>
        <w:spacing w:after="0" w:line="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six months ended June 30, 2012, we paid $24.6 million in cash for capital expenditures, most of which was directed to the expansion of our regenerative medicine production capacity and global enterprise system implementation. We had net purchases of $41.8 million in short-term time deposit accounts, which are held outside of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principal sources of cash for financing activities in the six months ended June 30, 2013 were $20.0 million of borrowings under our Senior Credit Facility offset by amendment costs of $1.0 million.</w:t>
      </w:r>
    </w:p>
    <w:p>
      <w:pPr>
        <w:spacing w:after="0" w:line="1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principal uses of cash for financing activities in the six months ended June 30, 2012 were $155.0 million of borrowings under our Senior Credit Facility offset by the repayment of the liability component of our convertible 2012 Notes of $134.4 million and $12.8 million of repayments under our Senior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and December 31, 2012, working capital was $368.4 million and $346.1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10, 2010, the Company entered into an amended and restated credit agreement (the “Senior Credit Facility") with a syndicate of lending banks and further amended the Senior Credit Facility on June 8, 2011 (the “2011 Amendment”). The 2011 Amendment increased the revolving credit component from $450.0 million to $600.0 million and eliminated the $150.0 million term loan component that previously existed under the Senior Credit Facility, allows the Company to further increase the size of the revolving credit component by an aggregate of $200.0 million with additional commitments, provides the Company with decreased borrowing rates and annual commitment fees, and provides more favorable financial covenants. The 2011 Amendment extended the Senior Credit Facility’s maturity date from August 10, 2015 to June 8, 2016.</w:t>
      </w:r>
    </w:p>
    <w:p>
      <w:pPr>
        <w:spacing w:after="0" w:line="5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Senior Credit Facility is collateralized by substantially all of the assets of the Company’s U.S. subsidiaries, excluding intangible assets. The Senior Credit Facility is subject to various financial and negative covenants and at June 30, 2013, the Company was in compliance with all such covenants.</w:t>
      </w:r>
    </w:p>
    <w:p>
      <w:pPr>
        <w:spacing w:after="0" w:line="9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May 11, 2012, the Company entered into another amendment to the Senior Credit Facility. The amendment modified certain financial and negative covenants as disclosed in Note 5 to the Financial Statements, the effect of which was to increase the Company’s capacity to borrow.</w:t>
      </w:r>
    </w:p>
    <w:p>
      <w:pPr>
        <w:spacing w:after="0" w:line="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21, 2013, the Company entered into a second amendment to the Senior Credit Facility. The amendment provides for an increase to the Company's Maximum Consolidated Total Leverage Ratio and permits the addition of certain costs and expenses in the calculation of the consolidated EBIDTA as disclosed in Note 5 to the Financial Statements. There were no other changes as a result of the second amendment. In connection with the June 21, 2013 amendment, the Company capitalized $1.0 million in incremental financing costs.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ind w:right="100" w:firstLine="8"/>
        <w:spacing w:after="0" w:line="252"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("net debt") to (b) consolidated EBITDA) at the time of the applicable borrowing. 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June 30, 2013 and December 31, 2012, there was $341.9 million and $321.9 million, respectively, outstanding under the Senior Credit Facility at a weighted average interest rate of 2.0% and 1.8%, respectively.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there was approximately $258.1 million available, subject to certain limitations, for borrowing under the Senior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2016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the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for the 2016 Notes, subject to anti-dilution adjustments. The initial strike price of the warrant transactions is approximately $70.05 for the 2016 Notes, in each case subject to customary anti-dilution adjustments.</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w:t>
      </w:r>
      <w:r>
        <w:rPr>
          <w:sz w:val="1"/>
          <w:szCs w:val="1"/>
          <w:color w:val="auto"/>
        </w:rPr>
        <w:drawing>
          <wp:inline distT="0" distB="0" distL="0" distR="0">
            <wp:extent cx="2603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6"/>
          <w:szCs w:val="16"/>
          <w:color w:val="auto"/>
        </w:rPr>
        <w:t>with respect to the number of 2016 Notes that cease to be outstanding. The amounts involved may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 We repurchased no shares under this program during the first six months of 2013 and $75.0 million remains available under the authorization.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no off-balance sheet arrangements during the six months ended June 30,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2012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recently issued accounting standards that have an impact on our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June 30, 2013 would increase interest income by approximately $1.0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$120.0 million outstanding as of June 30, 2013. We recognized $0.5 million of additional interest expense related to this derivative during the three months ended June 30, 2013. The fair value of our interest rate derivative instrument was a net liability of $3.0 million at June 30, 2013.</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our outstanding borrowings at June 30, 2013, a one-percentage point change in interest rates would have impacted interest expense on the unhedged portion of the debt by $2.2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2013. Based upon this evaluation, our principal executive officer and principal financial officer concluded that our disclosure controls and procedures were effective as of June 30, 2013 to provide such reasonable assurance.</w:t>
      </w:r>
    </w:p>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the second quarter of 2013, the Company began deploying its first ERP module within certain U.S. operations. In addition, in response to business integration activities, the Company has and will continue to further align and streamline the design and operation of the financial control environment to be responsive to the changing business model.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June 30, 2013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Risk Factors included in our Annual Report on Form 10-K for the fiscal year ended December 31, 2012, as modified by the subsequent Quarterly Report on Form 10-Q for the period ended March 31, 2013, have not materially changed other than the modifications to the risk factors as set forth below.</w:t>
      </w: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980" w:right="44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conditions in the United States or abroad, especially in Europe,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significant customer orders, which tend to increase in the fourth quarter to coincide with the end of budget cycles for many hospitals;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the British pound and the Japanese yen;</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backorders and lost sales resulting from stoppages in production relating to product recalls or field corrective 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980" w:right="80" w:hanging="324"/>
        <w:spacing w:after="0" w:line="25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980" w:right="120"/>
        <w:spacing w:after="0" w:line="282" w:lineRule="auto"/>
        <w:rPr>
          <w:sz w:val="20"/>
          <w:szCs w:val="20"/>
          <w:color w:val="auto"/>
        </w:rPr>
      </w:pPr>
      <w:r>
        <w:rPr>
          <w:rFonts w:ascii="Arial" w:cs="Arial" w:eastAsia="Arial" w:hAnsi="Arial"/>
          <w:sz w:val="18"/>
          <w:szCs w:val="18"/>
          <w:color w:val="auto"/>
        </w:rPr>
        <w:t>that we determine are necessary or appropriate to address the results of those inspections, any of which may affect production and our ability to supply our customers with our products; and</w:t>
      </w:r>
    </w:p>
    <w:p>
      <w:pPr>
        <w:spacing w:after="0" w:line="1" w:lineRule="exact"/>
        <w:rPr>
          <w:sz w:val="20"/>
          <w:szCs w:val="20"/>
          <w:color w:val="auto"/>
        </w:rPr>
      </w:pPr>
    </w:p>
    <w:p>
      <w:pPr>
        <w:ind w:left="980" w:right="420" w:hanging="324"/>
        <w:spacing w:after="0" w:line="27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private and public health insurers and foreign governmental health systems.</w:t>
      </w:r>
    </w:p>
    <w:p>
      <w:pPr>
        <w:spacing w:after="0" w:line="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studies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extremity reconstruction implants, neuro critical care monitors and ultrasonic tissue ablation devices, among others.</w:t>
      </w:r>
    </w:p>
    <w:p>
      <w:pPr>
        <w:spacing w:after="0" w:line="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largest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and orthobiologics markets include Medtronic, Inc., Johnson &amp; Johnson, Synthes, Inc., Stryker Corporation, Zimmer, Inc., NuVasive, Inc., Globus Medical, Inc., Alphatec Spine, Inc., Orthofix and several smaller, biologically focused companies. In surgical instruments, we compete with V. Mueller, as well as the Aesculap division of B. Braun Medical, Inc. In addition, we compete with Symmetry Medical Inc.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318" w:lineRule="exact"/>
        <w:rPr>
          <w:sz w:val="20"/>
          <w:szCs w:val="20"/>
          <w:color w:val="auto"/>
        </w:rPr>
      </w:pPr>
    </w:p>
    <w:p>
      <w:pPr>
        <w:ind w:left="180" w:right="1000"/>
        <w:spacing w:after="0" w:line="381" w:lineRule="auto"/>
        <w:rPr>
          <w:sz w:val="20"/>
          <w:szCs w:val="20"/>
          <w:color w:val="auto"/>
        </w:rPr>
      </w:pPr>
      <w:r>
        <w:rPr>
          <w:rFonts w:ascii="Arial" w:cs="Arial" w:eastAsia="Arial" w:hAnsi="Arial"/>
          <w:sz w:val="15"/>
          <w:szCs w:val="15"/>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6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3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under development are subject to FDA approval or clearance prior to marketing for commercial use. The process of obtaining necessary FDA approvals or clearances can take years and is expensive and uncertain. The FDA has issued Guidance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Documents regarding the approval and review of medical devices such as the Refuse to Accept Policy for 510(k)s, Acceptance and Filing Reviews for Premarket Approval Process (PMA) as well as other guidance documents. We must be in substantial compliance with these FDA Regulations and Guidance Documents for the FDA to review our submissions.</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use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There is also no guarantee that the payors will agree to continue reimbursement or provide additional coverage based upon these clinical trials. These clinical trials could take years to complete and be expensive, and there is no guarantee that the FDA will approve the additional indications for use. If the FDA does not approve the additional indications for use, our ability to obtain reimbursement for these products and our ability to compete against alternative products or technologies could suffer and, consequently, affect our sales.</w:t>
      </w:r>
    </w:p>
    <w:p>
      <w:pPr>
        <w:spacing w:after="0" w:line="3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Premarket Approval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dependent on the class of product. Any of our Class III devices (those categorized as supporting or sustaining human life, are of substantial importance in preventing impairment of human health, or which present a potential, unreasonable risk of illness or injury) and products of animal origin take an extensive amount of time to obtain approval in the European Union, and all require Clinical Evaluation Reports or clinical trial data which can be costly.</w:t>
      </w:r>
    </w:p>
    <w:p>
      <w:pPr>
        <w:spacing w:after="0" w:line="4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also new requirements regarding FDA Establishment Registration and Listing of Medical Devices. All foreign manufacturers must register and list medical devices for sale in the U.S. All of our facilities comply with these requirements. However, we also source products from foreign contract manufacturers. From this business practice, it is possible that some of our foreign contract manufacturers will not comply with the new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4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 The FDA issued new regulations regarding “Current Good Manufacturing Practice Requirements for Combination Products” on January 22, 2013. While we have not had any products approved or cleared through the FDA as Combination Products, these new regulations may apply to some of our product lines that were approved or cleared previously. There could be additional costs associated with compliance with these new Good Manufacturing Practice Requirements regulations for Combination Products.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3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Inspectional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received warning letters at our Plainsboro, New Jersey, Andover, England, and Añasco, Puerto Rico facilities. We have incurred, and will incur, expenses to remediate issues identified in those warning letters and other observations issued in connection with other inspections at other facilities, and to prepare our manufacturing facilities for anticipated FDA inspections. The FDA has notified us that it will not grant requests for exportation certificates to foreign governments until the violations identified in the warning letters have been corrected. If such remediation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4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are also subject to other regulatory requirements of countries outside the United States where we do business. For example, under the European Union Medical Device Directive (MDD),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w:t>
      </w:r>
    </w:p>
    <w:p>
      <w:pPr>
        <w:spacing w:after="0" w:line="3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Compliance with these regulations requires extensive documentation, Clinical Evaluation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could require audits of our manufacturing facilities in order to gain approval to sell our products in that country. There are also associated fees with these new regulations. These regulations are required for all new products and re-registration of our medical devices, and could involve lengthy and expensive reviews.</w:t>
      </w:r>
    </w:p>
    <w:p>
      <w:pPr>
        <w:spacing w:after="0" w:line="2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some EU member states have instituted new requirements for additional testing of donors that may prevent our obtaining approval of certain products in those member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In 2012 approximately 24% of our products contained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 In 2013, the World Organization for Animal Health (OIE) recommended that the United States risk classification for BSE be upgraded from controlled risk to negligible risk.</w:t>
      </w:r>
    </w:p>
    <w:p>
      <w:pPr>
        <w:spacing w:after="0" w:line="3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EU, Japan, Taiwan, China and Argentina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43"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cannot be certain that our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market acceptance of our bone graft substitutes will depend on our ability to demonstrate that our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adversely affected.</w:t>
      </w:r>
    </w:p>
    <w:p>
      <w:pPr>
        <w:spacing w:after="0" w:line="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against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domestically and internationally. One or more of these factors may vary unpredictably, and such variations could have a material adverse effect on our competitive position. We may not be able to adjust our contemplated plan of development to meet changing market demands.</w:t>
      </w:r>
    </w:p>
    <w:p>
      <w:pPr>
        <w:spacing w:after="0" w:line="35"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ind w:left="980" w:right="40" w:hanging="324"/>
        <w:spacing w:after="0" w:line="25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mentioned above, new legislation, which is intended to expand access to health insurance coverage over time, will result in major changes in the United States healthcare system that could have an adverse effect on our business, including a 2.3% excise tax on U.S. sales of most medical devices, implemented in 2013, which will adversely affect our earnings;</w:t>
      </w:r>
    </w:p>
    <w:p>
      <w:pPr>
        <w:ind w:left="980" w:right="1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spacing w:after="0" w:line="1" w:lineRule="exact"/>
        <w:rPr>
          <w:rFonts w:ascii="Arial" w:cs="Arial" w:eastAsia="Arial" w:hAnsi="Arial"/>
          <w:sz w:val="18"/>
          <w:szCs w:val="18"/>
          <w:color w:val="auto"/>
        </w:rPr>
      </w:pPr>
    </w:p>
    <w:p>
      <w:pPr>
        <w:ind w:left="980" w:right="280" w:hanging="324"/>
        <w:spacing w:after="0" w:line="28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governmental health systems have revised, and continue to consider whether to revise, their payment methodologies, which have resulted and could continue to result in stricter standards for reimbursement of hospital charges for certain medical procedures leading to less government reimbursement, thereby putting downward pricing pressure on our products or rendering some uneconomical;</w:t>
      </w:r>
    </w:p>
    <w:p>
      <w:pPr>
        <w:spacing w:after="0" w:line="2" w:lineRule="exact"/>
        <w:rPr>
          <w:rFonts w:ascii="Arial" w:cs="Arial" w:eastAsia="Arial" w:hAnsi="Arial"/>
          <w:sz w:val="16"/>
          <w:szCs w:val="16"/>
          <w:color w:val="auto"/>
        </w:rPr>
      </w:pPr>
    </w:p>
    <w:p>
      <w:pPr>
        <w:ind w:left="980" w:right="7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Medicare, Medicaid, private and public health insurer and foreign governmental cutbacks could create downward price pressure on our products;</w:t>
      </w:r>
    </w:p>
    <w:p>
      <w:pPr>
        <w:ind w:left="980" w:right="14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United States, local Medicare coverage as well as commercial carrier coverage determinations will eliminate reimbursement or coverage for certain of our matrix wound dressing products as well as other collagen products in most regions, negatively affecting our market for these products, and future determinations could eliminate reimbursement or coverage for these products in other regions and could eliminate reimbursement or coverage for other products;</w:t>
      </w:r>
    </w:p>
    <w:p>
      <w:pPr>
        <w:spacing w:after="0" w:line="1" w:lineRule="exact"/>
        <w:rPr>
          <w:rFonts w:ascii="Arial" w:cs="Arial" w:eastAsia="Arial" w:hAnsi="Arial"/>
          <w:sz w:val="18"/>
          <w:szCs w:val="18"/>
          <w:color w:val="auto"/>
        </w:rPr>
      </w:pPr>
    </w:p>
    <w:p>
      <w:pPr>
        <w:jc w:val="both"/>
        <w:ind w:left="980" w:right="1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United States, 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spacing w:after="0" w:line="1"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jc w:val="both"/>
        <w:ind w:left="980" w:right="1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w:t>
      </w:r>
    </w:p>
    <w:p>
      <w:pPr>
        <w:spacing w:after="0" w:line="1"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growing prevalence of physician-owned distributorships catering to the spinal surgery market has reduced and may continue to reduce our ability to compete effectively for business from surgeons who own such distributorships; and</w:t>
      </w:r>
    </w:p>
    <w:p>
      <w:pPr>
        <w:ind w:left="980" w:right="18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47" w:lineRule="exact"/>
        <w:rPr>
          <w:sz w:val="20"/>
          <w:szCs w:val="20"/>
          <w:color w:val="auto"/>
        </w:rPr>
      </w:pPr>
    </w:p>
    <w:p>
      <w:pPr>
        <w:ind w:left="980" w:right="44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1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Correspondingly, federal and state laws are also sometimes open to interpretation, and from time to time we may find ourselves at a competitive disadvantage if our interpretation differs from that of our competitors. AdvaMed (U.S.), EucoMed (Europe), MEDEC (Canada), and MTAA (Australia), the principal trade associations for the medical device industry, promulgate model codes of ethics that set forth standards by which its members should (and non-member companies may) abide in the promotion of their products; AdvaMed is undergoing initiatives in Latin America and Asia Pacific to develop regional codes of ethics there as well.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state legislation and foreign legislation requires detailed disclosure of gifts and other remuneration made to healthcare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June 30, 2013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July 1, 2013, the Company entered into a Lease Agreement with 109 Morgan Lane, LLC (the “Landlord”) (the “Lease”). The Lease terminates and replaces the prior lease between the Company and the Landlord dated May 15, 2008, as amended. The Company is leasing approximately 58,011 square feet located at 109 Morgan Lane, Plainsboro, New Jersey (the “Premises”) for general office, labs (research &amp; development and/or product development), manufacturing and warehouse purposes. The term of the Lease is for twenty years from July 1, 2013 to June 30, 2033 with a five year renewal option. The rent for the Premises is $585,911 per year, with monthly rent payments of $48,826. Additional payments are also required to be made by the Company to the Landlord consisting of $290,055 per year, with monthly payments of $24,171 for taxes and operating expenses as well as other charges. In addition, pursuant to the Lease, the Landlord agreed to pay the Company (i) $40,000 of the total cost to replace the existing roof on the building and (ii) $100,000 of the total cost to replace all of the existing windows in the building.</w:t>
      </w:r>
    </w:p>
    <w:p>
      <w:pPr>
        <w:spacing w:after="0" w:line="1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Lease is qualified in its entirety by reference to a copy of such Lease which is attached as Exhibit 10.1 to the Current Report on Form 8-K filed July 1, 2013 and is incorporated by reference herein.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9800" w:type="dxa"/>
            <w:vAlign w:val="bottom"/>
          </w:tcPr>
          <w:p>
            <w:pPr>
              <w:ind w:left="140"/>
              <w:spacing w:after="0"/>
              <w:rPr>
                <w:sz w:val="20"/>
                <w:szCs w:val="20"/>
                <w:color w:val="auto"/>
              </w:rPr>
            </w:pPr>
            <w:r>
              <w:rPr>
                <w:rFonts w:ascii="Arial" w:cs="Arial" w:eastAsia="Arial" w:hAnsi="Arial"/>
                <w:sz w:val="18"/>
                <w:szCs w:val="18"/>
                <w:color w:val="auto"/>
                <w:w w:val="89"/>
              </w:rPr>
              <w:t>Second Amendment, dated as of June 21, 2013, to Second Amended and Restated Credit Agreement dated as of June 8, 2011, among</w:t>
            </w:r>
          </w:p>
        </w:tc>
      </w:tr>
      <w:tr>
        <w:trPr>
          <w:trHeight w:val="216"/>
        </w:trPr>
        <w:tc>
          <w:tcPr>
            <w:tcW w:w="100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Integra LifeSciences Holdings Corporation, the lenders party thereto, Bank of America, N.A., as Administrative Agent, Swing Line</w:t>
            </w:r>
          </w:p>
        </w:tc>
      </w:tr>
      <w:tr>
        <w:trPr>
          <w:trHeight w:val="216"/>
        </w:trPr>
        <w:tc>
          <w:tcPr>
            <w:tcW w:w="100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Lender and L/C Issuer, JPMorgan Chase Bank, N.A., as Syndication Agent, and HSBC Bank USA, National Association, Royal Bank</w:t>
            </w:r>
          </w:p>
        </w:tc>
      </w:tr>
      <w:tr>
        <w:trPr>
          <w:trHeight w:val="216"/>
        </w:trPr>
        <w:tc>
          <w:tcPr>
            <w:tcW w:w="100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of Canada, Wells Fargo Bank, National Association, Fifth Third Bank, DNB Bank ASA and TD Bank, N.A., as Co-Documentation</w:t>
            </w:r>
          </w:p>
        </w:tc>
      </w:tr>
      <w:tr>
        <w:trPr>
          <w:trHeight w:val="230"/>
        </w:trPr>
        <w:tc>
          <w:tcPr>
            <w:tcW w:w="100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Agents (Incorporated by reference to Exhibit 4.1 to the Company's Current Report on Form 8-K filed on June 24, 2013)</w:t>
            </w:r>
          </w:p>
        </w:tc>
      </w:tr>
      <w:tr>
        <w:trPr>
          <w:trHeight w:val="742"/>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Lease Agreement dated as of July 1, 2013, between 109 Morgan Lane, LLC and Integra LifeSciences Corporation (Incorporated by</w:t>
            </w:r>
          </w:p>
        </w:tc>
      </w:tr>
      <w:tr>
        <w:trPr>
          <w:trHeight w:val="230"/>
        </w:trPr>
        <w:tc>
          <w:tcPr>
            <w:tcW w:w="100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July 1, 2013)</w:t>
            </w:r>
          </w:p>
        </w:tc>
      </w:tr>
      <w:tr>
        <w:trPr>
          <w:trHeight w:val="75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98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98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right="60" w:hanging="685"/>
        <w:spacing w:after="0" w:line="25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2013 filed on August 1, 2013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91"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Vice President, Finance and Administration,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5"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jc w:val="right"/>
              <w:ind w:right="220"/>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98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r>
        <w:trPr>
          <w:trHeight w:val="439"/>
        </w:trPr>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Table of Contents</w:t>
            </w:r>
          </w:p>
        </w:tc>
        <w:tc>
          <w:tcPr>
            <w:tcW w:w="9800" w:type="dxa"/>
            <w:vAlign w:val="bottom"/>
          </w:tcPr>
          <w:p>
            <w:pPr>
              <w:spacing w:after="0"/>
              <w:rPr>
                <w:sz w:val="24"/>
                <w:szCs w:val="24"/>
                <w:color w:val="auto"/>
              </w:rPr>
            </w:pPr>
          </w:p>
        </w:tc>
      </w:tr>
      <w:tr>
        <w:trPr>
          <w:trHeight w:val="588"/>
        </w:trPr>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Exhibits</w:t>
            </w:r>
          </w:p>
        </w:tc>
        <w:tc>
          <w:tcPr>
            <w:tcW w:w="14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580"/>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89"/>
              </w:rPr>
              <w:t>Second Amendment, dated as of June 21, 2013, to Second Amended and Restated Credit Agreement dated as of June 8, 2011, among</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Integra LifeSciences Holdings Corporation, the lenders party thereto, Bank of America, N.A., as Administrative Agent, Swing Line</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Lender and L/C Issuer, JPMorgan Chase Bank, N.A., as Syndication Agent, and HSBC Bank USA, National Association, Royal Bank</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of Canada, Wells Fargo Bank, National Association, Fifth Third Bank, DNB Bank ASA and TD Bank, N.A., as Co-Documentation</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Agents (Incorporated by reference to Exhibit 4.1 to the Company's Current Report on Form 8-K filed on June 24, 2013)</w:t>
            </w:r>
          </w:p>
        </w:tc>
      </w:tr>
      <w:tr>
        <w:trPr>
          <w:trHeight w:val="796"/>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Lease Agreement dated as of July 1, 2013, between 109 Morgan Lane, LLC and Integra LifeSciences Corporation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July 1, 2013)</w:t>
            </w:r>
          </w:p>
        </w:tc>
      </w:tr>
      <w:tr>
        <w:trPr>
          <w:trHeight w:val="702"/>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94"/>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98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*†101.SCH</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*†101.CAL</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*†101.DEF</w:t>
            </w:r>
          </w:p>
        </w:tc>
        <w:tc>
          <w:tcPr>
            <w:tcW w:w="98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*†101.LAB</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94"/>
        </w:trPr>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*†101.PRE</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right="60" w:hanging="685"/>
        <w:spacing w:after="0" w:line="25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2013 filed on August 1, 2013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108"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1,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1,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right="4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1,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John B. Henneman, III, Corporate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1,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1)"/>
      <w:numFmt w:val="lowerLetter"/>
      <w:start w:val="24"/>
    </w:lvl>
  </w:abstractNum>
  <w:abstractNum w:abstractNumId="7">
    <w:nsid w:val="519B500D"/>
    <w:multiLevelType w:val="hybridMultilevel"/>
    <w:lvl w:ilvl="0">
      <w:lvlJc w:val="left"/>
      <w:lvlText w:val="(%1)"/>
      <w:numFmt w:val="lowerLetter"/>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2"/>
    </w:lvl>
  </w:abstractNum>
  <w:abstractNum w:abstractNumId="10">
    <w:nsid w:val="7C83E458"/>
    <w:multiLevelType w:val="hybridMultilevel"/>
    <w:lvl w:ilvl="0">
      <w:lvlJc w:val="left"/>
      <w:lvlText w:val="(%1)"/>
      <w:numFmt w:val="lowerRoman"/>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Roman"/>
      <w:start w:val="10"/>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2019-12-06T10:37:51Z</dcterms:created>
  <dcterms:modified xsi:type="dcterms:W3CDTF">2019-12-06T10:37:51Z</dcterms:modified>
</cp:coreProperties>
</file>