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17"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80" w:hanging="443"/>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99"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680" w:hanging="443"/>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352" w:lineRule="exact"/>
        <w:rPr>
          <w:sz w:val="24"/>
          <w:szCs w:val="24"/>
          <w:color w:val="auto"/>
        </w:rPr>
      </w:pPr>
    </w:p>
    <w:p>
      <w:pPr>
        <w:ind w:left="394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34" w:lineRule="exact"/>
        <w:rPr>
          <w:sz w:val="24"/>
          <w:szCs w:val="24"/>
          <w:color w:val="auto"/>
        </w:rPr>
      </w:pPr>
    </w:p>
    <w:tbl>
      <w:tblPr>
        <w:tblLayout w:type="fixed"/>
        <w:tblInd w:w="440" w:type="dxa"/>
        <w:tblCellMar>
          <w:top w:w="0" w:type="dxa"/>
          <w:left w:w="0" w:type="dxa"/>
          <w:bottom w:w="0" w:type="dxa"/>
          <w:right w:w="0" w:type="dxa"/>
        </w:tblCellMar>
      </w:tblPr>
      <w:tr>
        <w:trPr>
          <w:trHeight w:val="225"/>
        </w:trPr>
        <w:tc>
          <w:tcPr>
            <w:tcW w:w="2740" w:type="dxa"/>
            <w:vAlign w:val="bottom"/>
          </w:tcPr>
          <w:p>
            <w:pPr>
              <w:jc w:val="center"/>
              <w:ind w:left="1859"/>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tcPr>
          <w:p>
            <w:pPr>
              <w:spacing w:after="0"/>
              <w:rPr>
                <w:sz w:val="19"/>
                <w:szCs w:val="19"/>
                <w:color w:val="auto"/>
              </w:rPr>
            </w:pPr>
          </w:p>
        </w:tc>
        <w:tc>
          <w:tcPr>
            <w:tcW w:w="4740" w:type="dxa"/>
            <w:vAlign w:val="bottom"/>
          </w:tcPr>
          <w:p>
            <w:pPr>
              <w:jc w:val="right"/>
              <w:ind w:right="1620"/>
              <w:spacing w:after="0"/>
              <w:rPr>
                <w:sz w:val="20"/>
                <w:szCs w:val="20"/>
                <w:color w:val="auto"/>
              </w:rPr>
            </w:pPr>
            <w:r>
              <w:rPr>
                <w:rFonts w:ascii="Arial" w:cs="Arial" w:eastAsia="Arial" w:hAnsi="Arial"/>
                <w:sz w:val="18"/>
                <w:szCs w:val="18"/>
                <w:b w:val="1"/>
                <w:bCs w:val="1"/>
                <w:color w:val="auto"/>
              </w:rPr>
              <w:t>51-0317849</w:t>
            </w:r>
          </w:p>
        </w:tc>
        <w:tc>
          <w:tcPr>
            <w:tcW w:w="0" w:type="dxa"/>
            <w:vAlign w:val="bottom"/>
          </w:tcPr>
          <w:p>
            <w:pPr>
              <w:spacing w:after="0"/>
              <w:rPr>
                <w:sz w:val="1"/>
                <w:szCs w:val="1"/>
                <w:color w:val="auto"/>
              </w:rPr>
            </w:pPr>
          </w:p>
        </w:tc>
      </w:tr>
      <w:tr>
        <w:trPr>
          <w:trHeight w:val="144"/>
        </w:trPr>
        <w:tc>
          <w:tcPr>
            <w:tcW w:w="5480" w:type="dxa"/>
            <w:vAlign w:val="bottom"/>
            <w:gridSpan w:val="2"/>
          </w:tcPr>
          <w:p>
            <w:pPr>
              <w:jc w:val="center"/>
              <w:ind w:right="699"/>
              <w:spacing w:after="0" w:line="145" w:lineRule="exact"/>
              <w:rPr>
                <w:sz w:val="20"/>
                <w:szCs w:val="20"/>
                <w:color w:val="auto"/>
              </w:rPr>
            </w:pPr>
            <w:r>
              <w:rPr>
                <w:rFonts w:ascii="Arial" w:cs="Arial" w:eastAsia="Arial" w:hAnsi="Arial"/>
                <w:sz w:val="14"/>
                <w:szCs w:val="14"/>
                <w:b w:val="1"/>
                <w:bCs w:val="1"/>
                <w:color w:val="auto"/>
              </w:rPr>
              <w:t>(STATE OR OTHER JURISDICTION OF</w:t>
            </w:r>
          </w:p>
        </w:tc>
        <w:tc>
          <w:tcPr>
            <w:tcW w:w="4740" w:type="dxa"/>
            <w:vAlign w:val="bottom"/>
          </w:tcPr>
          <w:p>
            <w:pPr>
              <w:jc w:val="center"/>
              <w:ind w:left="400"/>
              <w:spacing w:after="0" w:line="145"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5480" w:type="dxa"/>
            <w:vAlign w:val="bottom"/>
            <w:gridSpan w:val="2"/>
          </w:tcPr>
          <w:p>
            <w:pPr>
              <w:jc w:val="center"/>
              <w:ind w:right="719"/>
              <w:spacing w:after="0"/>
              <w:rPr>
                <w:sz w:val="20"/>
                <w:szCs w:val="20"/>
                <w:color w:val="auto"/>
              </w:rPr>
            </w:pPr>
            <w:r>
              <w:rPr>
                <w:rFonts w:ascii="Arial" w:cs="Arial" w:eastAsia="Arial" w:hAnsi="Arial"/>
                <w:sz w:val="14"/>
                <w:szCs w:val="14"/>
                <w:b w:val="1"/>
                <w:bCs w:val="1"/>
                <w:color w:val="auto"/>
              </w:rPr>
              <w:t>INCORPORATION OR ORGANIZATION)</w:t>
            </w:r>
          </w:p>
        </w:tc>
        <w:tc>
          <w:tcPr>
            <w:tcW w:w="4740" w:type="dxa"/>
            <w:vAlign w:val="bottom"/>
          </w:tcPr>
          <w:p>
            <w:pPr>
              <w:jc w:val="center"/>
              <w:ind w:left="380"/>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497"/>
        </w:trPr>
        <w:tc>
          <w:tcPr>
            <w:tcW w:w="5480" w:type="dxa"/>
            <w:vAlign w:val="bottom"/>
            <w:gridSpan w:val="2"/>
          </w:tcPr>
          <w:p>
            <w:pPr>
              <w:jc w:val="center"/>
              <w:ind w:right="719"/>
              <w:spacing w:after="0"/>
              <w:rPr>
                <w:sz w:val="20"/>
                <w:szCs w:val="20"/>
                <w:color w:val="auto"/>
              </w:rPr>
            </w:pPr>
            <w:r>
              <w:rPr>
                <w:rFonts w:ascii="Arial" w:cs="Arial" w:eastAsia="Arial" w:hAnsi="Arial"/>
                <w:sz w:val="18"/>
                <w:szCs w:val="18"/>
                <w:b w:val="1"/>
                <w:bCs w:val="1"/>
                <w:color w:val="auto"/>
                <w:w w:val="89"/>
              </w:rPr>
              <w:t>1100 Campus Road</w:t>
            </w:r>
          </w:p>
        </w:tc>
        <w:tc>
          <w:tcPr>
            <w:tcW w:w="4740" w:type="dxa"/>
            <w:vAlign w:val="bottom"/>
          </w:tcPr>
          <w:p>
            <w:pPr>
              <w:jc w:val="right"/>
              <w:ind w:right="1820"/>
              <w:spacing w:after="0"/>
              <w:rPr>
                <w:sz w:val="20"/>
                <w:szCs w:val="20"/>
                <w:color w:val="auto"/>
              </w:rPr>
            </w:pPr>
            <w:r>
              <w:rPr>
                <w:rFonts w:ascii="Arial" w:cs="Arial" w:eastAsia="Arial" w:hAnsi="Arial"/>
                <w:sz w:val="18"/>
                <w:szCs w:val="18"/>
                <w:b w:val="1"/>
                <w:bCs w:val="1"/>
                <w:color w:val="auto"/>
              </w:rPr>
              <w:t>08540</w:t>
            </w:r>
          </w:p>
        </w:tc>
        <w:tc>
          <w:tcPr>
            <w:tcW w:w="0" w:type="dxa"/>
            <w:vAlign w:val="bottom"/>
          </w:tcPr>
          <w:p>
            <w:pPr>
              <w:spacing w:after="0"/>
              <w:rPr>
                <w:sz w:val="1"/>
                <w:szCs w:val="1"/>
                <w:color w:val="auto"/>
              </w:rPr>
            </w:pPr>
          </w:p>
        </w:tc>
      </w:tr>
      <w:tr>
        <w:trPr>
          <w:trHeight w:val="225"/>
        </w:trPr>
        <w:tc>
          <w:tcPr>
            <w:tcW w:w="5480" w:type="dxa"/>
            <w:vAlign w:val="bottom"/>
            <w:gridSpan w:val="2"/>
          </w:tcPr>
          <w:p>
            <w:pPr>
              <w:ind w:left="1480"/>
              <w:spacing w:after="0"/>
              <w:rPr>
                <w:sz w:val="20"/>
                <w:szCs w:val="20"/>
                <w:color w:val="auto"/>
              </w:rPr>
            </w:pPr>
            <w:r>
              <w:rPr>
                <w:rFonts w:ascii="Arial" w:cs="Arial" w:eastAsia="Arial" w:hAnsi="Arial"/>
                <w:sz w:val="18"/>
                <w:szCs w:val="18"/>
                <w:b w:val="1"/>
                <w:bCs w:val="1"/>
                <w:color w:val="auto"/>
              </w:rPr>
              <w:t>Princeton ,  New Jersey</w:t>
            </w:r>
          </w:p>
        </w:tc>
        <w:tc>
          <w:tcPr>
            <w:tcW w:w="4740" w:type="dxa"/>
            <w:vAlign w:val="bottom"/>
            <w:vMerge w:val="restart"/>
          </w:tcPr>
          <w:p>
            <w:pPr>
              <w:jc w:val="center"/>
              <w:ind w:left="400"/>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78"/>
        </w:trPr>
        <w:tc>
          <w:tcPr>
            <w:tcW w:w="5480" w:type="dxa"/>
            <w:vAlign w:val="bottom"/>
            <w:gridSpan w:val="2"/>
            <w:vMerge w:val="restart"/>
          </w:tcPr>
          <w:p>
            <w:pPr>
              <w:jc w:val="center"/>
              <w:ind w:right="699"/>
              <w:spacing w:after="0"/>
              <w:rPr>
                <w:sz w:val="20"/>
                <w:szCs w:val="20"/>
                <w:color w:val="auto"/>
              </w:rPr>
            </w:pPr>
            <w:r>
              <w:rPr>
                <w:rFonts w:ascii="Arial" w:cs="Arial" w:eastAsia="Arial" w:hAnsi="Arial"/>
                <w:sz w:val="14"/>
                <w:szCs w:val="14"/>
                <w:b w:val="1"/>
                <w:bCs w:val="1"/>
                <w:color w:val="auto"/>
              </w:rPr>
              <w:t>(ADDRESS OF PRINCIPAL EXECUTIVE OFFICES)</w:t>
            </w:r>
          </w:p>
        </w:tc>
        <w:tc>
          <w:tcPr>
            <w:tcW w:w="4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5480" w:type="dxa"/>
            <w:vAlign w:val="bottom"/>
            <w:gridSpan w:val="2"/>
            <w:vMerge w:val="continue"/>
          </w:tcPr>
          <w:p>
            <w:pPr>
              <w:spacing w:after="0"/>
              <w:rPr>
                <w:sz w:val="9"/>
                <w:szCs w:val="9"/>
                <w:color w:val="auto"/>
              </w:rPr>
            </w:pPr>
          </w:p>
        </w:tc>
        <w:tc>
          <w:tcPr>
            <w:tcW w:w="4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2"/>
        </w:trPr>
        <w:tc>
          <w:tcPr>
            <w:tcW w:w="2740" w:type="dxa"/>
            <w:vAlign w:val="bottom"/>
          </w:tcPr>
          <w:p>
            <w:pPr>
              <w:spacing w:after="0"/>
              <w:rPr>
                <w:sz w:val="24"/>
                <w:szCs w:val="24"/>
                <w:color w:val="auto"/>
              </w:rPr>
            </w:pPr>
          </w:p>
        </w:tc>
        <w:tc>
          <w:tcPr>
            <w:tcW w:w="7480" w:type="dxa"/>
            <w:vAlign w:val="bottom"/>
            <w:gridSpan w:val="2"/>
          </w:tcPr>
          <w:p>
            <w:pPr>
              <w:jc w:val="center"/>
              <w:ind w:right="2500"/>
              <w:spacing w:after="0"/>
              <w:rPr>
                <w:sz w:val="20"/>
                <w:szCs w:val="20"/>
                <w:color w:val="auto"/>
              </w:rPr>
            </w:pPr>
            <w:r>
              <w:rPr>
                <w:rFonts w:ascii="Arial" w:cs="Arial" w:eastAsia="Arial" w:hAnsi="Arial"/>
                <w:sz w:val="16"/>
                <w:szCs w:val="16"/>
                <w:b w:val="1"/>
                <w:bCs w:val="1"/>
                <w:color w:val="auto"/>
                <w:w w:val="91"/>
              </w:rPr>
              <w:t>Registrant's Telephone Number, Including Area Code: (609) 275-0500</w:t>
            </w:r>
          </w:p>
        </w:tc>
        <w:tc>
          <w:tcPr>
            <w:tcW w:w="0" w:type="dxa"/>
            <w:vAlign w:val="bottom"/>
          </w:tcPr>
          <w:p>
            <w:pPr>
              <w:spacing w:after="0"/>
              <w:rPr>
                <w:sz w:val="1"/>
                <w:szCs w:val="1"/>
                <w:color w:val="auto"/>
              </w:rPr>
            </w:pPr>
          </w:p>
        </w:tc>
      </w:tr>
      <w:tr>
        <w:trPr>
          <w:trHeight w:val="297"/>
        </w:trPr>
        <w:tc>
          <w:tcPr>
            <w:tcW w:w="10220" w:type="dxa"/>
            <w:vAlign w:val="bottom"/>
            <w:gridSpan w:val="3"/>
          </w:tcPr>
          <w:p>
            <w:pPr>
              <w:jc w:val="center"/>
              <w:ind w:left="59"/>
              <w:spacing w:after="0"/>
              <w:rPr>
                <w:sz w:val="20"/>
                <w:szCs w:val="20"/>
                <w:color w:val="auto"/>
              </w:rPr>
            </w:pPr>
            <w:r>
              <w:rPr>
                <w:rFonts w:ascii="Arial" w:cs="Arial" w:eastAsia="Arial" w:hAnsi="Arial"/>
                <w:sz w:val="16"/>
                <w:szCs w:val="16"/>
                <w:b w:val="1"/>
                <w:bCs w:val="1"/>
                <w:color w:val="auto"/>
                <w:w w:val="92"/>
              </w:rPr>
              <w:t>Former Name, Former Address and Former Fiscal Year, if Changed Since Last Report:</w:t>
            </w: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4"/>
                <w:szCs w:val="24"/>
                <w:color w:val="auto"/>
              </w:rPr>
            </w:pPr>
          </w:p>
        </w:tc>
        <w:tc>
          <w:tcPr>
            <w:tcW w:w="7480" w:type="dxa"/>
            <w:vAlign w:val="bottom"/>
            <w:gridSpan w:val="2"/>
          </w:tcPr>
          <w:p>
            <w:pPr>
              <w:jc w:val="center"/>
              <w:ind w:right="252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0" w:type="dxa"/>
            <w:vAlign w:val="bottom"/>
          </w:tcPr>
          <w:p>
            <w:pPr>
              <w:spacing w:after="0"/>
              <w:rPr>
                <w:sz w:val="1"/>
                <w:szCs w:val="1"/>
                <w:color w:val="auto"/>
              </w:rPr>
            </w:pPr>
          </w:p>
        </w:tc>
      </w:tr>
      <w:tr>
        <w:trPr>
          <w:trHeight w:val="338"/>
        </w:trPr>
        <w:tc>
          <w:tcPr>
            <w:tcW w:w="2740" w:type="dxa"/>
            <w:vAlign w:val="bottom"/>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740" w:type="dxa"/>
            <w:vAlign w:val="bottom"/>
          </w:tcPr>
          <w:p>
            <w:pPr>
              <w:jc w:val="center"/>
              <w:ind w:left="219"/>
              <w:spacing w:after="0"/>
              <w:rPr>
                <w:sz w:val="20"/>
                <w:szCs w:val="20"/>
                <w:color w:val="auto"/>
              </w:rPr>
            </w:pPr>
            <w:r>
              <w:rPr>
                <w:rFonts w:ascii="Arial" w:cs="Arial" w:eastAsia="Arial" w:hAnsi="Arial"/>
                <w:sz w:val="16"/>
                <w:szCs w:val="16"/>
                <w:b w:val="1"/>
                <w:bCs w:val="1"/>
                <w:color w:val="auto"/>
              </w:rPr>
              <w:t>TRADING SYMBOL</w:t>
            </w:r>
          </w:p>
        </w:tc>
        <w:tc>
          <w:tcPr>
            <w:tcW w:w="4740" w:type="dxa"/>
            <w:vAlign w:val="bottom"/>
          </w:tcPr>
          <w:p>
            <w:pPr>
              <w:jc w:val="center"/>
              <w:ind w:left="380"/>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6"/>
        </w:trPr>
        <w:tc>
          <w:tcPr>
            <w:tcW w:w="2740" w:type="dxa"/>
            <w:vAlign w:val="bottom"/>
          </w:tcPr>
          <w:p>
            <w:pPr>
              <w:jc w:val="center"/>
              <w:spacing w:after="0"/>
              <w:rPr>
                <w:sz w:val="20"/>
                <w:szCs w:val="20"/>
                <w:color w:val="auto"/>
              </w:rPr>
            </w:pPr>
            <w:r>
              <w:rPr>
                <w:rFonts w:ascii="Arial" w:cs="Arial" w:eastAsia="Arial" w:hAnsi="Arial"/>
                <w:sz w:val="16"/>
                <w:szCs w:val="16"/>
                <w:color w:val="auto"/>
                <w:w w:val="90"/>
              </w:rPr>
              <w:t>Common Stock, Par Value $.01 Per Share</w:t>
            </w:r>
          </w:p>
        </w:tc>
        <w:tc>
          <w:tcPr>
            <w:tcW w:w="2740" w:type="dxa"/>
            <w:vAlign w:val="bottom"/>
          </w:tcPr>
          <w:p>
            <w:pPr>
              <w:jc w:val="center"/>
              <w:ind w:left="219"/>
              <w:spacing w:after="0"/>
              <w:rPr>
                <w:sz w:val="20"/>
                <w:szCs w:val="20"/>
                <w:color w:val="auto"/>
              </w:rPr>
            </w:pPr>
            <w:r>
              <w:rPr>
                <w:rFonts w:ascii="Arial" w:cs="Arial" w:eastAsia="Arial" w:hAnsi="Arial"/>
                <w:sz w:val="16"/>
                <w:szCs w:val="16"/>
                <w:color w:val="auto"/>
                <w:w w:val="98"/>
              </w:rPr>
              <w:t>IART</w:t>
            </w:r>
          </w:p>
        </w:tc>
        <w:tc>
          <w:tcPr>
            <w:tcW w:w="4740" w:type="dxa"/>
            <w:vAlign w:val="bottom"/>
          </w:tcPr>
          <w:p>
            <w:pPr>
              <w:jc w:val="center"/>
              <w:ind w:left="380"/>
              <w:spacing w:after="0"/>
              <w:rPr>
                <w:sz w:val="20"/>
                <w:szCs w:val="20"/>
                <w:color w:val="auto"/>
              </w:rPr>
            </w:pPr>
            <w:r>
              <w:rPr>
                <w:rFonts w:ascii="Arial" w:cs="Arial" w:eastAsia="Arial" w:hAnsi="Arial"/>
                <w:sz w:val="16"/>
                <w:szCs w:val="16"/>
                <w:color w:val="auto"/>
                <w:w w:val="92"/>
              </w:rPr>
              <w:t>Nasdaq Global Select Market</w:t>
            </w:r>
          </w:p>
        </w:tc>
        <w:tc>
          <w:tcPr>
            <w:tcW w:w="0" w:type="dxa"/>
            <w:vAlign w:val="bottom"/>
          </w:tcPr>
          <w:p>
            <w:pPr>
              <w:spacing w:after="0"/>
              <w:rPr>
                <w:sz w:val="1"/>
                <w:szCs w:val="1"/>
                <w:color w:val="auto"/>
              </w:rPr>
            </w:pPr>
          </w:p>
        </w:tc>
      </w:tr>
    </w:tbl>
    <w:p>
      <w:pPr>
        <w:spacing w:after="0" w:line="293"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20"/>
        <w:spacing w:after="0" w:line="184" w:lineRule="exact"/>
        <w:tabs>
          <w:tab w:leader="none" w:pos="7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40"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8" w:lineRule="exact"/>
        <w:rPr>
          <w:sz w:val="24"/>
          <w:szCs w:val="24"/>
          <w:color w:val="auto"/>
        </w:rPr>
      </w:pPr>
    </w:p>
    <w:p>
      <w:pPr>
        <w:jc w:val="both"/>
        <w:ind w:right="26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4"/>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5"/>
        </w:trPr>
        <w:tc>
          <w:tcPr>
            <w:tcW w:w="22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302" w:lineRule="exact"/>
        <w:rPr>
          <w:sz w:val="20"/>
          <w:szCs w:val="20"/>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0"/>
          <w:szCs w:val="20"/>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43"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July 27, 2021 was 84,579,542.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360" w:type="dxa"/>
            <w:vAlign w:val="bottom"/>
            <w:gridSpan w:val="8"/>
          </w:tcPr>
          <w:p>
            <w:pPr>
              <w:jc w:val="center"/>
              <w:ind w:right="1340"/>
              <w:spacing w:after="0"/>
              <w:rPr>
                <w:sz w:val="20"/>
                <w:szCs w:val="20"/>
                <w:color w:val="auto"/>
              </w:rPr>
            </w:pPr>
            <w:r>
              <w:rPr>
                <w:rFonts w:ascii="Arial" w:cs="Arial" w:eastAsia="Arial" w:hAnsi="Arial"/>
                <w:sz w:val="18"/>
                <w:szCs w:val="18"/>
                <w:b w:val="1"/>
                <w:bCs w:val="1"/>
                <w:color w:val="auto"/>
              </w:rPr>
              <w:t>INTEGRA LIFESCIENCES HOLDINGS CORPORATION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40" w:type="dxa"/>
            <w:vAlign w:val="bottom"/>
            <w:gridSpan w:val="6"/>
          </w:tcPr>
          <w:p>
            <w:pPr>
              <w:jc w:val="center"/>
              <w:ind w:right="3160"/>
              <w:spacing w:after="0"/>
              <w:rPr>
                <w:sz w:val="20"/>
                <w:szCs w:val="20"/>
                <w:color w:val="auto"/>
              </w:rPr>
            </w:pPr>
            <w:r>
              <w:rPr>
                <w:rFonts w:ascii="Arial" w:cs="Arial" w:eastAsia="Arial" w:hAnsi="Arial"/>
                <w:sz w:val="18"/>
                <w:szCs w:val="18"/>
                <w:b w:val="1"/>
                <w:bCs w:val="1"/>
                <w:color w:val="auto"/>
              </w:rPr>
              <w:t>INDEX</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5"/>
              </w:rPr>
              <w:t>Number</w:t>
            </w:r>
          </w:p>
        </w:tc>
        <w:tc>
          <w:tcPr>
            <w:tcW w:w="0" w:type="dxa"/>
            <w:vAlign w:val="bottom"/>
          </w:tcPr>
          <w:p>
            <w:pPr>
              <w:spacing w:after="0"/>
              <w:rPr>
                <w:sz w:val="1"/>
                <w:szCs w:val="1"/>
                <w:color w:val="auto"/>
              </w:rPr>
            </w:pPr>
          </w:p>
        </w:tc>
      </w:tr>
      <w:tr>
        <w:trPr>
          <w:trHeight w:val="161"/>
        </w:trPr>
        <w:tc>
          <w:tcPr>
            <w:tcW w:w="2600" w:type="dxa"/>
            <w:vAlign w:val="bottom"/>
            <w:tcBorders>
              <w:bottom w:val="single" w:sz="8" w:color="0000FF"/>
            </w:tcBorders>
            <w:gridSpan w:val="12"/>
          </w:tcPr>
          <w:p>
            <w:pPr>
              <w:spacing w:after="0" w:line="161" w:lineRule="exact"/>
              <w:rPr>
                <w:rFonts w:ascii="Arial" w:cs="Arial" w:eastAsia="Arial" w:hAnsi="Arial"/>
                <w:sz w:val="16"/>
                <w:szCs w:val="16"/>
                <w:color w:val="0000FF"/>
                <w:w w:val="99"/>
              </w:rPr>
            </w:pPr>
            <w:hyperlink w:anchor="page3">
              <w:r>
                <w:rPr>
                  <w:rFonts w:ascii="Arial" w:cs="Arial" w:eastAsia="Arial" w:hAnsi="Arial"/>
                  <w:sz w:val="16"/>
                  <w:szCs w:val="16"/>
                  <w:color w:val="0000FF"/>
                  <w:w w:val="99"/>
                </w:rPr>
                <w:t>PART I. FINANCIAL INFORMATION</w:t>
              </w:r>
            </w:hyperlink>
          </w:p>
        </w:tc>
        <w:tc>
          <w:tcPr>
            <w:tcW w:w="7360" w:type="dxa"/>
            <w:vAlign w:val="bottom"/>
            <w:gridSpan w:val="8"/>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860" w:type="dxa"/>
            <w:vAlign w:val="bottom"/>
            <w:tcBorders>
              <w:bottom w:val="single" w:sz="8" w:color="0000FF"/>
            </w:tcBorders>
            <w:gridSpan w:val="9"/>
          </w:tcPr>
          <w:p>
            <w:pPr>
              <w:spacing w:after="0"/>
              <w:rPr>
                <w:rFonts w:ascii="Arial" w:cs="Arial" w:eastAsia="Arial" w:hAnsi="Arial"/>
                <w:sz w:val="16"/>
                <w:szCs w:val="16"/>
                <w:color w:val="0000FF"/>
                <w:w w:val="90"/>
              </w:rPr>
            </w:pPr>
            <w:hyperlink w:anchor="page4">
              <w:r>
                <w:rPr>
                  <w:rFonts w:ascii="Arial" w:cs="Arial" w:eastAsia="Arial" w:hAnsi="Arial"/>
                  <w:sz w:val="16"/>
                  <w:szCs w:val="16"/>
                  <w:color w:val="0000FF"/>
                  <w:w w:val="90"/>
                </w:rPr>
                <w:t>Item 1. Financial Statements</w:t>
              </w:r>
            </w:hyperlink>
          </w:p>
        </w:tc>
        <w:tc>
          <w:tcPr>
            <w:tcW w:w="8100" w:type="dxa"/>
            <w:vAlign w:val="bottom"/>
            <w:gridSpan w:val="11"/>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60" w:type="dxa"/>
            <w:vAlign w:val="bottom"/>
            <w:gridSpan w:val="20"/>
          </w:tcPr>
          <w:p>
            <w:pPr>
              <w:spacing w:after="0"/>
              <w:rPr>
                <w:rFonts w:ascii="Arial" w:cs="Arial" w:eastAsia="Arial" w:hAnsi="Arial"/>
                <w:sz w:val="16"/>
                <w:szCs w:val="16"/>
                <w:color w:val="0000FF"/>
                <w:w w:val="95"/>
              </w:rPr>
            </w:pPr>
            <w:hyperlink w:anchor="page4">
              <w:r>
                <w:rPr>
                  <w:rFonts w:ascii="Arial" w:cs="Arial" w:eastAsia="Arial" w:hAnsi="Arial"/>
                  <w:sz w:val="16"/>
                  <w:szCs w:val="16"/>
                  <w:color w:val="0000FF"/>
                  <w:w w:val="95"/>
                </w:rPr>
                <w:t>Condensed Consolidated Statements of Operations and Comprehensive Income/Loss for the three and six months ended June 30, 2021 and 2020</w:t>
              </w:r>
            </w:hyperlink>
          </w:p>
        </w:tc>
        <w:tc>
          <w:tcPr>
            <w:tcW w:w="1240" w:type="dxa"/>
            <w:vAlign w:val="bottom"/>
            <w:gridSpan w:val="3"/>
            <w:vMerge w:val="restart"/>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93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w:anchor="page4">
              <w:r>
                <w:rPr>
                  <w:rFonts w:ascii="Arial" w:cs="Arial" w:eastAsia="Arial" w:hAnsi="Arial"/>
                  <w:sz w:val="16"/>
                  <w:szCs w:val="16"/>
                  <w:color w:val="0000FF"/>
                </w:rPr>
                <w:t>(Unaudited)</w:t>
              </w:r>
            </w:hyperlink>
          </w:p>
        </w:tc>
        <w:tc>
          <w:tcPr>
            <w:tcW w:w="5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89"/>
              </w:rPr>
              <w:t>Condensed Consolidated Balance Sheets as of June 30, 2021 and December 31, 2020 (Unaudited)</w:t>
            </w:r>
          </w:p>
        </w:tc>
        <w:tc>
          <w:tcPr>
            <w:tcW w:w="3600" w:type="dxa"/>
            <w:vAlign w:val="bottom"/>
            <w:gridSpan w:val="4"/>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0000FF"/>
            </w:tcBorders>
            <w:gridSpan w:val="17"/>
          </w:tcPr>
          <w:p>
            <w:pPr>
              <w:spacing w:after="0"/>
              <w:rPr>
                <w:rFonts w:ascii="Arial" w:cs="Arial" w:eastAsia="Arial" w:hAnsi="Arial"/>
                <w:sz w:val="16"/>
                <w:szCs w:val="16"/>
                <w:color w:val="0000FF"/>
                <w:w w:val="90"/>
              </w:rPr>
            </w:pPr>
            <w:hyperlink w:anchor="page5">
              <w:r>
                <w:rPr>
                  <w:rFonts w:ascii="Arial" w:cs="Arial" w:eastAsia="Arial" w:hAnsi="Arial"/>
                  <w:sz w:val="16"/>
                  <w:szCs w:val="16"/>
                  <w:color w:val="0000FF"/>
                  <w:w w:val="90"/>
                </w:rPr>
                <w:t xml:space="preserve">Condensed Consolidated Statements of Cash Flows for the six months ended June </w:t>
              </w:r>
            </w:hyperlink>
            <w:r>
              <w:rPr>
                <w:rFonts w:ascii="Arial" w:cs="Arial" w:eastAsia="Arial" w:hAnsi="Arial"/>
                <w:sz w:val="16"/>
                <w:szCs w:val="16"/>
                <w:color w:val="0000FF"/>
                <w:w w:val="90"/>
              </w:rPr>
              <w:t xml:space="preserve">30, </w:t>
            </w:r>
            <w:hyperlink w:anchor="page5">
              <w:r>
                <w:rPr>
                  <w:rFonts w:ascii="Arial" w:cs="Arial" w:eastAsia="Arial" w:hAnsi="Arial"/>
                  <w:sz w:val="16"/>
                  <w:szCs w:val="16"/>
                  <w:color w:val="0000FF"/>
                  <w:w w:val="90"/>
                </w:rPr>
                <w:t>2021 and 2020 (Unaudited)</w:t>
              </w:r>
            </w:hyperlink>
          </w:p>
        </w:tc>
        <w:tc>
          <w:tcPr>
            <w:tcW w:w="2560" w:type="dxa"/>
            <w:vAlign w:val="bottom"/>
            <w:gridSpan w:val="3"/>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60" w:type="dxa"/>
            <w:vAlign w:val="bottom"/>
            <w:gridSpan w:val="20"/>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 xml:space="preserve">Condensed Consolidated Statements of Changes in Shareholder's Equity for the </w:t>
              </w:r>
            </w:hyperlink>
            <w:r>
              <w:rPr>
                <w:rFonts w:ascii="Arial" w:cs="Arial" w:eastAsia="Arial" w:hAnsi="Arial"/>
                <w:sz w:val="16"/>
                <w:szCs w:val="16"/>
                <w:color w:val="0000FF"/>
              </w:rPr>
              <w:t xml:space="preserve">six </w:t>
            </w:r>
            <w:hyperlink w:anchor="page6">
              <w:r>
                <w:rPr>
                  <w:rFonts w:ascii="Arial" w:cs="Arial" w:eastAsia="Arial" w:hAnsi="Arial"/>
                  <w:sz w:val="16"/>
                  <w:szCs w:val="16"/>
                  <w:color w:val="0000FF"/>
                </w:rPr>
                <w:t>months ended June 30, 2021 and 2020 (Unaudited)</w:t>
              </w:r>
            </w:hyperlink>
          </w:p>
        </w:tc>
        <w:tc>
          <w:tcPr>
            <w:tcW w:w="124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20" w:type="dxa"/>
            <w:vAlign w:val="bottom"/>
            <w:tcBorders>
              <w:top w:val="single" w:sz="8" w:color="0000FF"/>
              <w:bottom w:val="single" w:sz="8" w:color="0000FF"/>
            </w:tcBorders>
            <w:gridSpan w:val="13"/>
          </w:tcPr>
          <w:p>
            <w:pPr>
              <w:spacing w:after="0"/>
              <w:rPr>
                <w:rFonts w:ascii="Arial" w:cs="Arial" w:eastAsia="Arial" w:hAnsi="Arial"/>
                <w:sz w:val="16"/>
                <w:szCs w:val="16"/>
                <w:color w:val="0000FF"/>
                <w:w w:val="90"/>
              </w:rPr>
            </w:pPr>
            <w:hyperlink w:anchor="page7">
              <w:r>
                <w:rPr>
                  <w:rFonts w:ascii="Arial" w:cs="Arial" w:eastAsia="Arial" w:hAnsi="Arial"/>
                  <w:sz w:val="16"/>
                  <w:szCs w:val="16"/>
                  <w:color w:val="0000FF"/>
                  <w:w w:val="90"/>
                </w:rPr>
                <w:t>Notes to Unaudited Condensed Consolidated Financial Statements</w:t>
              </w:r>
            </w:hyperlink>
          </w:p>
        </w:tc>
        <w:tc>
          <w:tcPr>
            <w:tcW w:w="4420" w:type="dxa"/>
            <w:vAlign w:val="bottom"/>
            <w:tcBorders>
              <w:top w:val="single" w:sz="8" w:color="0000FF"/>
            </w:tcBorders>
            <w:gridSpan w:val="5"/>
          </w:tcPr>
          <w:p>
            <w:pPr>
              <w:spacing w:after="0"/>
              <w:rPr>
                <w:sz w:val="21"/>
                <w:szCs w:val="21"/>
                <w:color w:val="auto"/>
              </w:rPr>
            </w:pPr>
          </w:p>
        </w:tc>
        <w:tc>
          <w:tcPr>
            <w:tcW w:w="1220" w:type="dxa"/>
            <w:vAlign w:val="bottom"/>
            <w:gridSpan w:val="2"/>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top w:val="single" w:sz="8" w:color="0000FF"/>
              <w:bottom w:val="single" w:sz="8" w:color="0000FF"/>
            </w:tcBorders>
          </w:tcPr>
          <w:p>
            <w:pPr>
              <w:jc w:val="right"/>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20" w:type="dxa"/>
            <w:vAlign w:val="bottom"/>
            <w:tcBorders>
              <w:bottom w:val="single" w:sz="8" w:color="0000FF"/>
            </w:tcBorders>
            <w:gridSpan w:val="15"/>
          </w:tcPr>
          <w:p>
            <w:pPr>
              <w:spacing w:after="0"/>
              <w:rPr>
                <w:rFonts w:ascii="Arial" w:cs="Arial" w:eastAsia="Arial" w:hAnsi="Arial"/>
                <w:sz w:val="16"/>
                <w:szCs w:val="16"/>
                <w:color w:val="0000FF"/>
                <w:w w:val="92"/>
              </w:rPr>
            </w:pPr>
            <w:hyperlink w:anchor="page31">
              <w:r>
                <w:rPr>
                  <w:rFonts w:ascii="Arial" w:cs="Arial" w:eastAsia="Arial" w:hAnsi="Arial"/>
                  <w:sz w:val="16"/>
                  <w:szCs w:val="16"/>
                  <w:color w:val="0000FF"/>
                  <w:w w:val="92"/>
                </w:rPr>
                <w:t>Item 2. Management’s Discussion and Analysis of Financial Condition and Results of Operations</w:t>
              </w:r>
            </w:hyperlink>
          </w:p>
        </w:tc>
        <w:tc>
          <w:tcPr>
            <w:tcW w:w="3640" w:type="dxa"/>
            <w:vAlign w:val="bottom"/>
            <w:gridSpan w:val="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31">
              <w:r>
                <w:rPr>
                  <w:rFonts w:ascii="Arial" w:cs="Arial" w:eastAsia="Arial" w:hAnsi="Arial"/>
                  <w:sz w:val="16"/>
                  <w:szCs w:val="16"/>
                  <w:color w:val="0000FF"/>
                  <w:w w:val="78"/>
                </w:rPr>
                <w:t>32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60" w:type="dxa"/>
            <w:vAlign w:val="bottom"/>
            <w:gridSpan w:val="20"/>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Item 3. Quantitative and Qualitative Disclosures About Market Risk</w:t>
              </w:r>
            </w:hyperlink>
          </w:p>
        </w:tc>
        <w:tc>
          <w:tcPr>
            <w:tcW w:w="1240" w:type="dxa"/>
            <w:vAlign w:val="bottom"/>
            <w:gridSpan w:val="3"/>
          </w:tcPr>
          <w:p>
            <w:pPr>
              <w:jc w:val="right"/>
              <w:spacing w:after="0"/>
              <w:rPr>
                <w:rFonts w:ascii="Arial" w:cs="Arial" w:eastAsia="Arial" w:hAnsi="Arial"/>
                <w:sz w:val="16"/>
                <w:szCs w:val="16"/>
                <w:color w:val="0000FF"/>
              </w:rPr>
            </w:pPr>
            <w:hyperlink w:anchor="page45">
              <w:r>
                <w:rPr>
                  <w:rFonts w:ascii="Arial" w:cs="Arial" w:eastAsia="Arial" w:hAnsi="Arial"/>
                  <w:sz w:val="16"/>
                  <w:szCs w:val="16"/>
                  <w:color w:val="0000FF"/>
                </w:rPr>
                <w:t>46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top w:val="single" w:sz="8" w:color="0000FF"/>
              <w:bottom w:val="single" w:sz="8" w:color="0000FF"/>
            </w:tcBorders>
            <w:gridSpan w:val="10"/>
          </w:tcPr>
          <w:p>
            <w:pPr>
              <w:spacing w:after="0"/>
              <w:rPr>
                <w:rFonts w:ascii="Arial" w:cs="Arial" w:eastAsia="Arial" w:hAnsi="Arial"/>
                <w:sz w:val="16"/>
                <w:szCs w:val="16"/>
                <w:color w:val="0000FF"/>
                <w:w w:val="90"/>
              </w:rPr>
            </w:pPr>
            <w:hyperlink w:anchor="page46">
              <w:r>
                <w:rPr>
                  <w:rFonts w:ascii="Arial" w:cs="Arial" w:eastAsia="Arial" w:hAnsi="Arial"/>
                  <w:sz w:val="16"/>
                  <w:szCs w:val="16"/>
                  <w:color w:val="0000FF"/>
                  <w:w w:val="90"/>
                </w:rPr>
                <w:t>Item 4. Controls and Procedures</w:t>
              </w:r>
            </w:hyperlink>
          </w:p>
        </w:tc>
        <w:tc>
          <w:tcPr>
            <w:tcW w:w="2320" w:type="dxa"/>
            <w:vAlign w:val="bottom"/>
            <w:tcBorders>
              <w:top w:val="single" w:sz="8" w:color="0000FF"/>
            </w:tcBorders>
            <w:gridSpan w:val="4"/>
          </w:tcPr>
          <w:p>
            <w:pPr>
              <w:spacing w:after="0"/>
              <w:rPr>
                <w:sz w:val="21"/>
                <w:szCs w:val="21"/>
                <w:color w:val="auto"/>
              </w:rPr>
            </w:pPr>
          </w:p>
        </w:tc>
        <w:tc>
          <w:tcPr>
            <w:tcW w:w="55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46">
              <w:r>
                <w:rPr>
                  <w:rFonts w:ascii="Arial" w:cs="Arial" w:eastAsia="Arial" w:hAnsi="Arial"/>
                  <w:sz w:val="16"/>
                  <w:szCs w:val="16"/>
                  <w:color w:val="0000FF"/>
                  <w:w w:val="78"/>
                </w:rPr>
                <w:t>46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60" w:type="dxa"/>
            <w:vAlign w:val="bottom"/>
            <w:gridSpan w:val="20"/>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PART II. OTHER INFORMATION</w:t>
              </w:r>
            </w:hyperlink>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20" w:type="dxa"/>
            <w:vAlign w:val="bottom"/>
            <w:tcBorders>
              <w:top w:val="single" w:sz="8" w:color="0000FF"/>
            </w:tcBorders>
            <w:gridSpan w:val="11"/>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Item 1. Legal Proceedings</w:t>
              </w:r>
            </w:hyperlink>
          </w:p>
        </w:tc>
        <w:tc>
          <w:tcPr>
            <w:tcW w:w="7640" w:type="dxa"/>
            <w:vAlign w:val="bottom"/>
            <w:gridSpan w:val="9"/>
          </w:tcPr>
          <w:p>
            <w:pPr>
              <w:spacing w:after="0"/>
              <w:rPr>
                <w:sz w:val="21"/>
                <w:szCs w:val="21"/>
                <w:color w:val="auto"/>
              </w:rPr>
            </w:pPr>
          </w:p>
        </w:tc>
        <w:tc>
          <w:tcPr>
            <w:tcW w:w="1240" w:type="dxa"/>
            <w:vAlign w:val="bottom"/>
            <w:gridSpan w:val="3"/>
          </w:tcPr>
          <w:p>
            <w:pPr>
              <w:jc w:val="right"/>
              <w:spacing w:after="0"/>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4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92"/>
              </w:rPr>
            </w:pPr>
            <w:hyperlink w:anchor="page47">
              <w:r>
                <w:rPr>
                  <w:rFonts w:ascii="Arial" w:cs="Arial" w:eastAsia="Arial" w:hAnsi="Arial"/>
                  <w:sz w:val="16"/>
                  <w:szCs w:val="16"/>
                  <w:color w:val="0000FF"/>
                  <w:w w:val="92"/>
                </w:rPr>
                <w:t>Item 1A. Risk Factors</w:t>
              </w:r>
            </w:hyperlink>
          </w:p>
        </w:tc>
        <w:tc>
          <w:tcPr>
            <w:tcW w:w="260" w:type="dxa"/>
            <w:vAlign w:val="bottom"/>
            <w:tcBorders>
              <w:top w:val="single" w:sz="8" w:color="0000FF"/>
            </w:tcBorders>
            <w:gridSpan w:val="2"/>
          </w:tcPr>
          <w:p>
            <w:pPr>
              <w:spacing w:after="0"/>
              <w:rPr>
                <w:sz w:val="21"/>
                <w:szCs w:val="21"/>
                <w:color w:val="auto"/>
              </w:rPr>
            </w:pPr>
          </w:p>
        </w:tc>
        <w:tc>
          <w:tcPr>
            <w:tcW w:w="8260" w:type="dxa"/>
            <w:vAlign w:val="bottom"/>
            <w:gridSpan w:val="12"/>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47">
              <w:r>
                <w:rPr>
                  <w:rFonts w:ascii="Arial" w:cs="Arial" w:eastAsia="Arial" w:hAnsi="Arial"/>
                  <w:sz w:val="16"/>
                  <w:szCs w:val="16"/>
                  <w:color w:val="0000FF"/>
                  <w:w w:val="78"/>
                </w:rPr>
                <w:t>47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0000FF"/>
            </w:tcBorders>
            <w:gridSpan w:val="14"/>
          </w:tcPr>
          <w:p>
            <w:pPr>
              <w:spacing w:after="0"/>
              <w:rPr>
                <w:rFonts w:ascii="Arial" w:cs="Arial" w:eastAsia="Arial" w:hAnsi="Arial"/>
                <w:sz w:val="16"/>
                <w:szCs w:val="16"/>
                <w:color w:val="0000FF"/>
                <w:w w:val="90"/>
              </w:rPr>
            </w:pPr>
            <w:hyperlink w:anchor="page47">
              <w:r>
                <w:rPr>
                  <w:rFonts w:ascii="Arial" w:cs="Arial" w:eastAsia="Arial" w:hAnsi="Arial"/>
                  <w:sz w:val="16"/>
                  <w:szCs w:val="16"/>
                  <w:color w:val="0000FF"/>
                  <w:w w:val="90"/>
                </w:rPr>
                <w:t>Item 2. Unregistered Sales of Equity Securities and Use of Proceeds</w:t>
              </w:r>
            </w:hyperlink>
          </w:p>
        </w:tc>
        <w:tc>
          <w:tcPr>
            <w:tcW w:w="55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7">
              <w:r>
                <w:rPr>
                  <w:rFonts w:ascii="Arial" w:cs="Arial" w:eastAsia="Arial" w:hAnsi="Arial"/>
                  <w:sz w:val="16"/>
                  <w:szCs w:val="16"/>
                  <w:color w:val="0000FF"/>
                  <w:w w:val="78"/>
                </w:rPr>
                <w:t>47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bottom w:val="single" w:sz="8" w:color="0000FF"/>
            </w:tcBorders>
            <w:gridSpan w:val="10"/>
          </w:tcPr>
          <w:p>
            <w:pPr>
              <w:spacing w:after="0"/>
              <w:rPr>
                <w:rFonts w:ascii="Arial" w:cs="Arial" w:eastAsia="Arial" w:hAnsi="Arial"/>
                <w:sz w:val="16"/>
                <w:szCs w:val="16"/>
                <w:color w:val="0000FF"/>
                <w:w w:val="92"/>
              </w:rPr>
            </w:pPr>
            <w:hyperlink w:anchor="page47">
              <w:r>
                <w:rPr>
                  <w:rFonts w:ascii="Arial" w:cs="Arial" w:eastAsia="Arial" w:hAnsi="Arial"/>
                  <w:sz w:val="16"/>
                  <w:szCs w:val="16"/>
                  <w:color w:val="0000FF"/>
                  <w:w w:val="92"/>
                </w:rPr>
                <w:t>Item 4. Mine Safety Disclosures</w:t>
              </w:r>
            </w:hyperlink>
          </w:p>
        </w:tc>
        <w:tc>
          <w:tcPr>
            <w:tcW w:w="7860" w:type="dxa"/>
            <w:vAlign w:val="bottom"/>
            <w:gridSpan w:val="10"/>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7">
              <w:r>
                <w:rPr>
                  <w:rFonts w:ascii="Arial" w:cs="Arial" w:eastAsia="Arial" w:hAnsi="Arial"/>
                  <w:sz w:val="16"/>
                  <w:szCs w:val="16"/>
                  <w:color w:val="0000FF"/>
                  <w:w w:val="78"/>
                </w:rPr>
                <w:t>47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60" w:type="dxa"/>
            <w:vAlign w:val="bottom"/>
            <w:gridSpan w:val="20"/>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Item 5. Other Information</w:t>
              </w:r>
            </w:hyperlink>
          </w:p>
        </w:tc>
        <w:tc>
          <w:tcPr>
            <w:tcW w:w="1240" w:type="dxa"/>
            <w:vAlign w:val="bottom"/>
            <w:gridSpan w:val="3"/>
          </w:tcPr>
          <w:p>
            <w:pPr>
              <w:jc w:val="right"/>
              <w:spacing w:after="0"/>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1680" w:type="dxa"/>
            <w:vAlign w:val="bottom"/>
            <w:tcBorders>
              <w:top w:val="single" w:sz="8" w:color="0000FF"/>
            </w:tcBorders>
            <w:gridSpan w:val="7"/>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Item 6. Exhibits</w:t>
              </w:r>
            </w:hyperlink>
          </w:p>
        </w:tc>
        <w:tc>
          <w:tcPr>
            <w:tcW w:w="8280" w:type="dxa"/>
            <w:vAlign w:val="bottom"/>
            <w:gridSpan w:val="13"/>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47">
              <w:r>
                <w:rPr>
                  <w:rFonts w:ascii="Arial" w:cs="Arial" w:eastAsia="Arial" w:hAnsi="Arial"/>
                  <w:sz w:val="16"/>
                  <w:szCs w:val="16"/>
                  <w:color w:val="0000FF"/>
                  <w:w w:val="78"/>
                </w:rPr>
                <w:t>47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0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94"/>
              </w:rPr>
            </w:pPr>
            <w:hyperlink w:anchor="page47">
              <w:r>
                <w:rPr>
                  <w:rFonts w:ascii="Arial" w:cs="Arial" w:eastAsia="Arial" w:hAnsi="Arial"/>
                  <w:sz w:val="16"/>
                  <w:szCs w:val="16"/>
                  <w:color w:val="0000FF"/>
                  <w:w w:val="94"/>
                </w:rPr>
                <w:t>SIGNATURES</w:t>
              </w:r>
            </w:hyperlink>
          </w:p>
        </w:tc>
        <w:tc>
          <w:tcPr>
            <w:tcW w:w="40" w:type="dxa"/>
            <w:vAlign w:val="bottom"/>
            <w:tcBorders>
              <w:top w:val="single" w:sz="8" w:color="0000FF"/>
            </w:tcBorders>
          </w:tcPr>
          <w:p>
            <w:pPr>
              <w:spacing w:after="0"/>
              <w:rPr>
                <w:sz w:val="21"/>
                <w:szCs w:val="21"/>
                <w:color w:val="auto"/>
              </w:rPr>
            </w:pPr>
          </w:p>
        </w:tc>
        <w:tc>
          <w:tcPr>
            <w:tcW w:w="8920" w:type="dxa"/>
            <w:vAlign w:val="bottom"/>
            <w:gridSpan w:val="1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47">
              <w:r>
                <w:rPr>
                  <w:rFonts w:ascii="Arial" w:cs="Arial" w:eastAsia="Arial" w:hAnsi="Arial"/>
                  <w:sz w:val="16"/>
                  <w:szCs w:val="16"/>
                  <w:color w:val="0000FF"/>
                  <w:w w:val="78"/>
                </w:rPr>
                <w:t>48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20" w:type="dxa"/>
            <w:vAlign w:val="bottom"/>
          </w:tcPr>
          <w:p>
            <w:pPr>
              <w:spacing w:after="0"/>
              <w:rPr>
                <w:sz w:val="24"/>
                <w:szCs w:val="24"/>
                <w:color w:val="auto"/>
              </w:rPr>
            </w:pPr>
          </w:p>
        </w:tc>
        <w:tc>
          <w:tcPr>
            <w:tcW w:w="820" w:type="dxa"/>
            <w:vAlign w:val="bottom"/>
            <w:tcBorders>
              <w:bottom w:val="single" w:sz="8" w:color="0000FF"/>
            </w:tcBorders>
            <w:gridSpan w:val="4"/>
          </w:tcPr>
          <w:p>
            <w:pPr>
              <w:ind w:left="20"/>
              <w:spacing w:after="0"/>
              <w:rPr>
                <w:rFonts w:ascii="Arial" w:cs="Arial" w:eastAsia="Arial" w:hAnsi="Arial"/>
                <w:sz w:val="16"/>
                <w:szCs w:val="16"/>
                <w:color w:val="0000FF"/>
                <w:w w:val="93"/>
              </w:rPr>
            </w:pPr>
            <w:hyperlink w:anchor="page50">
              <w:r>
                <w:rPr>
                  <w:rFonts w:ascii="Arial" w:cs="Arial" w:eastAsia="Arial" w:hAnsi="Arial"/>
                  <w:sz w:val="16"/>
                  <w:szCs w:val="16"/>
                  <w:color w:val="0000FF"/>
                  <w:w w:val="93"/>
                </w:rPr>
                <w:t>Exhibit 10.1</w:t>
              </w:r>
            </w:hyperlink>
          </w:p>
        </w:tc>
        <w:tc>
          <w:tcPr>
            <w:tcW w:w="8820" w:type="dxa"/>
            <w:vAlign w:val="bottom"/>
            <w:gridSpan w:val="15"/>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60"/>
        <w:spacing w:after="0"/>
        <w:rPr>
          <w:rFonts w:ascii="Arial" w:cs="Arial" w:eastAsia="Arial" w:hAnsi="Arial"/>
          <w:sz w:val="16"/>
          <w:szCs w:val="16"/>
          <w:u w:val="single" w:color="auto"/>
          <w:color w:val="0000FF"/>
        </w:rPr>
      </w:pPr>
      <w:hyperlink w:anchor="page91">
        <w:r>
          <w:rPr>
            <w:rFonts w:ascii="Arial" w:cs="Arial" w:eastAsia="Arial" w:hAnsi="Arial"/>
            <w:sz w:val="16"/>
            <w:szCs w:val="16"/>
            <w:u w:val="single" w:color="auto"/>
            <w:color w:val="0000FF"/>
          </w:rPr>
          <w:t>Exhibit 31.1</w:t>
        </w:r>
      </w:hyperlink>
    </w:p>
    <w:p>
      <w:pPr>
        <w:spacing w:after="0" w:line="32" w:lineRule="exact"/>
        <w:rPr>
          <w:sz w:val="20"/>
          <w:szCs w:val="20"/>
          <w:color w:val="auto"/>
        </w:rPr>
      </w:pPr>
    </w:p>
    <w:p>
      <w:pPr>
        <w:ind w:left="360"/>
        <w:spacing w:after="0"/>
        <w:rPr>
          <w:rFonts w:ascii="Arial" w:cs="Arial" w:eastAsia="Arial" w:hAnsi="Arial"/>
          <w:sz w:val="16"/>
          <w:szCs w:val="16"/>
          <w:u w:val="single" w:color="auto"/>
          <w:color w:val="0000FF"/>
        </w:rPr>
      </w:pPr>
      <w:hyperlink w:anchor="page92">
        <w:r>
          <w:rPr>
            <w:rFonts w:ascii="Arial" w:cs="Arial" w:eastAsia="Arial" w:hAnsi="Arial"/>
            <w:sz w:val="16"/>
            <w:szCs w:val="16"/>
            <w:u w:val="single" w:color="auto"/>
            <w:color w:val="0000FF"/>
          </w:rPr>
          <w:t>Exhibit 31.2</w:t>
        </w:r>
      </w:hyperlink>
    </w:p>
    <w:p>
      <w:pPr>
        <w:spacing w:after="0" w:line="32" w:lineRule="exact"/>
        <w:rPr>
          <w:sz w:val="20"/>
          <w:szCs w:val="20"/>
          <w:color w:val="auto"/>
        </w:rPr>
      </w:pPr>
    </w:p>
    <w:p>
      <w:pPr>
        <w:ind w:left="360"/>
        <w:spacing w:after="0"/>
        <w:rPr>
          <w:rFonts w:ascii="Arial" w:cs="Arial" w:eastAsia="Arial" w:hAnsi="Arial"/>
          <w:sz w:val="16"/>
          <w:szCs w:val="16"/>
          <w:u w:val="single" w:color="auto"/>
          <w:color w:val="0000FF"/>
        </w:rPr>
      </w:pPr>
      <w:hyperlink w:anchor="page93">
        <w:r>
          <w:rPr>
            <w:rFonts w:ascii="Arial" w:cs="Arial" w:eastAsia="Arial" w:hAnsi="Arial"/>
            <w:sz w:val="16"/>
            <w:szCs w:val="16"/>
            <w:u w:val="single" w:color="auto"/>
            <w:color w:val="0000FF"/>
          </w:rPr>
          <w:t>Exhibit 32.1</w:t>
        </w:r>
      </w:hyperlink>
    </w:p>
    <w:p>
      <w:pPr>
        <w:spacing w:after="0" w:line="32" w:lineRule="exact"/>
        <w:rPr>
          <w:sz w:val="20"/>
          <w:szCs w:val="20"/>
          <w:color w:val="auto"/>
        </w:rPr>
      </w:pPr>
    </w:p>
    <w:p>
      <w:pPr>
        <w:ind w:left="360"/>
        <w:spacing w:after="0"/>
        <w:rPr>
          <w:rFonts w:ascii="Arial" w:cs="Arial" w:eastAsia="Arial" w:hAnsi="Arial"/>
          <w:sz w:val="16"/>
          <w:szCs w:val="16"/>
          <w:u w:val="single" w:color="auto"/>
          <w:color w:val="0000FF"/>
        </w:rPr>
      </w:pPr>
      <w:hyperlink w:anchor="page94">
        <w:r>
          <w:rPr>
            <w:rFonts w:ascii="Arial" w:cs="Arial" w:eastAsia="Arial" w:hAnsi="Arial"/>
            <w:sz w:val="16"/>
            <w:szCs w:val="16"/>
            <w:u w:val="single" w:color="auto"/>
            <w:color w:val="0000FF"/>
          </w:rPr>
          <w:t>Exhibit 32.2</w:t>
        </w:r>
      </w:hyperlink>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INSTANCE DOCUMENT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SCHEMA DOCUMENT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CALCULATION LINKBASE DOCUMENT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DEFINITION LINKBASE DOCUMENT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LABELS LINKBASE DOCUMENT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11"/>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 net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612,989</w:t>
            </w:r>
          </w:p>
        </w:tc>
      </w:t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151,267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105,478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297,090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238,954</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35,742</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162,552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116,108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319,185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282,060</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15,050</w:t>
            </w:r>
          </w:p>
        </w:tc>
      </w:tr>
      <w:tr>
        <w:trPr>
          <w:trHeight w:val="207"/>
        </w:trPr>
        <w:tc>
          <w:tcPr>
            <w:tcW w:w="5240" w:type="dxa"/>
            <w:vAlign w:val="bottom"/>
            <w:tcBorders>
              <w:bottom w:val="single" w:sz="8" w:color="CCEEFF"/>
            </w:tcBorders>
          </w:tcPr>
          <w:p>
            <w:pPr>
              <w:ind w:left="520"/>
              <w:spacing w:after="0"/>
              <w:rPr>
                <w:sz w:val="20"/>
                <w:szCs w:val="20"/>
                <w:color w:val="auto"/>
              </w:rPr>
            </w:pPr>
            <w:r>
              <w:rPr>
                <w:rFonts w:ascii="Arial" w:cs="Arial" w:eastAsia="Arial" w:hAnsi="Arial"/>
                <w:sz w:val="16"/>
                <w:szCs w:val="16"/>
                <w:b w:val="1"/>
                <w:bCs w:val="1"/>
                <w:color w:val="auto"/>
              </w:rPr>
              <w:t>Total costs and expenses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338,138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244,585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667,495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571,806</w:t>
            </w: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82,568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41,183</w:t>
            </w:r>
          </w:p>
        </w:tc>
      </w:t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(33,434)</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from the sale of business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13,093</w:t>
            </w: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31,640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4,282</w:t>
            </w:r>
          </w:p>
        </w:tc>
      </w:tr>
      <w:tr>
        <w:trPr>
          <w:trHeight w:val="23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80,462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per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0.95</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273"/>
        </w:trPr>
        <w:tc>
          <w:tcPr>
            <w:tcW w:w="5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13"/>
        </w:trPr>
        <w:tc>
          <w:tcPr>
            <w:tcW w:w="5240" w:type="dxa"/>
            <w:vAlign w:val="bottom"/>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0.94</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273"/>
        </w:trPr>
        <w:tc>
          <w:tcPr>
            <w:tcW w:w="5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 (See Note 13):</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84,955</w:t>
            </w:r>
          </w:p>
        </w:tc>
      </w:tr>
      <w:tr>
        <w:trPr>
          <w:trHeight w:val="213"/>
        </w:trPr>
        <w:tc>
          <w:tcPr>
            <w:tcW w:w="5240" w:type="dxa"/>
            <w:vAlign w:val="bottom"/>
          </w:tcPr>
          <w:p>
            <w:pPr>
              <w:ind w:left="36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85,340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84,706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85,324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85,548</w:t>
            </w:r>
          </w:p>
        </w:tc>
      </w:tr>
      <w:tr>
        <w:trPr>
          <w:trHeight w:val="219"/>
        </w:trPr>
        <w:tc>
          <w:tcPr>
            <w:tcW w:w="5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(See Note 14)</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28,731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104,558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(17,912)</w:t>
            </w: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02"/>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470,166</w:t>
            </w:r>
          </w:p>
        </w:tc>
        <w:tc>
          <w:tcPr>
            <w:tcW w:w="0" w:type="dxa"/>
            <w:vAlign w:val="bottom"/>
          </w:tcPr>
          <w:p>
            <w:pPr>
              <w:spacing w:after="0"/>
              <w:rPr>
                <w:sz w:val="1"/>
                <w:szCs w:val="1"/>
                <w:color w:val="auto"/>
              </w:rPr>
            </w:pPr>
          </w:p>
        </w:tc>
      </w:tr>
      <w:tr>
        <w:trPr>
          <w:trHeight w:val="213"/>
        </w:trPr>
        <w:tc>
          <w:tcPr>
            <w:tcW w:w="7840" w:type="dxa"/>
            <w:vAlign w:val="bottom"/>
          </w:tcPr>
          <w:p>
            <w:pPr>
              <w:ind w:left="300"/>
              <w:spacing w:after="0"/>
              <w:rPr>
                <w:sz w:val="20"/>
                <w:szCs w:val="20"/>
                <w:color w:val="auto"/>
              </w:rPr>
            </w:pPr>
            <w:r>
              <w:rPr>
                <w:rFonts w:ascii="Arial" w:cs="Arial" w:eastAsia="Arial" w:hAnsi="Arial"/>
                <w:sz w:val="16"/>
                <w:szCs w:val="16"/>
                <w:color w:val="auto"/>
              </w:rPr>
              <w:t>Trade accounts receivable, net of allowances of $6,687 and $6,439</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229,823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225,532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310,117</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81,527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69,282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Assets held for sale</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162,105</w:t>
            </w:r>
          </w:p>
        </w:tc>
        <w:tc>
          <w:tcPr>
            <w:tcW w:w="0" w:type="dxa"/>
            <w:vAlign w:val="bottom"/>
          </w:tcPr>
          <w:p>
            <w:pPr>
              <w:spacing w:after="0"/>
              <w:rPr>
                <w:sz w:val="1"/>
                <w:szCs w:val="1"/>
                <w:color w:val="auto"/>
              </w:rPr>
            </w:pPr>
          </w:p>
        </w:tc>
      </w:tr>
      <w:tr>
        <w:trPr>
          <w:trHeight w:val="207"/>
        </w:trPr>
        <w:tc>
          <w:tcPr>
            <w:tcW w:w="784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1,032,382</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1,237,202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287,529</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Right of use asset - operating leases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89,174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83,635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1,178,884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989,436</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1,015,638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932,367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73,690</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20,864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11,277</w:t>
            </w:r>
          </w:p>
        </w:tc>
        <w:tc>
          <w:tcPr>
            <w:tcW w:w="0" w:type="dxa"/>
            <w:vAlign w:val="bottom"/>
          </w:tcPr>
          <w:p>
            <w:pPr>
              <w:spacing w:after="0"/>
              <w:rPr>
                <w:sz w:val="1"/>
                <w:szCs w:val="1"/>
                <w:color w:val="auto"/>
              </w:rPr>
            </w:pP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3,712,787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3,615,136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Current portion of borrowings under senior credit facility</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45,000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33,750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borrowings under securitization facility</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112,500</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Current portion of lease liability - operating leases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13,987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12,818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trade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54,608</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17,112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Contract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5,275</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72,047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76,117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94,194</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Liabilities held for sale</w:t>
            </w:r>
          </w:p>
        </w:tc>
        <w:tc>
          <w:tcPr>
            <w:tcW w:w="2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11,751</w:t>
            </w:r>
          </w:p>
        </w:tc>
        <w:tc>
          <w:tcPr>
            <w:tcW w:w="0" w:type="dxa"/>
            <w:vAlign w:val="bottom"/>
          </w:tcPr>
          <w:p>
            <w:pPr>
              <w:spacing w:after="0"/>
              <w:rPr>
                <w:sz w:val="1"/>
                <w:szCs w:val="1"/>
                <w:color w:val="auto"/>
              </w:rPr>
            </w:pPr>
          </w:p>
        </w:tc>
      </w:tr>
      <w:tr>
        <w:trPr>
          <w:trHeight w:val="213"/>
        </w:trPr>
        <w:tc>
          <w:tcPr>
            <w:tcW w:w="78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318,756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401,013</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Long-term borrowings under senior credit facility</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823,208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933,387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borrowings under securitization facility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Long-term convertible securities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562,968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474,834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 operating leases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88,118</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63,447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16,190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186,727</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2,137,806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2,100,269</w:t>
            </w:r>
          </w:p>
        </w:tc>
        <w:tc>
          <w:tcPr>
            <w:tcW w:w="0" w:type="dxa"/>
            <w:vAlign w:val="bottom"/>
          </w:tcPr>
          <w:p>
            <w:pPr>
              <w:spacing w:after="0"/>
              <w:rPr>
                <w:sz w:val="1"/>
                <w:szCs w:val="1"/>
                <w:color w:val="auto"/>
              </w:rPr>
            </w:pPr>
          </w:p>
        </w:tc>
      </w:tr>
      <w:tr>
        <w:trPr>
          <w:trHeight w:val="19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2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8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6"/>
              </w:rPr>
              <w:t>Common stock; $0.01 par value; 240,000 authorized shares; 89,474 and 89,251 issued at June 30, 2021 and</w:t>
            </w:r>
          </w:p>
        </w:tc>
        <w:tc>
          <w:tcPr>
            <w:tcW w:w="2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December 31, 2020, respectively</w:t>
            </w:r>
          </w:p>
        </w:tc>
        <w:tc>
          <w:tcPr>
            <w:tcW w:w="2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1,248,555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1,290,909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5"/>
              </w:rPr>
              <w:t>Treasury stock, at cost; 4,899 shares and 4,914 shares at June 30, 2021 and December 31, 2020, respectively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(235,141)</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(49,963)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(74,059)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609,955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532,265</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1,574,981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1,514,867</w:t>
            </w:r>
          </w:p>
        </w:tc>
        <w:tc>
          <w:tcPr>
            <w:tcW w:w="0" w:type="dxa"/>
            <w:vAlign w:val="bottom"/>
          </w:tcPr>
          <w:p>
            <w:pPr>
              <w:spacing w:after="0"/>
              <w:rPr>
                <w:sz w:val="1"/>
                <w:szCs w:val="1"/>
                <w:color w:val="auto"/>
              </w:rPr>
            </w:pPr>
          </w:p>
        </w:tc>
      </w:tr>
      <w:tr>
        <w:trPr>
          <w:trHeight w:val="23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3,712,787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3,615,136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4"/>
                <w:szCs w:val="14"/>
                <w:b w:val="1"/>
                <w:bCs w:val="1"/>
                <w:color w:val="auto"/>
              </w:rPr>
              <w:t>Six Months Ended June 30,</w:t>
            </w:r>
          </w:p>
        </w:tc>
        <w:tc>
          <w:tcPr>
            <w:tcW w:w="680" w:type="dxa"/>
            <w:vAlign w:val="bottom"/>
            <w:tcBorders>
              <w:bottom w:val="single" w:sz="8" w:color="auto"/>
            </w:tcBorders>
          </w:tcPr>
          <w:p>
            <w:pPr>
              <w:spacing w:after="0"/>
              <w:rPr>
                <w:sz w:val="16"/>
                <w:szCs w:val="16"/>
                <w:color w:val="auto"/>
              </w:rPr>
            </w:pPr>
          </w:p>
        </w:tc>
      </w:tr>
      <w:tr>
        <w:trPr>
          <w:trHeight w:val="187"/>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r>
      <w:tr>
        <w:trPr>
          <w:trHeight w:val="197"/>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80,462</w:t>
            </w:r>
          </w:p>
        </w:tc>
        <w:tc>
          <w:tcPr>
            <w:tcW w:w="120" w:type="dxa"/>
            <w:vAlign w:val="bottom"/>
          </w:tcPr>
          <w:p>
            <w:pPr>
              <w:spacing w:after="0"/>
              <w:rPr>
                <w:sz w:val="18"/>
                <w:szCs w:val="18"/>
                <w:color w:val="auto"/>
              </w:rPr>
            </w:pP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8,811</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58,968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58,826</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impairment charges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Deferred income tax (benefit) provision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(4,907)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22,033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8,922</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Amortization of debt issuance costs and expenses associated with debt refinancing</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3,569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5,551</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lease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Accretion of bond issuance discount</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6,780</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disposal of property and equipment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Gain from the sale of business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(42,197)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contingent consideration and others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Changes in assets and liabilities: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receivable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95,293</w:t>
            </w:r>
          </w:p>
        </w:tc>
      </w:tr>
      <w:tr>
        <w:trPr>
          <w:trHeight w:val="213"/>
        </w:trPr>
        <w:tc>
          <w:tcPr>
            <w:tcW w:w="7840" w:type="dxa"/>
            <w:vAlign w:val="bottom"/>
          </w:tcPr>
          <w:p>
            <w:pPr>
              <w:ind w:left="480"/>
              <w:spacing w:after="0"/>
              <w:rPr>
                <w:sz w:val="20"/>
                <w:szCs w:val="20"/>
                <w:color w:val="auto"/>
              </w:rPr>
            </w:pPr>
            <w:r>
              <w:rPr>
                <w:rFonts w:ascii="Arial" w:cs="Arial" w:eastAsia="Arial" w:hAnsi="Arial"/>
                <w:sz w:val="16"/>
                <w:szCs w:val="16"/>
                <w:color w:val="auto"/>
              </w:rPr>
              <w:t>Inventories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2,893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(47,041)</w:t>
            </w:r>
          </w:p>
        </w:tc>
      </w:tr>
      <w:tr>
        <w:trPr>
          <w:trHeight w:val="219"/>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w:t>
            </w:r>
          </w:p>
        </w:tc>
      </w:tr>
      <w:tr>
        <w:trPr>
          <w:trHeight w:val="213"/>
        </w:trPr>
        <w:tc>
          <w:tcPr>
            <w:tcW w:w="7840" w:type="dxa"/>
            <w:vAlign w:val="bottom"/>
          </w:tcPr>
          <w:p>
            <w:pPr>
              <w:ind w:left="480"/>
              <w:spacing w:after="0"/>
              <w:rPr>
                <w:sz w:val="20"/>
                <w:szCs w:val="20"/>
                <w:color w:val="auto"/>
              </w:rPr>
            </w:pPr>
            <w:r>
              <w:rPr>
                <w:rFonts w:ascii="Arial" w:cs="Arial" w:eastAsia="Arial" w:hAnsi="Arial"/>
                <w:sz w:val="16"/>
                <w:szCs w:val="16"/>
                <w:color w:val="auto"/>
              </w:rPr>
              <w:t>Other non-current assets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4,067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6,149</w:t>
            </w:r>
          </w:p>
        </w:tc>
      </w:tr>
      <w:tr>
        <w:trPr>
          <w:trHeight w:val="219"/>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(88,671)</w:t>
            </w:r>
          </w:p>
        </w:tc>
      </w:tr>
      <w:tr>
        <w:trPr>
          <w:trHeight w:val="213"/>
        </w:trPr>
        <w:tc>
          <w:tcPr>
            <w:tcW w:w="78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 non-current liabilities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(4,048)</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160,371</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53,931</w:t>
            </w:r>
          </w:p>
        </w:tc>
      </w:tr>
      <w:tr>
        <w:trPr>
          <w:trHeight w:val="19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(23,736)</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Proceeds from sale of Extremity Orthopedics business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191,736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3,302</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Cash (paid) provided for business acquisitions, net of cash acquired</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0"/>
              </w:rPr>
              <w:t>(303,910)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in-process research and development</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20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9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(125,483)</w:t>
            </w:r>
          </w:p>
        </w:tc>
        <w:tc>
          <w:tcPr>
            <w:tcW w:w="1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(25,434)</w:t>
            </w:r>
          </w:p>
        </w:tc>
      </w:tr>
      <w:tr>
        <w:trPr>
          <w:trHeight w:val="19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Proceeds from borrowings of long-term indebtedness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2,200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127,700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on debt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(102,200)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(388,500)</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Purchase of option hedge on convertible notes</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(104,248)</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convertible notes issuance</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575,000</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Proceeds from sale of stock purchase warrants</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44,563</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debt issuance costs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(20,264)</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Purchases of treasury stock</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(100,000)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exercised stock options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3,598</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taxes paid in net equity settlement</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(3,844)</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(4,397)</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provided by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(100,490)</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133,452</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(7,150)</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(72,752)</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162,070</w:t>
            </w:r>
          </w:p>
        </w:tc>
      </w:tr>
      <w:tr>
        <w:trPr>
          <w:trHeight w:val="20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470,166</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198,911</w:t>
            </w: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397,414</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360,981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CHANGES IN SHAREHOLDER'S EQUITY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w:t>
      </w:r>
    </w:p>
    <w:p>
      <w:pPr>
        <w:spacing w:after="0" w:line="202"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23495</wp:posOffset>
            </wp:positionV>
            <wp:extent cx="5168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89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January 1, 2021</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net of tax</w:t>
      </w:r>
    </w:p>
    <w:p>
      <w:pPr>
        <w:spacing w:after="0" w:line="28" w:lineRule="exact"/>
        <w:rPr>
          <w:sz w:val="20"/>
          <w:szCs w:val="20"/>
          <w:color w:val="auto"/>
        </w:rPr>
      </w:pPr>
    </w:p>
    <w:p>
      <w:pPr>
        <w:ind w:left="20" w:right="100"/>
        <w:spacing w:after="0" w:line="236"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7" w:lineRule="exact"/>
        <w:rPr>
          <w:sz w:val="20"/>
          <w:szCs w:val="20"/>
          <w:color w:val="auto"/>
        </w:rPr>
      </w:pPr>
    </w:p>
    <w:p>
      <w:pPr>
        <w:ind w:left="20"/>
        <w:spacing w:after="0" w:line="236"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84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Additional</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Accumulated Other</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8"/>
                <w:szCs w:val="18"/>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3"/>
            <w:vMerge w:val="restart"/>
          </w:tcPr>
          <w:p>
            <w:pPr>
              <w:jc w:val="right"/>
              <w:ind w:right="120"/>
              <w:spacing w:after="0" w:line="115" w:lineRule="exact"/>
              <w:rPr>
                <w:sz w:val="20"/>
                <w:szCs w:val="20"/>
                <w:color w:val="auto"/>
              </w:rPr>
            </w:pPr>
            <w:r>
              <w:rPr>
                <w:rFonts w:ascii="Arial" w:cs="Arial" w:eastAsia="Arial" w:hAnsi="Arial"/>
                <w:sz w:val="13"/>
                <w:szCs w:val="13"/>
                <w:b w:val="1"/>
                <w:bCs w:val="1"/>
                <w:color w:val="auto"/>
              </w:rPr>
              <w:t>Paid-In Capital</w:t>
            </w:r>
          </w:p>
        </w:tc>
        <w:tc>
          <w:tcPr>
            <w:tcW w:w="120" w:type="dxa"/>
            <w:vAlign w:val="bottom"/>
          </w:tcPr>
          <w:p>
            <w:pPr>
              <w:spacing w:after="0"/>
              <w:rPr>
                <w:sz w:val="5"/>
                <w:szCs w:val="5"/>
                <w:color w:val="auto"/>
              </w:rPr>
            </w:pPr>
          </w:p>
        </w:tc>
        <w:tc>
          <w:tcPr>
            <w:tcW w:w="1260" w:type="dxa"/>
            <w:vAlign w:val="bottom"/>
            <w:gridSpan w:val="2"/>
          </w:tcPr>
          <w:p>
            <w:pPr>
              <w:jc w:val="center"/>
              <w:ind w:right="220"/>
              <w:spacing w:after="0" w:line="68" w:lineRule="exact"/>
              <w:rPr>
                <w:sz w:val="20"/>
                <w:szCs w:val="20"/>
                <w:color w:val="auto"/>
              </w:rPr>
            </w:pPr>
            <w:r>
              <w:rPr>
                <w:rFonts w:ascii="Arial" w:cs="Arial" w:eastAsia="Arial" w:hAnsi="Arial"/>
                <w:sz w:val="7"/>
                <w:szCs w:val="7"/>
                <w:b w:val="1"/>
                <w:bCs w:val="1"/>
                <w:color w:val="auto"/>
              </w:rPr>
              <w:t>Comprehensive</w:t>
            </w:r>
          </w:p>
        </w:tc>
        <w:tc>
          <w:tcPr>
            <w:tcW w:w="880" w:type="dxa"/>
            <w:vAlign w:val="bottom"/>
            <w:gridSpan w:val="2"/>
            <w:vMerge w:val="restart"/>
          </w:tcPr>
          <w:p>
            <w:pPr>
              <w:ind w:left="120"/>
              <w:spacing w:after="0" w:line="115" w:lineRule="exact"/>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89,251</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80" w:type="dxa"/>
            <w:vAlign w:val="bottom"/>
          </w:tcPr>
          <w:p>
            <w:pPr>
              <w:spacing w:after="0"/>
              <w:rPr>
                <w:sz w:val="15"/>
                <w:szCs w:val="15"/>
                <w:color w:val="auto"/>
              </w:rPr>
            </w:pPr>
          </w:p>
        </w:tc>
        <w:tc>
          <w:tcPr>
            <w:tcW w:w="76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w w:val="94"/>
              </w:rPr>
              <w:t>(4,914)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(235,141)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1,290,909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(74,059)</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99"/>
              </w:rPr>
              <w:t>$   532,265</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1,514,867</w:t>
            </w:r>
          </w:p>
        </w:tc>
        <w:tc>
          <w:tcPr>
            <w:tcW w:w="0" w:type="dxa"/>
            <w:vAlign w:val="bottom"/>
          </w:tcPr>
          <w:p>
            <w:pPr>
              <w:spacing w:after="0"/>
              <w:rPr>
                <w:sz w:val="1"/>
                <w:szCs w:val="1"/>
                <w:color w:val="auto"/>
              </w:rPr>
            </w:pPr>
          </w:p>
        </w:tc>
      </w:tr>
      <w:tr>
        <w:trPr>
          <w:trHeight w:val="184"/>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45,394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45,394</w:t>
            </w:r>
          </w:p>
        </w:tc>
        <w:tc>
          <w:tcPr>
            <w:tcW w:w="0" w:type="dxa"/>
            <w:vAlign w:val="bottom"/>
          </w:tcPr>
          <w:p>
            <w:pPr>
              <w:spacing w:after="0"/>
              <w:rPr>
                <w:sz w:val="1"/>
                <w:szCs w:val="1"/>
                <w:color w:val="auto"/>
              </w:rPr>
            </w:pPr>
          </w:p>
        </w:tc>
      </w:tr>
      <w:tr>
        <w:trPr>
          <w:trHeight w:val="189"/>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30,432</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30,432</w:t>
            </w:r>
          </w:p>
        </w:tc>
        <w:tc>
          <w:tcPr>
            <w:tcW w:w="0" w:type="dxa"/>
            <w:vAlign w:val="bottom"/>
          </w:tcPr>
          <w:p>
            <w:pPr>
              <w:spacing w:after="0"/>
              <w:rPr>
                <w:sz w:val="1"/>
                <w:szCs w:val="1"/>
                <w:color w:val="auto"/>
              </w:rPr>
            </w:pPr>
          </w:p>
        </w:tc>
      </w:tr>
      <w:tr>
        <w:trPr>
          <w:trHeight w:val="257"/>
        </w:trPr>
        <w:tc>
          <w:tcPr>
            <w:tcW w:w="76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1,127</w:t>
            </w:r>
          </w:p>
        </w:tc>
        <w:tc>
          <w:tcPr>
            <w:tcW w:w="0" w:type="dxa"/>
            <w:vAlign w:val="bottom"/>
          </w:tcPr>
          <w:p>
            <w:pPr>
              <w:spacing w:after="0"/>
              <w:rPr>
                <w:sz w:val="1"/>
                <w:szCs w:val="1"/>
                <w:color w:val="auto"/>
              </w:rPr>
            </w:pPr>
          </w:p>
        </w:tc>
      </w:tr>
      <w:tr>
        <w:trPr>
          <w:trHeight w:val="324"/>
        </w:trPr>
        <w:tc>
          <w:tcPr>
            <w:tcW w:w="760" w:type="dxa"/>
            <w:vAlign w:val="bottom"/>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-728980</wp:posOffset>
            </wp:positionV>
            <wp:extent cx="71323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-480695</wp:posOffset>
            </wp:positionV>
            <wp:extent cx="713232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-154305</wp:posOffset>
            </wp:positionV>
            <wp:extent cx="713232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3080" w:space="20"/>
            <w:col w:w="81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1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ind w:left="5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6,098</w:t>
            </w:r>
          </w:p>
        </w:tc>
        <w:tc>
          <w:tcPr>
            <w:tcW w:w="48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6,098</w:t>
            </w:r>
          </w:p>
        </w:tc>
        <w:tc>
          <w:tcPr>
            <w:tcW w:w="0" w:type="dxa"/>
            <w:vAlign w:val="bottom"/>
          </w:tcPr>
          <w:p>
            <w:pPr>
              <w:spacing w:after="0"/>
              <w:rPr>
                <w:sz w:val="1"/>
                <w:szCs w:val="1"/>
                <w:color w:val="auto"/>
              </w:rPr>
            </w:pPr>
          </w:p>
        </w:tc>
      </w:tr>
      <w:tr>
        <w:trPr>
          <w:trHeight w:val="195"/>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Adoption of Update No. 2020-06</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(63,274)</w:t>
            </w:r>
          </w:p>
        </w:tc>
        <w:tc>
          <w:tcPr>
            <w:tcW w:w="4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(2,772)</w:t>
            </w: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(66,046)</w:t>
            </w:r>
          </w:p>
        </w:tc>
        <w:tc>
          <w:tcPr>
            <w:tcW w:w="0" w:type="dxa"/>
            <w:vAlign w:val="bottom"/>
          </w:tcPr>
          <w:p>
            <w:pPr>
              <w:spacing w:after="0"/>
              <w:rPr>
                <w:sz w:val="1"/>
                <w:szCs w:val="1"/>
                <w:color w:val="auto"/>
              </w:rPr>
            </w:pPr>
          </w:p>
        </w:tc>
      </w:tr>
      <w:tr>
        <w:trPr>
          <w:trHeight w:val="179"/>
        </w:trPr>
        <w:tc>
          <w:tcPr>
            <w:tcW w:w="3100" w:type="dxa"/>
            <w:vAlign w:val="bottom"/>
          </w:tcPr>
          <w:p>
            <w:pPr>
              <w:ind w:left="20"/>
              <w:spacing w:after="0"/>
              <w:rPr>
                <w:sz w:val="20"/>
                <w:szCs w:val="20"/>
                <w:color w:val="auto"/>
              </w:rPr>
            </w:pPr>
            <w:r>
              <w:rPr>
                <w:rFonts w:ascii="Arial" w:cs="Arial" w:eastAsia="Arial" w:hAnsi="Arial"/>
                <w:sz w:val="14"/>
                <w:szCs w:val="14"/>
                <w:color w:val="auto"/>
              </w:rPr>
              <w:t>Balance, March 31, 2021</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89,406</w:t>
            </w: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894</w:t>
            </w: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(4,899)</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(234,461)</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1,231,638</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(43,627)</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574,887</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1,529,331</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35,068</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35,068</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ind w:left="5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(6,336)</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(6,336)</w:t>
            </w: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2"/>
              </w:rPr>
              <w:t>Issuance of common stock for vesting of share based</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4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w:t>
            </w:r>
          </w:p>
        </w:tc>
        <w:tc>
          <w:tcPr>
            <w:tcW w:w="72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1,175</w:t>
            </w:r>
          </w:p>
        </w:tc>
        <w:tc>
          <w:tcPr>
            <w:tcW w:w="4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109"/>
        </w:trPr>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80" w:type="dxa"/>
            <w:vAlign w:val="bottom"/>
            <w:vMerge w:val="continue"/>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100" w:type="dxa"/>
            <w:vAlign w:val="bottom"/>
            <w:vMerge w:val="continue"/>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ind w:left="5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15,742</w:t>
            </w:r>
          </w:p>
        </w:tc>
        <w:tc>
          <w:tcPr>
            <w:tcW w:w="48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15,742</w:t>
            </w:r>
          </w:p>
        </w:tc>
        <w:tc>
          <w:tcPr>
            <w:tcW w:w="0" w:type="dxa"/>
            <w:vAlign w:val="bottom"/>
          </w:tcPr>
          <w:p>
            <w:pPr>
              <w:spacing w:after="0"/>
              <w:rPr>
                <w:sz w:val="1"/>
                <w:szCs w:val="1"/>
                <w:color w:val="auto"/>
              </w:rPr>
            </w:pPr>
          </w:p>
        </w:tc>
      </w:tr>
      <w:tr>
        <w:trPr>
          <w:trHeight w:val="21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2021</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89,474</w:t>
            </w:r>
          </w:p>
        </w:tc>
        <w:tc>
          <w:tcPr>
            <w:tcW w:w="4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895</w:t>
            </w:r>
          </w:p>
        </w:tc>
        <w:tc>
          <w:tcPr>
            <w:tcW w:w="7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(4,899)</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(234,461)</w:t>
            </w:r>
          </w:p>
        </w:tc>
        <w:tc>
          <w:tcPr>
            <w:tcW w:w="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1,248,555</w:t>
            </w:r>
          </w:p>
        </w:tc>
        <w:tc>
          <w:tcPr>
            <w:tcW w:w="4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(49,963)</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609,955</w:t>
            </w:r>
          </w:p>
        </w:tc>
        <w:tc>
          <w:tcPr>
            <w:tcW w:w="3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1,574,981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23495</wp:posOffset>
            </wp:positionV>
            <wp:extent cx="51689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6890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January 1, 2020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loss, net of tax</w:t>
      </w:r>
    </w:p>
    <w:p>
      <w:pPr>
        <w:spacing w:after="0" w:line="28" w:lineRule="exact"/>
        <w:rPr>
          <w:sz w:val="20"/>
          <w:szCs w:val="20"/>
          <w:color w:val="auto"/>
        </w:rPr>
      </w:pPr>
    </w:p>
    <w:p>
      <w:pPr>
        <w:ind w:left="20" w:right="100"/>
        <w:spacing w:after="0" w:line="236"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7" w:lineRule="exact"/>
        <w:rPr>
          <w:sz w:val="20"/>
          <w:szCs w:val="20"/>
          <w:color w:val="auto"/>
        </w:rPr>
      </w:pPr>
    </w:p>
    <w:p>
      <w:pPr>
        <w:ind w:left="20"/>
        <w:spacing w:after="0" w:line="236"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84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Additional</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Accumulated Other</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8"/>
                <w:szCs w:val="18"/>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3"/>
            <w:vMerge w:val="restart"/>
          </w:tcPr>
          <w:p>
            <w:pPr>
              <w:jc w:val="right"/>
              <w:ind w:right="120"/>
              <w:spacing w:after="0" w:line="115" w:lineRule="exact"/>
              <w:rPr>
                <w:sz w:val="20"/>
                <w:szCs w:val="20"/>
                <w:color w:val="auto"/>
              </w:rPr>
            </w:pPr>
            <w:r>
              <w:rPr>
                <w:rFonts w:ascii="Arial" w:cs="Arial" w:eastAsia="Arial" w:hAnsi="Arial"/>
                <w:sz w:val="13"/>
                <w:szCs w:val="13"/>
                <w:b w:val="1"/>
                <w:bCs w:val="1"/>
                <w:color w:val="auto"/>
              </w:rPr>
              <w:t>Paid-In Capital</w:t>
            </w:r>
          </w:p>
        </w:tc>
        <w:tc>
          <w:tcPr>
            <w:tcW w:w="120" w:type="dxa"/>
            <w:vAlign w:val="bottom"/>
          </w:tcPr>
          <w:p>
            <w:pPr>
              <w:spacing w:after="0"/>
              <w:rPr>
                <w:sz w:val="5"/>
                <w:szCs w:val="5"/>
                <w:color w:val="auto"/>
              </w:rPr>
            </w:pPr>
          </w:p>
        </w:tc>
        <w:tc>
          <w:tcPr>
            <w:tcW w:w="1260" w:type="dxa"/>
            <w:vAlign w:val="bottom"/>
            <w:gridSpan w:val="2"/>
          </w:tcPr>
          <w:p>
            <w:pPr>
              <w:jc w:val="center"/>
              <w:ind w:right="220"/>
              <w:spacing w:after="0" w:line="68" w:lineRule="exact"/>
              <w:rPr>
                <w:sz w:val="20"/>
                <w:szCs w:val="20"/>
                <w:color w:val="auto"/>
              </w:rPr>
            </w:pPr>
            <w:r>
              <w:rPr>
                <w:rFonts w:ascii="Arial" w:cs="Arial" w:eastAsia="Arial" w:hAnsi="Arial"/>
                <w:sz w:val="7"/>
                <w:szCs w:val="7"/>
                <w:b w:val="1"/>
                <w:bCs w:val="1"/>
                <w:color w:val="auto"/>
              </w:rPr>
              <w:t>Comprehensive</w:t>
            </w:r>
          </w:p>
        </w:tc>
        <w:tc>
          <w:tcPr>
            <w:tcW w:w="880" w:type="dxa"/>
            <w:vAlign w:val="bottom"/>
            <w:gridSpan w:val="2"/>
            <w:vMerge w:val="restart"/>
          </w:tcPr>
          <w:p>
            <w:pPr>
              <w:ind w:left="120"/>
              <w:spacing w:after="0" w:line="115" w:lineRule="exact"/>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88,735</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887</w:t>
            </w:r>
          </w:p>
        </w:tc>
        <w:tc>
          <w:tcPr>
            <w:tcW w:w="80" w:type="dxa"/>
            <w:vAlign w:val="bottom"/>
          </w:tcPr>
          <w:p>
            <w:pPr>
              <w:spacing w:after="0"/>
              <w:rPr>
                <w:sz w:val="15"/>
                <w:szCs w:val="15"/>
                <w:color w:val="auto"/>
              </w:rPr>
            </w:pPr>
          </w:p>
        </w:tc>
        <w:tc>
          <w:tcPr>
            <w:tcW w:w="76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w w:val="94"/>
              </w:rPr>
              <w:t>(2,865)</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(119,943)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1,213,620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(76,401)</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99"/>
              </w:rPr>
              <w:t>$   398,573</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1,416,736</w:t>
            </w:r>
          </w:p>
        </w:tc>
        <w:tc>
          <w:tcPr>
            <w:tcW w:w="0" w:type="dxa"/>
            <w:vAlign w:val="bottom"/>
          </w:tcPr>
          <w:p>
            <w:pPr>
              <w:spacing w:after="0"/>
              <w:rPr>
                <w:sz w:val="1"/>
                <w:szCs w:val="1"/>
                <w:color w:val="auto"/>
              </w:rPr>
            </w:pPr>
          </w:p>
        </w:tc>
      </w:tr>
      <w:tr>
        <w:trPr>
          <w:trHeight w:val="184"/>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9,180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9,180</w:t>
            </w:r>
          </w:p>
        </w:tc>
        <w:tc>
          <w:tcPr>
            <w:tcW w:w="0" w:type="dxa"/>
            <w:vAlign w:val="bottom"/>
          </w:tcPr>
          <w:p>
            <w:pPr>
              <w:spacing w:after="0"/>
              <w:rPr>
                <w:sz w:val="1"/>
                <w:szCs w:val="1"/>
                <w:color w:val="auto"/>
              </w:rPr>
            </w:pPr>
          </w:p>
        </w:tc>
      </w:tr>
      <w:tr>
        <w:trPr>
          <w:trHeight w:val="189"/>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(28,187)</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(28,187)</w:t>
            </w:r>
          </w:p>
        </w:tc>
        <w:tc>
          <w:tcPr>
            <w:tcW w:w="0" w:type="dxa"/>
            <w:vAlign w:val="bottom"/>
          </w:tcPr>
          <w:p>
            <w:pPr>
              <w:spacing w:after="0"/>
              <w:rPr>
                <w:sz w:val="1"/>
                <w:szCs w:val="1"/>
                <w:color w:val="auto"/>
              </w:rPr>
            </w:pPr>
          </w:p>
        </w:tc>
      </w:tr>
      <w:tr>
        <w:trPr>
          <w:trHeight w:val="257"/>
        </w:trPr>
        <w:tc>
          <w:tcPr>
            <w:tcW w:w="76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324"/>
        </w:trPr>
        <w:tc>
          <w:tcPr>
            <w:tcW w:w="760" w:type="dxa"/>
            <w:vAlign w:val="bottom"/>
          </w:tcPr>
          <w:p>
            <w:pPr>
              <w:jc w:val="right"/>
              <w:spacing w:after="0"/>
              <w:rPr>
                <w:sz w:val="20"/>
                <w:szCs w:val="20"/>
                <w:color w:val="auto"/>
              </w:rPr>
            </w:pPr>
            <w:r>
              <w:rPr>
                <w:rFonts w:ascii="Arial" w:cs="Arial" w:eastAsia="Arial" w:hAnsi="Arial"/>
                <w:sz w:val="14"/>
                <w:szCs w:val="14"/>
                <w:color w:val="auto"/>
              </w:rPr>
              <w:t>357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-728980</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-480695</wp:posOffset>
            </wp:positionV>
            <wp:extent cx="713232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-154940</wp:posOffset>
            </wp:positionV>
            <wp:extent cx="71323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3080" w:space="20"/>
            <w:col w:w="81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1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3,781</w:t>
            </w:r>
          </w:p>
        </w:tc>
        <w:tc>
          <w:tcPr>
            <w:tcW w:w="4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3,781</w:t>
            </w:r>
          </w:p>
        </w:tc>
        <w:tc>
          <w:tcPr>
            <w:tcW w:w="0" w:type="dxa"/>
            <w:vAlign w:val="bottom"/>
          </w:tcPr>
          <w:p>
            <w:pPr>
              <w:spacing w:after="0"/>
              <w:rPr>
                <w:sz w:val="1"/>
                <w:szCs w:val="1"/>
                <w:color w:val="auto"/>
              </w:rPr>
            </w:pPr>
          </w:p>
        </w:tc>
      </w:tr>
      <w:tr>
        <w:trPr>
          <w:trHeight w:val="141"/>
        </w:trPr>
        <w:tc>
          <w:tcPr>
            <w:tcW w:w="31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Share repurchase and equity component of the</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(7,632)</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42,538</w:t>
            </w:r>
          </w:p>
        </w:tc>
        <w:tc>
          <w:tcPr>
            <w:tcW w:w="4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34,906</w:t>
            </w:r>
          </w:p>
        </w:tc>
        <w:tc>
          <w:tcPr>
            <w:tcW w:w="0" w:type="dxa"/>
            <w:vAlign w:val="bottom"/>
          </w:tcPr>
          <w:p>
            <w:pPr>
              <w:spacing w:after="0"/>
              <w:rPr>
                <w:sz w:val="1"/>
                <w:szCs w:val="1"/>
                <w:color w:val="auto"/>
              </w:rPr>
            </w:pPr>
          </w:p>
        </w:tc>
      </w:tr>
      <w:tr>
        <w:trPr>
          <w:trHeight w:val="110"/>
        </w:trPr>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convertible note issuance, net</w:t>
            </w:r>
          </w:p>
        </w:tc>
        <w:tc>
          <w:tcPr>
            <w:tcW w:w="780" w:type="dxa"/>
            <w:vAlign w:val="bottom"/>
            <w:vMerge w:val="continue"/>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100" w:type="dxa"/>
            <w:vAlign w:val="bottom"/>
            <w:vMerge w:val="continue"/>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Accelerated shares repurchased</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(1,304)</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(75,407)</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(16,961)</w:t>
            </w:r>
          </w:p>
        </w:tc>
        <w:tc>
          <w:tcPr>
            <w:tcW w:w="4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(92,368)</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Adoption of Update No. 2016-13</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w:t>
            </w: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79"/>
        </w:trPr>
        <w:tc>
          <w:tcPr>
            <w:tcW w:w="3100" w:type="dxa"/>
            <w:vAlign w:val="bottom"/>
          </w:tcPr>
          <w:p>
            <w:pPr>
              <w:ind w:left="20"/>
              <w:spacing w:after="0"/>
              <w:rPr>
                <w:sz w:val="20"/>
                <w:szCs w:val="20"/>
                <w:color w:val="auto"/>
              </w:rPr>
            </w:pPr>
            <w:r>
              <w:rPr>
                <w:rFonts w:ascii="Arial" w:cs="Arial" w:eastAsia="Arial" w:hAnsi="Arial"/>
                <w:sz w:val="14"/>
                <w:szCs w:val="14"/>
                <w:color w:val="auto"/>
              </w:rPr>
              <w:t>Balance, March 31, 2020</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89,105</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889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(4,294)</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(202,506)</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1,240,455</w:t>
            </w:r>
          </w:p>
        </w:tc>
        <w:tc>
          <w:tcPr>
            <w:tcW w:w="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(104,588)</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407,553</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1,341,803</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(369)</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1,464</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1,464</w:t>
            </w: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2"/>
              </w:rPr>
              <w:t>Issuance of common stock for vesting of share based</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4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3</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1,282</w:t>
            </w:r>
          </w:p>
        </w:tc>
        <w:tc>
          <w:tcPr>
            <w:tcW w:w="4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10"/>
        </w:trPr>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80" w:type="dxa"/>
            <w:vAlign w:val="bottom"/>
            <w:vMerge w:val="continue"/>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100" w:type="dxa"/>
            <w:vAlign w:val="bottom"/>
            <w:vMerge w:val="continue"/>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4,948</w:t>
            </w:r>
          </w:p>
        </w:tc>
        <w:tc>
          <w:tcPr>
            <w:tcW w:w="4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4,948</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Accelerated shares repurchased</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(32,685)</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32,685</w:t>
            </w: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100" w:type="dxa"/>
            <w:vAlign w:val="bottom"/>
          </w:tcPr>
          <w:p>
            <w:pPr>
              <w:ind w:left="20"/>
              <w:spacing w:after="0"/>
              <w:rPr>
                <w:sz w:val="20"/>
                <w:szCs w:val="20"/>
                <w:color w:val="auto"/>
              </w:rPr>
            </w:pPr>
            <w:r>
              <w:rPr>
                <w:rFonts w:ascii="Arial" w:cs="Arial" w:eastAsia="Arial" w:hAnsi="Arial"/>
                <w:sz w:val="14"/>
                <w:szCs w:val="14"/>
                <w:color w:val="auto"/>
              </w:rPr>
              <w:t>Balance, June 30, 2020</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89,189</w:t>
            </w: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892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(4,915)</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(235,226)</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1,279,370</w:t>
            </w: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(103,124)</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407,184</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1,349,096</w:t>
            </w:r>
          </w:p>
        </w:tc>
        <w:tc>
          <w:tcPr>
            <w:tcW w:w="0" w:type="dxa"/>
            <w:vAlign w:val="bottom"/>
          </w:tcPr>
          <w:p>
            <w:pPr>
              <w:spacing w:after="0"/>
              <w:rPr>
                <w:sz w:val="1"/>
                <w:szCs w:val="1"/>
                <w:color w:val="auto"/>
              </w:rPr>
            </w:pPr>
          </w:p>
        </w:tc>
      </w:tr>
      <w:tr>
        <w:trPr>
          <w:trHeight w:val="24"/>
        </w:trPr>
        <w:tc>
          <w:tcPr>
            <w:tcW w:w="3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opinion of management, the June 30, 2021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2020 included in the Company’s Annual Report on Form 10-K. The December 31, 2020 consolidated balance sheet was derived from audited financial statements, but does not include all disclosures required by accounting principles generally accepted in the United States. Operating results for the three and six month period ended June 30, 2021 are not necessarily indicative of the results to be expected for the entire year.</w:t>
      </w:r>
    </w:p>
    <w:p>
      <w:pPr>
        <w:spacing w:after="0" w:line="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preparation of consolidated financial statements is in conformity with generally accepted accounting principles in the United States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is subject to risks and uncertainties as a result of the COVID-19 pandemic. During the beginning of 2020, the Company's customers diverted resources to treat COVID-19 patients and deferred or canceled elective or non-emergent surgical procedures, all of which impacted hospitals' abilities to meet their obligations, including to the Company. Towards the end of 2020 and during the first half of 2021, procedural volumes relevant to the Company’s products steadily increased and, in some geographic areas, began to approach normalized levels. However, on-going uncertainty persists about the continuing sustainability of those procedural volumes as virus outbreaks constrain healthcare networks. Furthermore, capital markets and economies worldwide have also been negatively impacted by the COVID-19 pandemic, and it is possible that it could cause a local and/or global economic recession. Such economic disruption has had an adverse effect on the Company's business as customers curtailed and reduced capital and overall spending. Policymakers around the globe have responded with fiscal policy actions to support the healthcare industry and the economy as a whole. The magnitude and overall effectiveness of these actions remains uncertain. The severity of the impact of the COVID-19 pandemic on the Company's business will depend on a number of factors, including, but not limited to, duration of the pandemic, including resurgences, new variants or strains, impact of government regulations, the speed and effectiveness of vaccine distribution, vaccine adoption rates and the direct and indirect economic effects of the pandemic and containment measures. The Company's future results of operations and liquidity could be adversely impacted by delays in payments of outstanding receivable amounts beyond normal payment terms, supply chain disruptions and uncertain demand, and the impact of any initiatives or programs that the Company may undertake to address financial and operations challenges faced by its customers. During the first half of 2021, the Company's revenues were still impacted due to COVID-19 resurgences and lower surgical procedural volumes, though not to the levels seen in early 2020. As a result, the Company has continued to manage its operating costs in this environment. Even after the COVID-19 pandemic and government responses thereto have subsided, residual economic and other effects may have an impact on the demand for post-pandemic surgery levels that are difficult to predict.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June 2016, the FASB issued ASU No. 2016-13, Financial Instruments - </w:t>
      </w:r>
      <w:r>
        <w:rPr>
          <w:rFonts w:ascii="Arial" w:cs="Arial" w:eastAsia="Arial" w:hAnsi="Arial"/>
          <w:sz w:val="16"/>
          <w:szCs w:val="16"/>
          <w:i w:val="1"/>
          <w:iCs w:val="1"/>
          <w:color w:val="auto"/>
        </w:rPr>
        <w:t>Credit Losses (Topic 326)</w:t>
      </w:r>
      <w:r>
        <w:rPr>
          <w:rFonts w:ascii="Arial" w:cs="Arial" w:eastAsia="Arial" w:hAnsi="Arial"/>
          <w:sz w:val="16"/>
          <w:szCs w:val="16"/>
          <w:color w:val="auto"/>
        </w:rPr>
        <w:t>: Measurement of Credit Losses on Financial Instruments. The ASU is intended to improve financial reporting by requiring timelier recording of credit losses on loans and other financial instruments held by financial institutions and other organizations. The ASU requires the measurement of all expected credit losses for financial assets including trade receivables held at the reporting date based on historical experience, current conditions, and reasonable and supportable forecasts. Financial institutions and other organizations will now use forward-looking information to better inform their credit loss estimates. The ASU became effective for fiscal years, and interim periods within those fiscal years, beginning after December 15, 2019. The Company adopted this guidance on January 1, 2020 using a modified retrospective transition method which requires a cumulative-effect adjustment to the opening balance of retained earnings to be recognized on the date of adoption with no change to financial results reported in prior periods. The cumulative-effect adjustment recorded on January 1, 2020 is not material. The adoption of this ASU did not have a significant impact on the Company's consolidated financial statements and related disclosures.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exposure to credit losses may increase if its customers are adversely affected by changes in healthcare laws, coverage, and reimbursement, economic pressures or uncertainty associated with local or global economic recessions, disruption associated with the COVID-19 pandemic, and other customer-specific factors. Although the Company has historically not experienced significant credit losses, it is possible that there could be an adverse impact due to customer and governmental responses to the COVID-19 pandemic.</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Compensation-Retirement Benefits-Defined Benefit Plans-General (Subtopic 715-20):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Framework-Changes to the Disclosure Requirements for Defined Benefit Plans</w:t>
      </w:r>
      <w:r>
        <w:rPr>
          <w:rFonts w:ascii="Arial" w:cs="Arial" w:eastAsia="Arial" w:hAnsi="Arial"/>
          <w:sz w:val="17"/>
          <w:szCs w:val="17"/>
          <w:color w:val="auto"/>
        </w:rPr>
        <w:t>. This guidance modifies the disclosure requirements for employers that</w:t>
      </w:r>
      <w:r>
        <w:rPr>
          <w:rFonts w:ascii="Arial" w:cs="Arial" w:eastAsia="Arial" w:hAnsi="Arial"/>
          <w:sz w:val="17"/>
          <w:szCs w:val="17"/>
          <w:i w:val="1"/>
          <w:iCs w:val="1"/>
          <w:color w:val="auto"/>
        </w:rPr>
        <w:t xml:space="preserve"> </w:t>
      </w:r>
      <w:r>
        <w:rPr>
          <w:rFonts w:ascii="Arial" w:cs="Arial" w:eastAsia="Arial" w:hAnsi="Arial"/>
          <w:sz w:val="17"/>
          <w:szCs w:val="17"/>
          <w:color w:val="auto"/>
        </w:rPr>
        <w:t>sponsor defined benefit pension or other postretirement plans. The ASU is effective for fiscal years beginning after December 15, 2020, including interim periods within those fiscal years. Early adoption was permitted. The Company adopted this guidance during the year ended December 31, 2020. The adoption of this guidance did not have a significant impact on the Company's consolidated financial statements and related disclosures.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(Subtopic 350-40), relating to a customer's accounting for implementation, set-up, and other upfront costs incurred in a cloud computing arrangement that is hosted by a vendor (e.g., a service contract). Under this guidance, a customer will apply the same criteria for capitalizing implementation costs as it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ASU is effective for fiscal years, and interim periods within those fiscal years, beginning after December 15, 2019. The Company adopted this guidance on January 1, 2020 using a prospective transition method. The adoption of this guidance did not have a significant impact on the Company's consolidated financial statements and related disclosures.</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Simplifying the Accounting for Income Taxes,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This guidance also simplifies aspects of the accounting for franchise taxes and enacted changes in tax laws or rates and clarifies the accounting for transactions that result in a step-up in the tax basis of goodwill. The standard is effective for annual periods beginning after December 15, 2020 and interim periods within, with early adoption permitted. The Company adopted ASU No. 2019-12 as of January 1, 2021. Adoption of the standard requires certain changes to be made prospectively, with some changes to be made retrospectively. The adoption of this guidance did not have a material impact on the Company's results or financial position.</w:t>
      </w:r>
    </w:p>
    <w:p>
      <w:pPr>
        <w:spacing w:after="0" w:line="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which provides optional guidance for a limited period of time to ease the potential burden in accounting for (or recognizing the effects of) reference rate reform on financial reporting. This amendment applies to all entities, subject to meeting certain criteria, that have contracts, hedging relationships, and other transactions that reference London Inter-Bank Offered Rate ("LIBOR") or another reference rate expected to be discontinued because of reference rate reform. This ASU is effective immediately and may be applied prospectively to contract modifications made and hedging relationships entered into or evaluated on or before December 31, 2022. In January 2021, the FASB also issued ASU 2021-01, </w:t>
      </w:r>
      <w:r>
        <w:rPr>
          <w:rFonts w:ascii="Arial" w:cs="Arial" w:eastAsia="Arial" w:hAnsi="Arial"/>
          <w:sz w:val="16"/>
          <w:szCs w:val="16"/>
          <w:i w:val="1"/>
          <w:iCs w:val="1"/>
          <w:color w:val="auto"/>
        </w:rPr>
        <w:t>Reference Rate Reform- Scope</w:t>
      </w:r>
      <w:r>
        <w:rPr>
          <w:rFonts w:ascii="Arial" w:cs="Arial" w:eastAsia="Arial" w:hAnsi="Arial"/>
          <w:sz w:val="16"/>
          <w:szCs w:val="16"/>
          <w:color w:val="auto"/>
        </w:rPr>
        <w:t xml:space="preserve"> which clarified certain optional expedients and exceptions to entities that are affected because of the reference rate reform. The amendments in this ASU affect the guidance in ASU 2020-04 and are effective in the same timeframe as ASU 2020-04. The Company is currently assessing the impact that this ASU will have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815-40)-Accounting for Convertible Instruments and Contracts in an Entity's Own Equity</w:t>
      </w:r>
      <w:r>
        <w:rPr>
          <w:rFonts w:ascii="Arial" w:cs="Arial" w:eastAsia="Arial" w:hAnsi="Arial"/>
          <w:sz w:val="17"/>
          <w:szCs w:val="17"/>
          <w:color w:val="auto"/>
        </w:rPr>
        <w:t>. The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simplifies accounting for convertible instruments by removing major 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The guidance also simplifies the diluted net income per share calculation in certain areas. The ASU will be effective for annual and interim periods beginning after December 15, 2021, and early adoption is permitted for fiscal years beginning after December 15, 2020, and interim periods within those fiscal years using either the modified retrospective or full retrospective method.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detailed in Note 6 – </w:t>
      </w:r>
      <w:r>
        <w:rPr>
          <w:rFonts w:ascii="Arial" w:cs="Arial" w:eastAsia="Arial" w:hAnsi="Arial"/>
          <w:sz w:val="18"/>
          <w:szCs w:val="18"/>
          <w:i w:val="1"/>
          <w:iCs w:val="1"/>
          <w:color w:val="auto"/>
        </w:rPr>
        <w:t>Debt</w:t>
      </w:r>
      <w:r>
        <w:rPr>
          <w:rFonts w:ascii="Arial" w:cs="Arial" w:eastAsia="Arial" w:hAnsi="Arial"/>
          <w:sz w:val="18"/>
          <w:szCs w:val="18"/>
          <w:color w:val="auto"/>
        </w:rPr>
        <w:t>, on February 4, 2020, the Company issued $575.0 million aggregate principal amount of its 0.5% Convertible Senior Notes due 2025 (the "2025 Notes"). The 2025 Notes are subject to the guidance included in ASU 2020-06. The Company adopted this guidance on January 1, 2021 using the modified retrospective approach which resulted in a cumulative-effect adjustment that increased (decreased) the following consolidated balance sheet accounts: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vMerge w:val="restart"/>
          </w:tcPr>
          <w:p>
            <w:pPr>
              <w:ind w:left="2640"/>
              <w:spacing w:after="0"/>
              <w:rPr>
                <w:sz w:val="20"/>
                <w:szCs w:val="20"/>
                <w:color w:val="auto"/>
              </w:rPr>
            </w:pPr>
            <w:r>
              <w:rPr>
                <w:rFonts w:ascii="Arial" w:cs="Arial" w:eastAsia="Arial" w:hAnsi="Arial"/>
                <w:sz w:val="14"/>
                <w:szCs w:val="14"/>
                <w:b w:val="1"/>
                <w:bCs w:val="1"/>
                <w:color w:val="auto"/>
              </w:rPr>
              <w:t>ADJUSTMENT</w:t>
            </w:r>
          </w:p>
        </w:tc>
        <w:tc>
          <w:tcPr>
            <w:tcW w:w="100" w:type="dxa"/>
            <w:vAlign w:val="bottom"/>
            <w:vMerge w:val="restart"/>
          </w:tcPr>
          <w:p>
            <w:pPr>
              <w:spacing w:after="0"/>
              <w:rPr>
                <w:sz w:val="14"/>
                <w:szCs w:val="14"/>
                <w:color w:val="auto"/>
              </w:rPr>
            </w:pPr>
          </w:p>
        </w:tc>
        <w:tc>
          <w:tcPr>
            <w:tcW w:w="3720" w:type="dxa"/>
            <w:vAlign w:val="bottom"/>
            <w:gridSpan w:val="2"/>
          </w:tcPr>
          <w:p>
            <w:pPr>
              <w:ind w:left="600"/>
              <w:spacing w:after="0"/>
              <w:rPr>
                <w:sz w:val="20"/>
                <w:szCs w:val="20"/>
                <w:color w:val="auto"/>
              </w:rPr>
            </w:pPr>
            <w:r>
              <w:rPr>
                <w:rFonts w:ascii="Arial" w:cs="Arial" w:eastAsia="Arial" w:hAnsi="Arial"/>
                <w:sz w:val="14"/>
                <w:szCs w:val="14"/>
                <w:b w:val="1"/>
                <w:bCs w:val="1"/>
                <w:color w:val="auto"/>
              </w:rPr>
              <w:t>CONSOLIDATED BALANCE SHEET</w:t>
            </w:r>
          </w:p>
        </w:tc>
        <w:tc>
          <w:tcPr>
            <w:tcW w:w="160" w:type="dxa"/>
            <w:vAlign w:val="bottom"/>
          </w:tcPr>
          <w:p>
            <w:pPr>
              <w:spacing w:after="0"/>
              <w:rPr>
                <w:sz w:val="14"/>
                <w:szCs w:val="14"/>
                <w:color w:val="auto"/>
              </w:rPr>
            </w:pPr>
          </w:p>
        </w:tc>
        <w:tc>
          <w:tcPr>
            <w:tcW w:w="1020" w:type="dxa"/>
            <w:vAlign w:val="bottom"/>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6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4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CLASSIFICATION</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1"/>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impact of cumulative-effect adjustment</w:t>
            </w: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3"/>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Debt discount reclassification</w:t>
            </w:r>
          </w:p>
        </w:tc>
        <w:tc>
          <w:tcPr>
            <w:tcW w:w="3720" w:type="dxa"/>
            <w:vAlign w:val="bottom"/>
            <w:gridSpan w:val="2"/>
          </w:tcPr>
          <w:p>
            <w:pPr>
              <w:ind w:left="20"/>
              <w:spacing w:after="0"/>
              <w:rPr>
                <w:sz w:val="20"/>
                <w:szCs w:val="20"/>
                <w:color w:val="auto"/>
              </w:rPr>
            </w:pPr>
            <w:r>
              <w:rPr>
                <w:rFonts w:ascii="Arial" w:cs="Arial" w:eastAsia="Arial" w:hAnsi="Arial"/>
                <w:sz w:val="16"/>
                <w:szCs w:val="16"/>
                <w:color w:val="auto"/>
              </w:rPr>
              <w:t>Long-term convertible securities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89.1</w:t>
            </w:r>
          </w:p>
        </w:tc>
        <w:tc>
          <w:tcPr>
            <w:tcW w:w="0" w:type="dxa"/>
            <w:vAlign w:val="bottom"/>
          </w:tcPr>
          <w:p>
            <w:pPr>
              <w:spacing w:after="0"/>
              <w:rPr>
                <w:sz w:val="1"/>
                <w:szCs w:val="1"/>
                <w:color w:val="auto"/>
              </w:rPr>
            </w:pPr>
          </w:p>
        </w:tc>
      </w:tr>
      <w:tr>
        <w:trPr>
          <w:trHeight w:val="219"/>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issuance costs reclassification</w:t>
            </w: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convertible securities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Debt discount amortization and equity costs reclassification, net of tax</w:t>
            </w:r>
          </w:p>
        </w:tc>
        <w:tc>
          <w:tcPr>
            <w:tcW w:w="3720" w:type="dxa"/>
            <w:vAlign w:val="bottom"/>
            <w:gridSpan w:val="2"/>
          </w:tcPr>
          <w:p>
            <w:pPr>
              <w:ind w:left="2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impact of cumulative-effect adjustment</w:t>
            </w: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Upon adoption of this ASU 2020-06, the Company’s Convertible Senior Notes were reflected entirely as a liability since the embedded conversion feature will no longer be separately presented within stockholders’ equity. On December 9, 2020, the Company made an irrevocable election under the indenture to require the principal portion of its convertible senior notes to be settled in cash and any excess in shares. Following the irrevocable notice, only the amounts settled in excess of the principal will be considered in diluted earnings per share under the “if-converted” method. Additionally, from January 1, 2021, the Company is no longer incurring non-cash interest expense for the amortization of debt discount, therefore the interest expense for the 2025 Notes, which is included in the interest expense on the consolidated statements of operations and comprehensive loss, is lower as compared to the fiscal year of 2020.</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October 2020, the FASB issued ASU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which updates various codification topics by clarifying or improving disclosure requirements to align with the SEC’s regulations. The ASU will be effective for the Company for annual and interim periods beginning after January 1, 2021. The Company adopted this standard on the January 1, 2021. The adoption of this guidance did not have a material impact on the Company's results, financial position or disclosures.</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May 2021, the FASB issued ASU No. 2021-04, </w:t>
      </w:r>
      <w:r>
        <w:rPr>
          <w:rFonts w:ascii="Arial" w:cs="Arial" w:eastAsia="Arial" w:hAnsi="Arial"/>
          <w:sz w:val="16"/>
          <w:szCs w:val="16"/>
          <w:i w:val="1"/>
          <w:iCs w:val="1"/>
          <w:color w:val="auto"/>
        </w:rPr>
        <w:t>Earnings Per Share (Topic 260), Debt—Modifications and Extinguishments (Subtopic 470-50),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Compensation—Stock Compensation (Topic 718), and Derivatives and Hedging—Contracts in Entity’s Own Equity (Subtopic 815-40): Issuer’s Accounting for Certain Modifications or Exchanges of Freestanding Equity-Classified Written Call Options </w:t>
      </w:r>
      <w:r>
        <w:rPr>
          <w:rFonts w:ascii="Arial" w:cs="Arial" w:eastAsia="Arial" w:hAnsi="Arial"/>
          <w:sz w:val="16"/>
          <w:szCs w:val="16"/>
          <w:color w:val="auto"/>
        </w:rPr>
        <w:t>which provides guidance to clarify and reduce diversity in</w:t>
      </w:r>
      <w:r>
        <w:rPr>
          <w:rFonts w:ascii="Arial" w:cs="Arial" w:eastAsia="Arial" w:hAnsi="Arial"/>
          <w:sz w:val="16"/>
          <w:szCs w:val="16"/>
          <w:i w:val="1"/>
          <w:iCs w:val="1"/>
          <w:color w:val="auto"/>
        </w:rPr>
        <w:t xml:space="preserve"> </w:t>
      </w:r>
      <w:r>
        <w:rPr>
          <w:rFonts w:ascii="Arial" w:cs="Arial" w:eastAsia="Arial" w:hAnsi="Arial"/>
          <w:sz w:val="16"/>
          <w:szCs w:val="16"/>
          <w:color w:val="auto"/>
        </w:rPr>
        <w:t>an issuer’s accounting for modifications or exchanges of freestanding equity-classified written call options (for example, warrants) that remain equity classified after modification or exchange. The amendments in this ASU No. 2021-04 are effective for all entities for fiscal years beginning after December 15, 2021, and interim periods within those fiscal years, with early adoption permitted, including interim periods within those fiscal years. The amendment currently has no impact to the Company as the effect will largely depend on the terms of written call options or financings issued or modified in the future.</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any significant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Extremity Orthopedics Business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4, 2021, the Company completed its previously announced sale of its Extremity Orthopedics business to Smith &amp; Nephew USD Limited ("Smith &amp; Nephew"). The transaction included the sale of the Company's upper and lower Extremity Orthopedics product portfolio, including ankle and shoulder arthroplasty and hand and wrist product lines. The Company received an aggregate purchase price of $240.0 million from Smith and Nephew and concurrently paid $41.5 million to the Consortium of Focused Orthopedists, LLC ("CFO") effectively terminating the licensing agreement between Integra and CFO relating to the development of shoulder arthroplasty products.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divested consisted of the following as of December 31, 2020 (dollar amounts in thousands):</w:t>
      </w:r>
    </w:p>
    <w:p>
      <w:pPr>
        <w:spacing w:after="0" w:line="22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8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Right of use asset-operating leases and Other assets</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3,186</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8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13,332</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8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37,893</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Goodwill</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47,546</w:t>
            </w: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8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52,845</w:t>
            </w:r>
          </w:p>
        </w:tc>
      </w:tr>
      <w:tr>
        <w:trPr>
          <w:trHeight w:val="213"/>
        </w:trPr>
        <w:tc>
          <w:tcPr>
            <w:tcW w:w="4440" w:type="dxa"/>
            <w:vAlign w:val="bottom"/>
          </w:tcPr>
          <w:p>
            <w:pPr>
              <w:ind w:left="240"/>
              <w:spacing w:after="0"/>
              <w:rPr>
                <w:sz w:val="20"/>
                <w:szCs w:val="20"/>
                <w:color w:val="auto"/>
              </w:rPr>
            </w:pPr>
            <w:r>
              <w:rPr>
                <w:rFonts w:ascii="Arial" w:cs="Arial" w:eastAsia="Arial" w:hAnsi="Arial"/>
                <w:sz w:val="16"/>
                <w:szCs w:val="16"/>
                <w:b w:val="1"/>
                <w:bCs w:val="1"/>
                <w:color w:val="auto"/>
              </w:rPr>
              <w:t>Total assets held for sale</w:t>
            </w:r>
          </w:p>
        </w:tc>
        <w:tc>
          <w:tcPr>
            <w:tcW w:w="86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162,104</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4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336</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lease liability - operating leases</w:t>
            </w:r>
          </w:p>
        </w:tc>
        <w:tc>
          <w:tcPr>
            <w:tcW w:w="8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Accrued compensation</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1,767</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8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3,440</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Lease liability - operating leases</w:t>
            </w:r>
          </w:p>
        </w:tc>
        <w:tc>
          <w:tcPr>
            <w:tcW w:w="8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5,669</w:t>
            </w:r>
          </w:p>
        </w:tc>
      </w:tr>
      <w:tr>
        <w:trPr>
          <w:trHeight w:val="237"/>
        </w:trPr>
        <w:tc>
          <w:tcPr>
            <w:tcW w:w="4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liabilities held for sale</w:t>
            </w:r>
          </w:p>
        </w:tc>
        <w:tc>
          <w:tcPr>
            <w:tcW w:w="86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11,751</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Divestiture does not represent a strategic shift that will have a major effect on the Company's operations and financial statements. Goodwill was allocated to the assets and liabilities divested using the relative fair value method of the Extremity Orthopedics business to the Company's Tissue Technologies reporting unit. In connection with the sale, the Company recognized a loss of $0.7 million associated with certain working capital adjustments and gain of $42.2 million that is presented in Gain from the sale of business in the consolidated statement of operations for the three and six months ended June 30, 2021. The net proceeds are subject to adjustments based on changes in the actual closing net working capital. The purchase price is preliminary pending finalization of potential working capital adjustments.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entered into a transition services agreement ("TSA") with Smith &amp; Nephew which requires the Company to provide certain services on behalf of Smith &amp; Nephew for the duration of the period subsequent to the sale of the business as defined in the agreement. The Company recognized a payable due to Smith &amp; Nephew of $10.9 million as of June 30, 2021, included in the consolidated balance sheet within accrued expenses and other current liabilities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ACell Inc. Acquisition</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January 20, 2021, the Company acquired ACell Inc. (the "ACell Acquisition") for an acquisition purchase price of $306.9 million plus contingent consideration of up to $100 million, that may be payable upon achieving certain revenue-based performance milestones in 2022, 2023 and 2025. The final working capital adjustments of $1.3 million was finalized and paid as of June 30, 2021; however certain amounts relating to tax related matters have not been finalized. The finalization of these matters may result in changes to goodwill. ACell was a privately-held company that offered a portfolio of regenerative products for complex wound management, including developing and commercializing products based on MatriStem Urinary Bladder Matrix ("UBM"), a technology platform derived from porcine urinary bladder extracellular matrix.</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ACell Acquisition has been accounted for using the acquisition method of accounting. This method requires that assets acquired and liabilities assumed in a business combination are recognized at their fair values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fair values of the assets acquired and liabilities assumed at the acquisition date: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204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Preliminary Valuation as of</w:t>
            </w:r>
          </w:p>
        </w:tc>
        <w:tc>
          <w:tcPr>
            <w:tcW w:w="100" w:type="dxa"/>
            <w:vAlign w:val="bottom"/>
          </w:tcPr>
          <w:p>
            <w:pPr>
              <w:spacing w:after="0"/>
              <w:rPr>
                <w:sz w:val="14"/>
                <w:szCs w:val="14"/>
                <w:color w:val="auto"/>
              </w:rPr>
            </w:pPr>
          </w:p>
        </w:tc>
        <w:tc>
          <w:tcPr>
            <w:tcW w:w="17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Weighted Average Life</w:t>
            </w:r>
          </w:p>
        </w:tc>
        <w:tc>
          <w:tcPr>
            <w:tcW w:w="0" w:type="dxa"/>
            <w:vAlign w:val="bottom"/>
          </w:tcPr>
          <w:p>
            <w:pPr>
              <w:spacing w:after="0"/>
              <w:rPr>
                <w:sz w:val="1"/>
                <w:szCs w:val="1"/>
                <w:color w:val="auto"/>
              </w:rPr>
            </w:pPr>
          </w:p>
        </w:tc>
      </w:tr>
      <w:tr>
        <w:trPr>
          <w:trHeight w:val="188"/>
        </w:trPr>
        <w:tc>
          <w:tcPr>
            <w:tcW w:w="734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40"/>
              <w:spacing w:after="0"/>
              <w:rPr>
                <w:sz w:val="20"/>
                <w:szCs w:val="20"/>
                <w:color w:val="auto"/>
              </w:rPr>
            </w:pPr>
            <w:r>
              <w:rPr>
                <w:rFonts w:ascii="Arial" w:cs="Arial" w:eastAsia="Arial" w:hAnsi="Arial"/>
                <w:sz w:val="16"/>
                <w:szCs w:val="16"/>
                <w:color w:val="auto"/>
              </w:rPr>
              <w:t>Cash</w:t>
            </w:r>
          </w:p>
        </w:tc>
        <w:tc>
          <w:tcPr>
            <w:tcW w:w="1440" w:type="dxa"/>
            <w:vAlign w:val="bottom"/>
          </w:tcPr>
          <w:p>
            <w:pPr>
              <w:jc w:val="right"/>
              <w:ind w:right="1263"/>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2,726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Trade accounts receivable, net</w:t>
            </w:r>
          </w:p>
        </w:tc>
        <w:tc>
          <w:tcPr>
            <w:tcW w:w="1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40"/>
              <w:spacing w:after="0"/>
              <w:rPr>
                <w:sz w:val="20"/>
                <w:szCs w:val="20"/>
                <w:color w:val="auto"/>
              </w:rPr>
            </w:pPr>
            <w:r>
              <w:rPr>
                <w:rFonts w:ascii="Arial" w:cs="Arial" w:eastAsia="Arial" w:hAnsi="Arial"/>
                <w:sz w:val="16"/>
                <w:szCs w:val="16"/>
                <w:color w:val="auto"/>
              </w:rPr>
              <w:t>Inventories, net</w:t>
            </w:r>
          </w:p>
        </w:tc>
        <w:tc>
          <w:tcPr>
            <w:tcW w:w="1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18,299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Prepaids expenses and other current assets</w:t>
            </w:r>
          </w:p>
        </w:tc>
        <w:tc>
          <w:tcPr>
            <w:tcW w:w="1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34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14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38,992</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1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6"/>
              </w:rPr>
              <w:t>245,000</w:t>
            </w:r>
          </w:p>
        </w:tc>
        <w:tc>
          <w:tcPr>
            <w:tcW w:w="100" w:type="dxa"/>
            <w:vAlign w:val="bottom"/>
          </w:tcPr>
          <w:p>
            <w:pPr>
              <w:spacing w:after="0"/>
              <w:rPr>
                <w:sz w:val="18"/>
                <w:szCs w:val="18"/>
                <w:color w:val="auto"/>
              </w:rPr>
            </w:pPr>
          </w:p>
        </w:tc>
        <w:tc>
          <w:tcPr>
            <w:tcW w:w="1760" w:type="dxa"/>
            <w:vAlign w:val="bottom"/>
          </w:tcPr>
          <w:p>
            <w:pPr>
              <w:ind w:left="980"/>
              <w:spacing w:after="0"/>
              <w:rPr>
                <w:sz w:val="20"/>
                <w:szCs w:val="20"/>
                <w:color w:val="auto"/>
              </w:rPr>
            </w:pPr>
            <w:r>
              <w:rPr>
                <w:rFonts w:ascii="Arial" w:cs="Arial" w:eastAsia="Arial" w:hAnsi="Arial"/>
                <w:sz w:val="16"/>
                <w:szCs w:val="16"/>
                <w:color w:val="auto"/>
                <w:w w:val="89"/>
              </w:rPr>
              <w:t>13-14 years</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94,298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Right of use asset - operating leases</w:t>
            </w:r>
          </w:p>
        </w:tc>
        <w:tc>
          <w:tcPr>
            <w:tcW w:w="1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9,259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411,234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440" w:type="dxa"/>
            <w:vAlign w:val="bottom"/>
          </w:tcPr>
          <w:p>
            <w:pPr>
              <w:jc w:val="right"/>
              <w:ind w:right="1263"/>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1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Current portion of lease liability - operating leases</w:t>
            </w:r>
          </w:p>
        </w:tc>
        <w:tc>
          <w:tcPr>
            <w:tcW w:w="1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Other long-term liability</w:t>
            </w:r>
          </w:p>
        </w:tc>
        <w:tc>
          <w:tcPr>
            <w:tcW w:w="1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 operating leases</w:t>
            </w:r>
          </w:p>
        </w:tc>
        <w:tc>
          <w:tcPr>
            <w:tcW w:w="1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1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64,178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1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14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86"/>
              </w:rPr>
              <w:t>104,296</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1440" w:type="dxa"/>
            <w:vAlign w:val="bottom"/>
            <w:tcBorders>
              <w:bottom w:val="single" w:sz="8" w:color="auto"/>
            </w:tcBorders>
          </w:tcPr>
          <w:p>
            <w:pPr>
              <w:jc w:val="right"/>
              <w:ind w:right="1263"/>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6"/>
              </w:rPr>
              <w:t>306,938</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 of the developed technology acquired was determined using the multi-period excess earnings method of the income approach, which estimates value based on the present value of future economic benefits. Some of the more significant assumptions inherent in the development of those asset valuations include the estimated net cash flows for each year for each product including net revenues, cost of sales, R&amp;D costs, selling and marketing costs, the appropriate discount rate to select in order to measure the risk inherent in each future cash flow stream, the assessment of each asset’s life cycle, and competitive trends impacting the asset and each cash flow stream.</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used a discount rate of 8.5%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allocated goodwill related to the ACell Acquisition to the Tissue Technologies segment. Goodwill is the excess of the consideration transferred over the net assets recognized and represents the expected synergies of the combined company and assembled workforce. Goodwill recognized as a result of this acquisition is non-deductible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part of the acquisition, the Company is required to pay the former shareholders of ACell up to $100 million based on the achievement of certain revenue-based performance milestones in 2022, 2023, and 2025. The Company used iterations of the Monte Carlo simulation to calculate the fair value of the contingent consideration that considered the possible outcomes of scenarios related to each specific milestone. The Company estimated the fair value of the contingent consideration to be $23.9 million at the acquisition date. The estimated fair value as of June 30, 2021 was $23.5 million. This amount is included in other liabilities at June 30, 2021 in the consolidated balance sheets of the Company.</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determines the acquisition date fair value of contingent consideration obligations using a Monte Carlo simulation, as well as significant unobservable inputs, reflecting the Company’s assessment of the assumptions market participants would use to value these liabilities. The fair value measurement is based on significant inputs not observable in the market and thus represents a Level 3 measurement as defined using the fair value concepts in ASC 820. The resultant most likely payouts are discounted using an appropriate effective annual interest rate. At each reporting date, the contingent consideration obligation will be revalued to estimated fair value and changes in fair value will be reflected as income or expense in our consolidated statement of operations. Changes in the fair value of the contingent considerations may result from changes in discount periods and rates and changes in the timing and amount of revenue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(unaudited)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 forma revenues for the three months ended June 30, 2021 and 2020 were $390.0 million and $269.6 million, respectively. Pro forma revenues for the six months ended June 30, 2021 and 2020 were $754.7 million and $646.9 million, respectively. Pro forma net income and earnings per share are not presented for this acquisition as they are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Accounting Policies on Revenue Recognition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performance obligations consist mainly of transferring control of goods and services identified in the contracts, purchase orders, or invoices. The Company has no significant multi-element contracts with customers.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Usage-based royalties and licenses are estimated based on the provisions of contracts with customers and recognized in the same period that the royalty-based products are sold by the Company and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ninety days.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 and Liability</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contract asset and liability balances for the six months ended June 30,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Contract Asset</w:t>
            </w:r>
          </w:p>
        </w:tc>
        <w:tc>
          <w:tcPr>
            <w:tcW w:w="8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9060" w:type="dxa"/>
            <w:vAlign w:val="bottom"/>
            <w:gridSpan w:val="3"/>
          </w:tcPr>
          <w:p>
            <w:pPr>
              <w:ind w:left="200"/>
              <w:spacing w:after="0"/>
              <w:rPr>
                <w:sz w:val="20"/>
                <w:szCs w:val="20"/>
                <w:color w:val="auto"/>
              </w:rPr>
            </w:pPr>
            <w:r>
              <w:rPr>
                <w:rFonts w:ascii="Arial" w:cs="Arial" w:eastAsia="Arial" w:hAnsi="Arial"/>
                <w:sz w:val="16"/>
                <w:szCs w:val="16"/>
                <w:color w:val="auto"/>
              </w:rPr>
              <w:t>Contract asset, January 1, 2021</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7,430</w:t>
            </w:r>
          </w:p>
        </w:tc>
      </w:tr>
      <w:tr>
        <w:trPr>
          <w:trHeight w:val="219"/>
        </w:trPr>
        <w:tc>
          <w:tcPr>
            <w:tcW w:w="20" w:type="dxa"/>
            <w:vAlign w:val="bottom"/>
            <w:shd w:val="clear" w:color="auto" w:fill="CCEEFF"/>
          </w:tcPr>
          <w:p>
            <w:pPr>
              <w:spacing w:after="0"/>
              <w:rPr>
                <w:sz w:val="19"/>
                <w:szCs w:val="19"/>
                <w:color w:val="auto"/>
              </w:rPr>
            </w:pPr>
          </w:p>
        </w:tc>
        <w:tc>
          <w:tcPr>
            <w:tcW w:w="90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Transferred to trade receivable of contract asset included in beginning of the year contract asset</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(7,430)</w:t>
            </w:r>
          </w:p>
        </w:tc>
      </w:tr>
      <w:tr>
        <w:trPr>
          <w:trHeight w:val="213"/>
        </w:trPr>
        <w:tc>
          <w:tcPr>
            <w:tcW w:w="20" w:type="dxa"/>
            <w:vAlign w:val="bottom"/>
            <w:tcBorders>
              <w:bottom w:val="single" w:sz="8" w:color="CCEEFF"/>
            </w:tcBorders>
          </w:tcPr>
          <w:p>
            <w:pPr>
              <w:spacing w:after="0"/>
              <w:rPr>
                <w:sz w:val="18"/>
                <w:szCs w:val="18"/>
                <w:color w:val="auto"/>
              </w:rPr>
            </w:pPr>
          </w:p>
        </w:tc>
        <w:tc>
          <w:tcPr>
            <w:tcW w:w="9060" w:type="dxa"/>
            <w:vAlign w:val="bottom"/>
            <w:tcBorders>
              <w:bottom w:val="single" w:sz="8" w:color="CCEEFF"/>
            </w:tcBorders>
            <w:gridSpan w:val="3"/>
          </w:tcPr>
          <w:p>
            <w:pPr>
              <w:ind w:left="620"/>
              <w:spacing w:after="0"/>
              <w:rPr>
                <w:sz w:val="20"/>
                <w:szCs w:val="20"/>
                <w:color w:val="auto"/>
              </w:rPr>
            </w:pPr>
            <w:r>
              <w:rPr>
                <w:rFonts w:ascii="Arial" w:cs="Arial" w:eastAsia="Arial" w:hAnsi="Arial"/>
                <w:sz w:val="16"/>
                <w:szCs w:val="16"/>
                <w:color w:val="auto"/>
              </w:rPr>
              <w:t>Contract asset, net of transferred to trade receivables on contracts during the period</w:t>
            </w:r>
          </w:p>
        </w:tc>
        <w:tc>
          <w:tcPr>
            <w:tcW w:w="8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0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Contract asset, June 30, 2021</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906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auto"/>
              </w:rPr>
              <w:t>Contract Liability</w:t>
            </w:r>
          </w:p>
        </w:tc>
        <w:tc>
          <w:tcPr>
            <w:tcW w:w="8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9060" w:type="dxa"/>
            <w:vAlign w:val="bottom"/>
            <w:gridSpan w:val="3"/>
          </w:tcPr>
          <w:p>
            <w:pPr>
              <w:ind w:left="200"/>
              <w:spacing w:after="0"/>
              <w:rPr>
                <w:sz w:val="20"/>
                <w:szCs w:val="20"/>
                <w:color w:val="auto"/>
              </w:rPr>
            </w:pPr>
            <w:r>
              <w:rPr>
                <w:rFonts w:ascii="Arial" w:cs="Arial" w:eastAsia="Arial" w:hAnsi="Arial"/>
                <w:sz w:val="16"/>
                <w:szCs w:val="16"/>
                <w:color w:val="auto"/>
              </w:rPr>
              <w:t>Contract liability, January 1, 2021</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11,961</w:t>
            </w:r>
          </w:p>
        </w:tc>
      </w:tr>
      <w:tr>
        <w:trPr>
          <w:trHeight w:val="219"/>
        </w:trPr>
        <w:tc>
          <w:tcPr>
            <w:tcW w:w="20" w:type="dxa"/>
            <w:vAlign w:val="bottom"/>
            <w:shd w:val="clear" w:color="auto" w:fill="CCEEFF"/>
          </w:tcPr>
          <w:p>
            <w:pPr>
              <w:spacing w:after="0"/>
              <w:rPr>
                <w:sz w:val="19"/>
                <w:szCs w:val="19"/>
                <w:color w:val="auto"/>
              </w:rPr>
            </w:pPr>
          </w:p>
        </w:tc>
        <w:tc>
          <w:tcPr>
            <w:tcW w:w="90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Recognition of revenue included in beginning of year contract liability</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w:t>
            </w:r>
          </w:p>
        </w:tc>
      </w:tr>
      <w:tr>
        <w:trPr>
          <w:trHeight w:val="213"/>
        </w:trPr>
        <w:tc>
          <w:tcPr>
            <w:tcW w:w="20" w:type="dxa"/>
            <w:vAlign w:val="bottom"/>
          </w:tcPr>
          <w:p>
            <w:pPr>
              <w:spacing w:after="0"/>
              <w:rPr>
                <w:sz w:val="18"/>
                <w:szCs w:val="18"/>
                <w:color w:val="auto"/>
              </w:rPr>
            </w:pPr>
          </w:p>
        </w:tc>
        <w:tc>
          <w:tcPr>
            <w:tcW w:w="9060" w:type="dxa"/>
            <w:vAlign w:val="bottom"/>
            <w:gridSpan w:val="3"/>
          </w:tcPr>
          <w:p>
            <w:pPr>
              <w:ind w:left="460"/>
              <w:spacing w:after="0"/>
              <w:rPr>
                <w:sz w:val="20"/>
                <w:szCs w:val="20"/>
                <w:color w:val="auto"/>
              </w:rPr>
            </w:pPr>
            <w:r>
              <w:rPr>
                <w:rFonts w:ascii="Arial" w:cs="Arial" w:eastAsia="Arial" w:hAnsi="Arial"/>
                <w:sz w:val="16"/>
                <w:szCs w:val="16"/>
                <w:color w:val="auto"/>
              </w:rPr>
              <w:t>Contract liability, net of revenue recognized on contracts during the period</w:t>
            </w:r>
          </w:p>
        </w:tc>
        <w:tc>
          <w:tcPr>
            <w:tcW w:w="8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3,102</w:t>
            </w:r>
          </w:p>
        </w:tc>
      </w:tr>
      <w:tr>
        <w:trPr>
          <w:trHeight w:val="216"/>
        </w:trPr>
        <w:tc>
          <w:tcPr>
            <w:tcW w:w="20" w:type="dxa"/>
            <w:vAlign w:val="bottom"/>
            <w:shd w:val="clear" w:color="auto" w:fill="CCEEFF"/>
          </w:tcPr>
          <w:p>
            <w:pPr>
              <w:spacing w:after="0"/>
              <w:rPr>
                <w:sz w:val="18"/>
                <w:szCs w:val="18"/>
                <w:color w:val="auto"/>
              </w:rPr>
            </w:pPr>
          </w:p>
        </w:tc>
        <w:tc>
          <w:tcPr>
            <w:tcW w:w="90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Foreign currency translation</w:t>
            </w:r>
          </w:p>
        </w:tc>
        <w:tc>
          <w:tcPr>
            <w:tcW w:w="8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2"/>
        </w:trPr>
        <w:tc>
          <w:tcPr>
            <w:tcW w:w="20" w:type="dxa"/>
            <w:vAlign w:val="bottom"/>
          </w:tcPr>
          <w:p>
            <w:pPr>
              <w:spacing w:after="0"/>
              <w:rPr>
                <w:sz w:val="18"/>
                <w:szCs w:val="18"/>
                <w:color w:val="auto"/>
              </w:rPr>
            </w:pPr>
          </w:p>
        </w:tc>
        <w:tc>
          <w:tcPr>
            <w:tcW w:w="9060" w:type="dxa"/>
            <w:vAlign w:val="bottom"/>
            <w:gridSpan w:val="3"/>
          </w:tcPr>
          <w:p>
            <w:pPr>
              <w:ind w:left="200"/>
              <w:spacing w:after="0"/>
              <w:rPr>
                <w:sz w:val="20"/>
                <w:szCs w:val="20"/>
                <w:color w:val="auto"/>
              </w:rPr>
            </w:pPr>
            <w:r>
              <w:rPr>
                <w:rFonts w:ascii="Arial" w:cs="Arial" w:eastAsia="Arial" w:hAnsi="Arial"/>
                <w:sz w:val="16"/>
                <w:szCs w:val="16"/>
                <w:color w:val="auto"/>
              </w:rPr>
              <w:t>Contract liability, June 30, 2021</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12,100</w:t>
            </w: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2021, the short-term portion of the contract liability of $5.9 million and the long-term portion of $6.2 million were included in accrued expenses and other current liabilities and other liabilities, respectively, in the consolidated balance sheet.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 Company is expected to recognize approximately 49% of unsatisfied (or partially unsatisfied) performance obligations as revenue within twelve months, with the remaining balance to be recognized thereafter.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Collected from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revenues disaggregated by the major sources of revenues for the three and six months ended June 30, 2021 and 2020 (dollar amounts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8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June</w:t>
            </w:r>
          </w:p>
        </w:tc>
        <w:tc>
          <w:tcPr>
            <w:tcW w:w="18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June</w:t>
            </w:r>
          </w:p>
        </w:tc>
        <w:tc>
          <w:tcPr>
            <w:tcW w:w="184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Six Months Ended June 30,</w:t>
            </w: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88"/>
        </w:trPr>
        <w:tc>
          <w:tcPr>
            <w:tcW w:w="39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30, 2021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30, 2020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r>
      <w:tr>
        <w:trPr>
          <w:trHeight w:val="197"/>
        </w:trPr>
        <w:tc>
          <w:tcPr>
            <w:tcW w:w="3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Neurosurgery</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202,600</w:t>
            </w:r>
          </w:p>
        </w:tc>
        <w:tc>
          <w:tcPr>
            <w:tcW w:w="10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141,430</w:t>
            </w: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391,854</w:t>
            </w: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326,373</w:t>
            </w: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28,348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106,224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74,845</w:t>
            </w:r>
          </w:p>
        </w:tc>
      </w:tr>
      <w:tr>
        <w:trPr>
          <w:trHeight w:val="207"/>
        </w:trPr>
        <w:tc>
          <w:tcPr>
            <w:tcW w:w="3980" w:type="dxa"/>
            <w:vAlign w:val="bottom"/>
          </w:tcPr>
          <w:p>
            <w:pPr>
              <w:ind w:left="220"/>
              <w:spacing w:after="0"/>
              <w:rPr>
                <w:sz w:val="20"/>
                <w:szCs w:val="20"/>
                <w:color w:val="auto"/>
              </w:rPr>
            </w:pPr>
            <w:r>
              <w:rPr>
                <w:rFonts w:ascii="Arial" w:cs="Arial" w:eastAsia="Arial" w:hAnsi="Arial"/>
                <w:sz w:val="16"/>
                <w:szCs w:val="16"/>
                <w:color w:val="auto"/>
              </w:rPr>
              <w:t>Total Codman Specialty Surgical</w:t>
            </w: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256,837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169,778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498,078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401,218</w:t>
            </w:r>
          </w:p>
        </w:tc>
      </w:tr>
      <w:tr>
        <w:trPr>
          <w:trHeight w:val="219"/>
        </w:trPr>
        <w:tc>
          <w:tcPr>
            <w:tcW w:w="3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3980" w:type="dxa"/>
            <w:vAlign w:val="bottom"/>
          </w:tcPr>
          <w:p>
            <w:pPr>
              <w:ind w:left="20"/>
              <w:spacing w:after="0" w:line="216" w:lineRule="exact"/>
              <w:rPr>
                <w:sz w:val="20"/>
                <w:szCs w:val="20"/>
                <w:color w:val="auto"/>
              </w:rPr>
            </w:pPr>
            <w:r>
              <w:rPr>
                <w:rFonts w:ascii="Arial" w:cs="Arial" w:eastAsia="Arial" w:hAnsi="Arial"/>
                <w:sz w:val="16"/>
                <w:szCs w:val="16"/>
                <w:color w:val="auto"/>
              </w:rPr>
              <w:t>Wound Reconstruction and Care</w:t>
            </w:r>
            <w:r>
              <w:rPr>
                <w:rFonts w:ascii="Arial" w:cs="Arial" w:eastAsia="Arial" w:hAnsi="Arial"/>
                <w:sz w:val="21"/>
                <w:szCs w:val="21"/>
                <w:color w:val="auto"/>
                <w:vertAlign w:val="superscript"/>
              </w:rPr>
              <w:t>(2)</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102,616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56,291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191,314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128,558</w:t>
            </w:r>
          </w:p>
        </w:tc>
      </w:tr>
      <w:tr>
        <w:trPr>
          <w:trHeight w:val="216"/>
        </w:trPr>
        <w:tc>
          <w:tcPr>
            <w:tcW w:w="39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Extremity Orthopedics</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32,634</w:t>
            </w:r>
          </w:p>
        </w:tc>
      </w:tr>
      <w:tr>
        <w:trPr>
          <w:trHeight w:val="21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 Label</w:t>
            </w: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30,539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21,434</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60,671</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50,579</w:t>
            </w:r>
          </w:p>
        </w:tc>
      </w:tr>
      <w:tr>
        <w:trPr>
          <w:trHeight w:val="210"/>
        </w:trPr>
        <w:tc>
          <w:tcPr>
            <w:tcW w:w="3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Tissue Technologies</w:t>
            </w: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88,887</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251,985</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211,771</w:t>
            </w:r>
          </w:p>
        </w:tc>
      </w:tr>
      <w:tr>
        <w:trPr>
          <w:trHeight w:val="213"/>
        </w:trPr>
        <w:tc>
          <w:tcPr>
            <w:tcW w:w="398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389,992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258,665</w:t>
            </w:r>
          </w:p>
        </w:tc>
        <w:tc>
          <w:tcPr>
            <w:tcW w:w="8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750,063</w:t>
            </w:r>
          </w:p>
        </w:tc>
        <w:tc>
          <w:tcPr>
            <w:tcW w:w="8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612,989</w:t>
            </w:r>
          </w:p>
        </w:tc>
      </w:tr>
      <w:tr>
        <w:trPr>
          <w:trHeight w:val="20"/>
        </w:trPr>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300" w:firstLine="8"/>
        <w:spacing w:after="0" w:line="252" w:lineRule="auto"/>
        <w:tabs>
          <w:tab w:leader="none" w:pos="163"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 xml:space="preserve">On January 4, 2021, the Company completed its previously announced sale of its Extremity Orthopedics business. In conjunction with the sale of this business, the Company rebranded the Orthopedics and Tissue Technologies segment as Tissue Technologies in the first quarter of 2021. See Note 2. </w:t>
      </w:r>
      <w:r>
        <w:rPr>
          <w:rFonts w:ascii="Arial" w:cs="Arial" w:eastAsia="Arial" w:hAnsi="Arial"/>
          <w:sz w:val="15"/>
          <w:szCs w:val="15"/>
          <w:i w:val="1"/>
          <w:iCs w:val="1"/>
          <w:color w:val="auto"/>
        </w:rPr>
        <w:t>Acquisitions and Divestitures,</w:t>
      </w:r>
      <w:r>
        <w:rPr>
          <w:rFonts w:ascii="Arial" w:cs="Arial" w:eastAsia="Arial" w:hAnsi="Arial"/>
          <w:sz w:val="15"/>
          <w:szCs w:val="15"/>
          <w:color w:val="auto"/>
        </w:rPr>
        <w:t xml:space="preserve"> for details.</w:t>
      </w:r>
    </w:p>
    <w:p>
      <w:pPr>
        <w:spacing w:after="0" w:line="21"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 xml:space="preserve">See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xml:space="preserve"> for details around the ACell Inc.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28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Arial" w:cs="Arial" w:eastAsia="Arial" w:hAnsi="Arial"/>
                <w:sz w:val="14"/>
                <w:szCs w:val="14"/>
                <w:b w:val="1"/>
                <w:bCs w:val="1"/>
                <w:color w:val="auto"/>
                <w:w w:val="98"/>
              </w:rPr>
              <w:t>December 31, 2020</w:t>
            </w:r>
          </w:p>
        </w:tc>
      </w:tr>
      <w:tr>
        <w:trPr>
          <w:trHeight w:val="215"/>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180,835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180,301</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61,987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53,336</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76,480</w:t>
            </w:r>
          </w:p>
        </w:tc>
      </w:tr>
      <w:tr>
        <w:trPr>
          <w:trHeight w:val="206"/>
        </w:trPr>
        <w:tc>
          <w:tcPr>
            <w:tcW w:w="7600" w:type="dxa"/>
            <w:vAlign w:val="bottom"/>
          </w:tcPr>
          <w:p>
            <w:pPr>
              <w:ind w:left="20"/>
              <w:spacing w:after="0"/>
              <w:rPr>
                <w:sz w:val="20"/>
                <w:szCs w:val="20"/>
                <w:color w:val="auto"/>
              </w:rPr>
            </w:pPr>
            <w:r>
              <w:rPr>
                <w:rFonts w:ascii="Arial" w:cs="Arial" w:eastAsia="Arial" w:hAnsi="Arial"/>
                <w:sz w:val="16"/>
                <w:szCs w:val="16"/>
                <w:color w:val="auto"/>
              </w:rPr>
              <w:t>Total inventories,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323,618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310,117</w:t>
            </w:r>
          </w:p>
        </w:tc>
      </w:tr>
      <w:tr>
        <w:trPr>
          <w:trHeight w:val="24"/>
        </w:trPr>
        <w:tc>
          <w:tcPr>
            <w:tcW w:w="7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December 31, 2020, $52.8 million of inventories, net was presented separately as "Assets held for sale" in conjunction with the sale of the Extremity Orthopedics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six-month period ended June 30, 2021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Codman Specialty</w:t>
            </w:r>
          </w:p>
        </w:tc>
        <w:tc>
          <w:tcPr>
            <w:tcW w:w="12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Tissue Technologies</w:t>
            </w:r>
          </w:p>
        </w:tc>
        <w:tc>
          <w:tcPr>
            <w:tcW w:w="320" w:type="dxa"/>
            <w:vAlign w:val="bottom"/>
          </w:tcPr>
          <w:p>
            <w:pPr>
              <w:spacing w:after="0"/>
              <w:rPr>
                <w:sz w:val="14"/>
                <w:szCs w:val="14"/>
                <w:color w:val="auto"/>
              </w:rPr>
            </w:pPr>
          </w:p>
        </w:tc>
        <w:tc>
          <w:tcPr>
            <w:tcW w:w="112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Surgical</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671,975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260,392</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932,367</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ACell Acquisition</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94,298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94,298</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(11,027)</w:t>
            </w:r>
          </w:p>
        </w:tc>
        <w:tc>
          <w:tcPr>
            <w:tcW w:w="0" w:type="dxa"/>
            <w:vAlign w:val="bottom"/>
          </w:tcPr>
          <w:p>
            <w:pPr>
              <w:spacing w:after="0"/>
              <w:rPr>
                <w:sz w:val="1"/>
                <w:szCs w:val="1"/>
                <w:color w:val="auto"/>
              </w:rPr>
            </w:pPr>
          </w:p>
        </w:tc>
      </w:tr>
      <w:tr>
        <w:trPr>
          <w:trHeight w:val="206"/>
        </w:trPr>
        <w:tc>
          <w:tcPr>
            <w:tcW w:w="6700" w:type="dxa"/>
            <w:vAlign w:val="bottom"/>
          </w:tcPr>
          <w:p>
            <w:pPr>
              <w:ind w:left="20"/>
              <w:spacing w:after="0"/>
              <w:rPr>
                <w:sz w:val="20"/>
                <w:szCs w:val="20"/>
                <w:color w:val="auto"/>
              </w:rPr>
            </w:pPr>
            <w:r>
              <w:rPr>
                <w:rFonts w:ascii="Arial" w:cs="Arial" w:eastAsia="Arial" w:hAnsi="Arial"/>
                <w:sz w:val="16"/>
                <w:szCs w:val="16"/>
                <w:color w:val="auto"/>
              </w:rPr>
              <w:t>Goodwill at June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664,757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350,881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1,015,638</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June 30, 2021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gridSpan w:val="2"/>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56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1"/>
                <w:szCs w:val="11"/>
                <w:color w:val="auto"/>
              </w:rPr>
            </w:pPr>
          </w:p>
        </w:tc>
        <w:tc>
          <w:tcPr>
            <w:tcW w:w="10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Cost</w:t>
            </w:r>
          </w:p>
        </w:tc>
        <w:tc>
          <w:tcPr>
            <w:tcW w:w="24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5020" w:type="dxa"/>
            <w:vAlign w:val="bottom"/>
            <w:tcBorders>
              <w:bottom w:val="single" w:sz="8" w:color="CCEEFF"/>
            </w:tcBorders>
            <w:gridSpan w:val="2"/>
            <w:vMerge w:val="continue"/>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Borders>
              <w:bottom w:val="single" w:sz="8" w:color="CCEEFF"/>
            </w:tcBorders>
            <w:gridSpan w:val="2"/>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CCEEFF"/>
            </w:tcBorders>
            <w:gridSpan w:val="2"/>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Completed technology</w:t>
            </w:r>
          </w:p>
        </w:tc>
        <w:tc>
          <w:tcPr>
            <w:tcW w:w="1560" w:type="dxa"/>
            <w:vAlign w:val="bottom"/>
            <w:gridSpan w:val="4"/>
            <w:shd w:val="clear" w:color="auto" w:fill="CCEEFF"/>
          </w:tcPr>
          <w:p>
            <w:pPr>
              <w:jc w:val="center"/>
              <w:ind w:right="240"/>
              <w:spacing w:after="0"/>
              <w:rPr>
                <w:sz w:val="20"/>
                <w:szCs w:val="20"/>
                <w:color w:val="auto"/>
              </w:rPr>
            </w:pPr>
            <w:r>
              <w:rPr>
                <w:rFonts w:ascii="Arial" w:cs="Arial" w:eastAsia="Arial" w:hAnsi="Arial"/>
                <w:sz w:val="16"/>
                <w:szCs w:val="16"/>
                <w:color w:val="auto"/>
                <w:w w:val="91"/>
              </w:rPr>
              <w:t>18 years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1,125,279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(274,287)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850,992</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Customer relationships</w:t>
            </w:r>
          </w:p>
        </w:tc>
        <w:tc>
          <w:tcPr>
            <w:tcW w:w="1560" w:type="dxa"/>
            <w:vAlign w:val="bottom"/>
            <w:gridSpan w:val="4"/>
          </w:tcPr>
          <w:p>
            <w:pPr>
              <w:jc w:val="center"/>
              <w:ind w:right="240"/>
              <w:spacing w:after="0"/>
              <w:rPr>
                <w:sz w:val="20"/>
                <w:szCs w:val="20"/>
                <w:color w:val="auto"/>
              </w:rPr>
            </w:pPr>
            <w:r>
              <w:rPr>
                <w:rFonts w:ascii="Arial" w:cs="Arial" w:eastAsia="Arial" w:hAnsi="Arial"/>
                <w:sz w:val="16"/>
                <w:szCs w:val="16"/>
                <w:color w:val="auto"/>
                <w:w w:val="91"/>
              </w:rPr>
              <w:t>12 years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212,572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(137,897)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74,675</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Trademarks/brand names</w:t>
            </w:r>
          </w:p>
        </w:tc>
        <w:tc>
          <w:tcPr>
            <w:tcW w:w="1560" w:type="dxa"/>
            <w:vAlign w:val="bottom"/>
            <w:gridSpan w:val="4"/>
            <w:shd w:val="clear" w:color="auto" w:fill="CCEEFF"/>
          </w:tcPr>
          <w:p>
            <w:pPr>
              <w:jc w:val="center"/>
              <w:ind w:right="240"/>
              <w:spacing w:after="0"/>
              <w:rPr>
                <w:sz w:val="20"/>
                <w:szCs w:val="20"/>
                <w:color w:val="auto"/>
              </w:rPr>
            </w:pPr>
            <w:r>
              <w:rPr>
                <w:rFonts w:ascii="Arial" w:cs="Arial" w:eastAsia="Arial" w:hAnsi="Arial"/>
                <w:sz w:val="16"/>
                <w:szCs w:val="16"/>
                <w:color w:val="auto"/>
                <w:w w:val="91"/>
              </w:rPr>
              <w:t>28 years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99,319</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(29,866)</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69,453</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Codman tradename</w:t>
            </w:r>
          </w:p>
        </w:tc>
        <w:tc>
          <w:tcPr>
            <w:tcW w:w="1560" w:type="dxa"/>
            <w:vAlign w:val="bottom"/>
            <w:gridSpan w:val="4"/>
          </w:tcPr>
          <w:p>
            <w:pPr>
              <w:jc w:val="center"/>
              <w:ind w:right="240"/>
              <w:spacing w:after="0"/>
              <w:rPr>
                <w:sz w:val="20"/>
                <w:szCs w:val="20"/>
                <w:color w:val="auto"/>
              </w:rPr>
            </w:pPr>
            <w:r>
              <w:rPr>
                <w:rFonts w:ascii="Arial" w:cs="Arial" w:eastAsia="Arial" w:hAnsi="Arial"/>
                <w:sz w:val="16"/>
                <w:szCs w:val="16"/>
                <w:color w:val="auto"/>
                <w:w w:val="98"/>
              </w:rPr>
              <w:t>Indefinite</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166,651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440" w:type="dxa"/>
            <w:vAlign w:val="bottom"/>
            <w:gridSpan w:val="3"/>
          </w:tcPr>
          <w:p>
            <w:pPr>
              <w:ind w:left="9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166,651</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Supplier relationships</w:t>
            </w:r>
          </w:p>
        </w:tc>
        <w:tc>
          <w:tcPr>
            <w:tcW w:w="1560" w:type="dxa"/>
            <w:vAlign w:val="bottom"/>
            <w:gridSpan w:val="4"/>
            <w:shd w:val="clear" w:color="auto" w:fill="CCEEFF"/>
          </w:tcPr>
          <w:p>
            <w:pPr>
              <w:jc w:val="center"/>
              <w:ind w:right="240"/>
              <w:spacing w:after="0"/>
              <w:rPr>
                <w:sz w:val="20"/>
                <w:szCs w:val="20"/>
                <w:color w:val="auto"/>
              </w:rPr>
            </w:pPr>
            <w:r>
              <w:rPr>
                <w:rFonts w:ascii="Arial" w:cs="Arial" w:eastAsia="Arial" w:hAnsi="Arial"/>
                <w:sz w:val="16"/>
                <w:szCs w:val="16"/>
                <w:color w:val="auto"/>
                <w:w w:val="91"/>
              </w:rPr>
              <w:t>30 years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14,520</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All other</w:t>
            </w:r>
          </w:p>
        </w:tc>
        <w:tc>
          <w:tcPr>
            <w:tcW w:w="1560" w:type="dxa"/>
            <w:vAlign w:val="bottom"/>
            <w:tcBorders>
              <w:bottom w:val="single" w:sz="8" w:color="CCEEFF"/>
            </w:tcBorders>
            <w:gridSpan w:val="4"/>
          </w:tcPr>
          <w:p>
            <w:pPr>
              <w:jc w:val="center"/>
              <w:ind w:right="260"/>
              <w:spacing w:after="0"/>
              <w:rPr>
                <w:sz w:val="20"/>
                <w:szCs w:val="20"/>
                <w:color w:val="auto"/>
              </w:rPr>
            </w:pPr>
            <w:r>
              <w:rPr>
                <w:rFonts w:ascii="Arial" w:cs="Arial" w:eastAsia="Arial" w:hAnsi="Arial"/>
                <w:sz w:val="16"/>
                <w:szCs w:val="16"/>
                <w:color w:val="auto"/>
                <w:w w:val="87"/>
              </w:rPr>
              <w:t>11 years</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6,473</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(3,880)</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w:t>
            </w:r>
          </w:p>
        </w:tc>
        <w:tc>
          <w:tcPr>
            <w:tcW w:w="0" w:type="dxa"/>
            <w:vAlign w:val="bottom"/>
          </w:tcPr>
          <w:p>
            <w:pPr>
              <w:spacing w:after="0"/>
              <w:rPr>
                <w:sz w:val="1"/>
                <w:szCs w:val="1"/>
                <w:color w:val="auto"/>
              </w:rPr>
            </w:pPr>
          </w:p>
        </w:tc>
      </w:tr>
      <w:tr>
        <w:trPr>
          <w:trHeight w:val="234"/>
        </w:trPr>
        <w:tc>
          <w:tcPr>
            <w:tcW w:w="4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1,640,505</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(461,621)</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1,178,884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4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80" w:type="dxa"/>
            <w:vAlign w:val="bottom"/>
            <w:vMerge w:val="restart"/>
          </w:tcPr>
          <w:p>
            <w:pPr>
              <w:spacing w:after="0"/>
              <w:rPr>
                <w:sz w:val="11"/>
                <w:szCs w:val="11"/>
                <w:color w:val="auto"/>
              </w:rPr>
            </w:pPr>
          </w:p>
        </w:tc>
        <w:tc>
          <w:tcPr>
            <w:tcW w:w="1560" w:type="dxa"/>
            <w:vAlign w:val="bottom"/>
            <w:gridSpan w:val="4"/>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1"/>
                <w:szCs w:val="11"/>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20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49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Completed technology</w:t>
            </w:r>
          </w:p>
        </w:tc>
        <w:tc>
          <w:tcPr>
            <w:tcW w:w="8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center"/>
              <w:ind w:right="340"/>
              <w:spacing w:after="0"/>
              <w:rPr>
                <w:sz w:val="20"/>
                <w:szCs w:val="20"/>
                <w:color w:val="auto"/>
              </w:rPr>
            </w:pPr>
            <w:r>
              <w:rPr>
                <w:rFonts w:ascii="Arial" w:cs="Arial" w:eastAsia="Arial" w:hAnsi="Arial"/>
                <w:sz w:val="16"/>
                <w:szCs w:val="16"/>
                <w:color w:val="auto"/>
                <w:w w:val="87"/>
              </w:rPr>
              <w:t>19 years</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896,478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(248,088)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648,390</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Customer relationships</w:t>
            </w:r>
          </w:p>
        </w:tc>
        <w:tc>
          <w:tcPr>
            <w:tcW w:w="1560" w:type="dxa"/>
            <w:vAlign w:val="bottom"/>
            <w:gridSpan w:val="4"/>
          </w:tcPr>
          <w:p>
            <w:pPr>
              <w:jc w:val="center"/>
              <w:ind w:right="340"/>
              <w:spacing w:after="0"/>
              <w:rPr>
                <w:sz w:val="20"/>
                <w:szCs w:val="20"/>
                <w:color w:val="auto"/>
              </w:rPr>
            </w:pPr>
            <w:r>
              <w:rPr>
                <w:rFonts w:ascii="Arial" w:cs="Arial" w:eastAsia="Arial" w:hAnsi="Arial"/>
                <w:sz w:val="16"/>
                <w:szCs w:val="16"/>
                <w:color w:val="auto"/>
                <w:w w:val="87"/>
              </w:rPr>
              <w:t>12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213,270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(132,838)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80,432</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Trademarks/brand names</w:t>
            </w:r>
          </w:p>
        </w:tc>
        <w:tc>
          <w:tcPr>
            <w:tcW w:w="1560" w:type="dxa"/>
            <w:vAlign w:val="bottom"/>
            <w:gridSpan w:val="4"/>
            <w:shd w:val="clear" w:color="auto" w:fill="CCEEFF"/>
          </w:tcPr>
          <w:p>
            <w:pPr>
              <w:jc w:val="center"/>
              <w:ind w:right="340"/>
              <w:spacing w:after="0"/>
              <w:rPr>
                <w:sz w:val="20"/>
                <w:szCs w:val="20"/>
                <w:color w:val="auto"/>
              </w:rPr>
            </w:pPr>
            <w:r>
              <w:rPr>
                <w:rFonts w:ascii="Arial" w:cs="Arial" w:eastAsia="Arial" w:hAnsi="Arial"/>
                <w:sz w:val="16"/>
                <w:szCs w:val="16"/>
                <w:color w:val="auto"/>
                <w:w w:val="87"/>
              </w:rPr>
              <w:t>28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104,209</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(31,767)</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72,442</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Codman tradename</w:t>
            </w:r>
          </w:p>
        </w:tc>
        <w:tc>
          <w:tcPr>
            <w:tcW w:w="1560" w:type="dxa"/>
            <w:vAlign w:val="bottom"/>
            <w:gridSpan w:val="4"/>
          </w:tcPr>
          <w:p>
            <w:pPr>
              <w:jc w:val="center"/>
              <w:ind w:right="320"/>
              <w:spacing w:after="0"/>
              <w:rPr>
                <w:sz w:val="20"/>
                <w:szCs w:val="20"/>
                <w:color w:val="auto"/>
              </w:rPr>
            </w:pPr>
            <w:r>
              <w:rPr>
                <w:rFonts w:ascii="Arial" w:cs="Arial" w:eastAsia="Arial" w:hAnsi="Arial"/>
                <w:sz w:val="16"/>
                <w:szCs w:val="16"/>
                <w:color w:val="auto"/>
                <w:w w:val="98"/>
              </w:rPr>
              <w:t>Indefinite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170,226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ind w:left="10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170,226</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Supplier relationships</w:t>
            </w:r>
          </w:p>
        </w:tc>
        <w:tc>
          <w:tcPr>
            <w:tcW w:w="1560" w:type="dxa"/>
            <w:vAlign w:val="bottom"/>
            <w:gridSpan w:val="4"/>
            <w:shd w:val="clear" w:color="auto" w:fill="CCEEFF"/>
          </w:tcPr>
          <w:p>
            <w:pPr>
              <w:jc w:val="center"/>
              <w:ind w:right="340"/>
              <w:spacing w:after="0"/>
              <w:rPr>
                <w:sz w:val="20"/>
                <w:szCs w:val="20"/>
                <w:color w:val="auto"/>
              </w:rPr>
            </w:pPr>
            <w:r>
              <w:rPr>
                <w:rFonts w:ascii="Arial" w:cs="Arial" w:eastAsia="Arial" w:hAnsi="Arial"/>
                <w:sz w:val="16"/>
                <w:szCs w:val="16"/>
                <w:color w:val="auto"/>
                <w:w w:val="87"/>
              </w:rPr>
              <w:t>27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(15,203)</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15,008</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All other </w:t>
            </w:r>
            <w:r>
              <w:rPr>
                <w:rFonts w:ascii="Arial" w:cs="Arial" w:eastAsia="Arial" w:hAnsi="Arial"/>
                <w:sz w:val="21"/>
                <w:szCs w:val="21"/>
                <w:color w:val="auto"/>
                <w:vertAlign w:val="superscript"/>
              </w:rPr>
              <w:t>(1)</w:t>
            </w:r>
          </w:p>
        </w:tc>
        <w:tc>
          <w:tcPr>
            <w:tcW w:w="1540" w:type="dxa"/>
            <w:vAlign w:val="bottom"/>
            <w:tcBorders>
              <w:bottom w:val="single" w:sz="8" w:color="CCEEFF"/>
            </w:tcBorders>
            <w:gridSpan w:val="3"/>
          </w:tcPr>
          <w:p>
            <w:pPr>
              <w:jc w:val="center"/>
              <w:ind w:right="320"/>
              <w:spacing w:after="0"/>
              <w:rPr>
                <w:sz w:val="20"/>
                <w:szCs w:val="20"/>
                <w:color w:val="auto"/>
              </w:rPr>
            </w:pPr>
            <w:r>
              <w:rPr>
                <w:rFonts w:ascii="Arial" w:cs="Arial" w:eastAsia="Arial" w:hAnsi="Arial"/>
                <w:sz w:val="16"/>
                <w:szCs w:val="16"/>
                <w:color w:val="auto"/>
                <w:w w:val="87"/>
              </w:rPr>
              <w:t>4 years</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6,693</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(3,755)</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1,421,087</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(431,651)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989,436</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Prior period amounts were reclassified as it relates to All other within this table to conform to the current period presentation.</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increase in the Company's identifiable intangible assets at June 30, 2021 as compared to the year ended December 31, 2020, was primarily driven from intangible assets acquired in conjunction with the ACell Inc. acquisition. See Note 2,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for details.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quarter-end exchange rates, amortization expense (including amounts reported in cost of product revenues) is expected to be approximately $40.6 million for the remainder of 2021, $79.1 million in 2022, $78.4 million in 2023, $77.7 million in 2024, $77.7 million in 2025, $77.5 million in 2026 and $585.7 million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the Sixth Amended and Restated Senior Credit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3, 2020, the Company entered into the sixth amendment and restatement (the "February 2020 Amendment") of its Senior Credit Facility (the "Senior Credit Facility") with a syndicate of lending banks with Bank of America, N.A., as Administrative Agent. The February 2020 Amendment extended the maturity date to February 3, 2025. The Company continues to have the aggregate principal amount of up to approximately $2.2 billion available to it through the following facilities: (i) a $877.5 million Term Loan facility, and (ii) a $1.3 billion revolving credit facility, which includes a $60 million sublimit for the issuance of standby letters of credit and a $60 million sublimit for swingline loans.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14, 2020, the Company entered into an amendment (the "July 2020 Amendment") to the February 2020 Amendment of the Senior Credit Facility to increase financial flexibility in light of the unprecedented impact and uncertainty of the COVID-19 pandemic on the global economy. The July 2020 amendment does not increase the Company’s total indebtedness.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July 2020 amendment, the Company’s maximum consolidated total leverage ratio in the financial covenants (as defined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Senior Credit Facility) was modified to the following:</w:t>
      </w:r>
    </w:p>
    <w:p>
      <w:pPr>
        <w:spacing w:after="0" w:line="24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40" w:type="dxa"/>
            <w:vAlign w:val="bottom"/>
            <w:vMerge w:val="restart"/>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Consolidated Total</w:t>
            </w:r>
          </w:p>
        </w:tc>
        <w:tc>
          <w:tcPr>
            <w:tcW w:w="0" w:type="dxa"/>
            <w:vAlign w:val="bottom"/>
          </w:tcPr>
          <w:p>
            <w:pPr>
              <w:spacing w:after="0"/>
              <w:rPr>
                <w:sz w:val="1"/>
                <w:szCs w:val="1"/>
                <w:color w:val="auto"/>
              </w:rPr>
            </w:pPr>
          </w:p>
        </w:tc>
      </w:tr>
      <w:tr>
        <w:trPr>
          <w:trHeight w:val="188"/>
        </w:trPr>
        <w:tc>
          <w:tcPr>
            <w:tcW w:w="70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08"/>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Execution of July 2020 Amendment through June 30, 2021</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5.50 to 1.00</w:t>
            </w:r>
          </w:p>
        </w:tc>
        <w:tc>
          <w:tcPr>
            <w:tcW w:w="0" w:type="dxa"/>
            <w:vAlign w:val="bottom"/>
          </w:tcPr>
          <w:p>
            <w:pPr>
              <w:spacing w:after="0"/>
              <w:rPr>
                <w:sz w:val="1"/>
                <w:szCs w:val="1"/>
                <w:color w:val="auto"/>
              </w:rPr>
            </w:pPr>
          </w:p>
        </w:tc>
      </w:tr>
      <w:tr>
        <w:trPr>
          <w:trHeight w:val="219"/>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30, 2021 through June 30, 2022</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 to 1.00</w:t>
            </w:r>
          </w:p>
        </w:tc>
        <w:tc>
          <w:tcPr>
            <w:tcW w:w="0" w:type="dxa"/>
            <w:vAlign w:val="bottom"/>
          </w:tcPr>
          <w:p>
            <w:pPr>
              <w:spacing w:after="0"/>
              <w:rPr>
                <w:sz w:val="1"/>
                <w:szCs w:val="1"/>
                <w:color w:val="auto"/>
              </w:rPr>
            </w:pPr>
          </w:p>
        </w:tc>
      </w:tr>
      <w:tr>
        <w:trPr>
          <w:trHeight w:val="213"/>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September 30, 2022 through June 30, 2023</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4.50 to 1.00</w:t>
            </w:r>
          </w:p>
        </w:tc>
        <w:tc>
          <w:tcPr>
            <w:tcW w:w="0" w:type="dxa"/>
            <w:vAlign w:val="bottom"/>
          </w:tcPr>
          <w:p>
            <w:pPr>
              <w:spacing w:after="0"/>
              <w:rPr>
                <w:sz w:val="1"/>
                <w:szCs w:val="1"/>
                <w:color w:val="auto"/>
              </w:rPr>
            </w:pPr>
          </w:p>
        </w:tc>
      </w:tr>
      <w:tr>
        <w:trPr>
          <w:trHeight w:val="219"/>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30, 2023 and the last day of each fiscal quarter thereafter</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 to 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117" w:lineRule="exact"/>
        <w:rPr>
          <w:sz w:val="20"/>
          <w:szCs w:val="20"/>
          <w:color w:val="auto"/>
        </w:rPr>
      </w:pPr>
    </w:p>
    <w:p>
      <w:pPr>
        <w:ind w:left="660" w:hanging="328"/>
        <w:spacing w:after="0" w:line="277" w:lineRule="auto"/>
        <w:tabs>
          <w:tab w:leader="none" w:pos="64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2.25%),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as of such date less cash that is not subject to any restriction on the use or investment thereof to (b) consolidated EBITDA as defined by the July 2020 amendment, for the period of four consecutive fiscal quarters ending on such date).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pay an annual commitment fee (ranging from 0.15% to 0.30%), based on the Company's consolidated total leverage ratio, on the amount available for borrowing under the revolving credit facility.</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June 30, 2021, the Company was in compliance with all such covenants. In connection with the February 2020 Amendment, the Company capitalized $4.6 million of financing costs in connection with modification of the Senior Credit Facility and wrote off $1.2 million of previously capitalized financing costs during the first quarter of 2020. In connection with the July 2020 amendment, the Company expensed $3.3 million of incremental financing costs in connection with the modification of the Senior Credit Facility during the third quarter of 2020.</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2021 and December 31, 2020, there was $8.8 million and $97.5 million, respectively, outstanding under the revolving credit component of the Senior Credit Facility at weighted average interest rates of 1.5%. At June 30, 2021 and December 31, 2020, there was $866.3 million and $877.5 million, respectively, outstanding under the Term Loan component of the Senior Credit Facility at a weighted average interest rate of 1.5%. At June 30, 2021, $45.0 million of the Term Loan component of the Senior Credit Facility is classified as current on the consolidated balance sheet.</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outstanding borrowings of the Senior Credit Facility's revolving credit and Term Loan components at June 30, 2021 were $8.6 million and $850.4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outstanding as of June 30, 2021 and December 31, 2020 totaled $1.6 million. There were no amounts drawn as of June 30,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the Senior Credit Facility are due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6860" w:type="dxa"/>
            <w:vAlign w:val="bottom"/>
            <w:gridSpan w:val="3"/>
          </w:tcPr>
          <w:p>
            <w:pPr>
              <w:jc w:val="right"/>
              <w:ind w:right="3839"/>
              <w:spacing w:after="0"/>
              <w:rPr>
                <w:sz w:val="20"/>
                <w:szCs w:val="20"/>
                <w:color w:val="auto"/>
              </w:rPr>
            </w:pPr>
            <w:r>
              <w:rPr>
                <w:rFonts w:ascii="Arial" w:cs="Arial" w:eastAsia="Arial" w:hAnsi="Arial"/>
                <w:sz w:val="14"/>
                <w:szCs w:val="14"/>
                <w:b w:val="1"/>
                <w:bCs w:val="1"/>
                <w:color w:val="auto"/>
              </w:rPr>
              <w:t>Quarter Ended June 30, 2021</w:t>
            </w:r>
          </w:p>
        </w:tc>
        <w:tc>
          <w:tcPr>
            <w:tcW w:w="1960" w:type="dxa"/>
            <w:vAlign w:val="bottom"/>
          </w:tcPr>
          <w:p>
            <w:pPr>
              <w:jc w:val="right"/>
              <w:ind w:right="380"/>
              <w:spacing w:after="0"/>
              <w:rPr>
                <w:sz w:val="20"/>
                <w:szCs w:val="20"/>
                <w:color w:val="auto"/>
              </w:rPr>
            </w:pPr>
            <w:r>
              <w:rPr>
                <w:rFonts w:ascii="Arial" w:cs="Arial" w:eastAsia="Arial" w:hAnsi="Arial"/>
                <w:sz w:val="14"/>
                <w:szCs w:val="14"/>
                <w:b w:val="1"/>
                <w:bCs w:val="1"/>
                <w:color w:val="auto"/>
              </w:rPr>
              <w:t>Principal Repayment</w:t>
            </w:r>
          </w:p>
        </w:tc>
      </w:tr>
      <w:tr>
        <w:trPr>
          <w:trHeight w:val="185"/>
        </w:trPr>
        <w:tc>
          <w:tcPr>
            <w:tcW w:w="24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Dollars in thousands</w:t>
            </w:r>
          </w:p>
        </w:tc>
        <w:tc>
          <w:tcPr>
            <w:tcW w:w="6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2021</w:t>
            </w:r>
          </w:p>
        </w:tc>
        <w:tc>
          <w:tcPr>
            <w:tcW w:w="686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w:t>
            </w: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2022</w:t>
            </w:r>
          </w:p>
        </w:tc>
        <w:tc>
          <w:tcPr>
            <w:tcW w:w="686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45,000</w:t>
            </w: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686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61,875</w:t>
            </w: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2024</w:t>
            </w:r>
          </w:p>
        </w:tc>
        <w:tc>
          <w:tcPr>
            <w:tcW w:w="686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67,500</w:t>
            </w: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6580" w:type="dxa"/>
            <w:vAlign w:val="bottom"/>
            <w:gridSpan w:val="2"/>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669,375</w:t>
            </w:r>
          </w:p>
        </w:tc>
      </w:tr>
      <w:tr>
        <w:trPr>
          <w:trHeight w:val="209"/>
        </w:trPr>
        <w:tc>
          <w:tcPr>
            <w:tcW w:w="2420" w:type="dxa"/>
            <w:vAlign w:val="bottom"/>
          </w:tcPr>
          <w:p>
            <w:pPr>
              <w:spacing w:after="0"/>
              <w:rPr>
                <w:sz w:val="18"/>
                <w:szCs w:val="18"/>
                <w:color w:val="auto"/>
              </w:rPr>
            </w:pPr>
          </w:p>
        </w:tc>
        <w:tc>
          <w:tcPr>
            <w:tcW w:w="686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866,250</w:t>
            </w:r>
          </w:p>
        </w:tc>
      </w:tr>
      <w:tr>
        <w:trPr>
          <w:trHeight w:val="24"/>
        </w:trPr>
        <w:tc>
          <w:tcPr>
            <w:tcW w:w="24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960" w:type="dxa"/>
            <w:vAlign w:val="bottom"/>
            <w:tcBorders>
              <w:top w:val="single" w:sz="8" w:color="auto"/>
              <w:bottom w:val="single" w:sz="8" w:color="auto"/>
            </w:tcBorders>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the revolving credit component of the Senior Credit Facility is due on February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4, 2020, the Company issued $575.0 million aggregate principal amount of its 0.5% Convertible Senior Notes due 2025 (the "2025 Notes"). The 2025 Notes will mature on August 15, 2025 and bear interest at a rate of 0.5% per annum payable semi-annually in arrears, unless earlier converted, repurchased or redeemed in accordance with the terms of the Notes. The portion of debt proceeds that was classified as equity at the time of the offering was $104.5 million. The effective interest rate implicit in the liability component was 4.2%. In connection with this offering, the Company capitalized $13.2 million of financing fees.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2025 Notes are senior, unsecured obligations of the Company, and are convertible into cash and shares of its common stock based on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as defined in the indenture; (3) at any time on or after February 20, 2023; or (4) if specified corporate transactions occur. As of June 30, 2021, none of these conditions existed with respect to the 2025 Notes and as a result the 2025 Notes are classified as long term.</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9, 2020, the Company entered into the First Supplemental Indenture to the original agreement dated as of February 4, 2020 between the Company and Citibank, N.A., as trustee, governing the Company’s outstanding 2025 Notes. The Company irrevocably elected (1) to eliminate the Company’s option to choose physical settlement on any conversion of the 2025 Notes that occurs on or after the date of the First Supplemental Indenture and (2) with respect to any Combination Settlement for a conversion of the 2025 Notes, the Specified Dollar Amount that will be settled in cash per $1,000 principal amount of the 2025 Notes shall be no lower than $1,000.</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the Notes will have the right to require the Company to repurchase for cash all or a portion of their Notes at 100% of their principal amount, plus any accrued and unpaid interest, upon the occurrence of a fundamental change (as defined in the indenture relating to the Notes). The Company will also be required to increase the conversion rate for holders who convert their Notes in connection with certain fundamental changes occurring prior to the maturity date or following delivery by the Company of a notice of redemption.</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At December 31, 2020, the carrying amount of the liability component was $485.9 million, the remaining unamortized discount was $89.1 million, and the principal amount outstanding was $575.0 million. On January 1, 2021, the Company adopted ASU 2020-06 using the modified retrospective method.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xml:space="preserve"> for further details. At June 30, 2021, in conjunction with the adoption of the ASU, the carrying amount of the liability was $575.0 million. The fair value of the 2025 Notes at June 30, 2021 was $630.7 million. Factors that the Company considered when estimating the fair value of the 2025 Notes included recent quoted market prices or dealer quote. The level of the 2025 Notes is considered as Level 1.</w:t>
      </w:r>
    </w:p>
    <w:p>
      <w:pPr>
        <w:spacing w:after="0" w:line="5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On January 1, 2021, the Company adopted ASU 2020-06 using the modified retrospective method.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xml:space="preserve"> for further details. As a result of the adoption of the ASU, the Company recognized only cash interest related to the contractual interest coupon of $1.4 million on the 2025 Notes for the six months ended June 30, 2021. Prior to the adoption, during the six months ended June 30, 2020, the Company recognized cash interest of $1.2 million and amortization of the discount on the liability component of $6.8 million for a total interest charge of $8.0 million on the 2020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June 30, 2021, the Company was in compliance with the covenants and none of the termination events had occurred.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28, 2021, the Company entered into an amendment (the "May 2021 Amendment") of the Securitization Facility which extended the maturity date from December 21, 2021 to May 28, 2024. The May 2021 amendment does not increase the Company’s total indebtedness.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2021 and December 31, 2020, the Company had $112.5 million, respectively, of outstanding borrowings under its Securitization Facility at a weighted average interest rate of 1.2% and 1.3%, respectively. The fair value of the outstanding borrowing of the Securitization Facility at June 30, 2021 was $110.3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LIBOR-indexed floating-rate borrowings.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held the following interest rate swaps as of June 30, 2021 and December 31, 2020 (dollar 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w w:val="92"/>
              </w:rPr>
              <w:t>June 30, 2021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w w:val="90"/>
              </w:rPr>
              <w:t>June 30, 2021</w:t>
            </w: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Hedged Item</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Designation Date</w:t>
            </w: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Effective Date</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20" w:type="dxa"/>
            <w:vAlign w:val="bottom"/>
            <w:gridSpan w:val="3"/>
          </w:tcPr>
          <w:p>
            <w:pPr>
              <w:jc w:val="right"/>
              <w:spacing w:after="0" w:line="130" w:lineRule="exact"/>
              <w:rPr>
                <w:sz w:val="20"/>
                <w:szCs w:val="20"/>
                <w:color w:val="auto"/>
              </w:rPr>
            </w:pPr>
            <w:r>
              <w:rPr>
                <w:rFonts w:ascii="Arial" w:cs="Arial" w:eastAsia="Arial" w:hAnsi="Arial"/>
                <w:sz w:val="14"/>
                <w:szCs w:val="14"/>
                <w:b w:val="1"/>
                <w:bCs w:val="1"/>
                <w:color w:val="auto"/>
              </w:rPr>
              <w:t>Fixed Interest</w:t>
            </w:r>
          </w:p>
        </w:tc>
        <w:tc>
          <w:tcPr>
            <w:tcW w:w="80" w:type="dxa"/>
            <w:vAlign w:val="bottom"/>
          </w:tcPr>
          <w:p>
            <w:pPr>
              <w:spacing w:after="0"/>
              <w:rPr>
                <w:sz w:val="11"/>
                <w:szCs w:val="11"/>
                <w:color w:val="auto"/>
              </w:rPr>
            </w:pPr>
          </w:p>
        </w:tc>
        <w:tc>
          <w:tcPr>
            <w:tcW w:w="2140" w:type="dxa"/>
            <w:vAlign w:val="bottom"/>
            <w:gridSpan w:val="2"/>
            <w:vMerge w:val="restart"/>
          </w:tcPr>
          <w:p>
            <w:pPr>
              <w:jc w:val="right"/>
              <w:ind w:right="428"/>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gridSpan w:val="4"/>
            <w:vMerge w:val="restart"/>
          </w:tcPr>
          <w:p>
            <w:pPr>
              <w:jc w:val="right"/>
              <w:ind w:right="528"/>
              <w:spacing w:after="0"/>
              <w:rPr>
                <w:sz w:val="20"/>
                <w:szCs w:val="20"/>
                <w:color w:val="auto"/>
              </w:rPr>
            </w:pPr>
            <w:r>
              <w:rPr>
                <w:rFonts w:ascii="Arial" w:cs="Arial" w:eastAsia="Arial" w:hAnsi="Arial"/>
                <w:sz w:val="14"/>
                <w:szCs w:val="14"/>
                <w:b w:val="1"/>
                <w:bCs w:val="1"/>
                <w:color w:val="auto"/>
              </w:rPr>
              <w:t>Notional Amount</w:t>
            </w: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Rate</w:t>
            </w:r>
          </w:p>
        </w:tc>
        <w:tc>
          <w:tcPr>
            <w:tcW w:w="2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1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00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02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4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4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2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140" w:type="dxa"/>
            <w:vAlign w:val="bottom"/>
            <w:tcBorders>
              <w:top w:val="single" w:sz="8" w:color="auto"/>
              <w:bottom w:val="single" w:sz="8" w:color="auto"/>
            </w:tcBorders>
            <w:gridSpan w:val="2"/>
          </w:tcPr>
          <w:p>
            <w:pPr>
              <w:jc w:val="right"/>
              <w:ind w:right="648"/>
              <w:spacing w:after="0"/>
              <w:rPr>
                <w:sz w:val="20"/>
                <w:szCs w:val="20"/>
                <w:color w:val="auto"/>
              </w:rPr>
            </w:pPr>
            <w:r>
              <w:rPr>
                <w:rFonts w:ascii="Arial" w:cs="Arial" w:eastAsia="Arial" w:hAnsi="Arial"/>
                <w:sz w:val="13"/>
                <w:szCs w:val="13"/>
                <w:b w:val="1"/>
                <w:bCs w:val="1"/>
                <w:color w:val="auto"/>
              </w:rPr>
              <w:t>Asset (Liability)</w:t>
            </w:r>
          </w:p>
        </w:tc>
        <w:tc>
          <w:tcPr>
            <w:tcW w:w="0" w:type="dxa"/>
            <w:vAlign w:val="bottom"/>
          </w:tcPr>
          <w:p>
            <w:pPr>
              <w:spacing w:after="0"/>
              <w:rPr>
                <w:sz w:val="1"/>
                <w:szCs w:val="1"/>
                <w:color w:val="auto"/>
              </w:rPr>
            </w:pPr>
          </w:p>
        </w:tc>
      </w:tr>
      <w:tr>
        <w:trPr>
          <w:trHeight w:val="121"/>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month USD</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0"/>
                <w:szCs w:val="10"/>
                <w:color w:val="auto"/>
              </w:rPr>
            </w:pPr>
          </w:p>
        </w:tc>
        <w:tc>
          <w:tcPr>
            <w:tcW w:w="10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 $</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0"/>
                <w:szCs w:val="10"/>
                <w:color w:val="auto"/>
              </w:rPr>
            </w:pPr>
          </w:p>
        </w:tc>
        <w:tc>
          <w:tcPr>
            <w:tcW w:w="15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4"/>
              </w:rPr>
              <w:t>March 27, 2017</w:t>
            </w:r>
          </w:p>
        </w:tc>
        <w:tc>
          <w:tcPr>
            <w:tcW w:w="15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1"/>
              </w:rPr>
              <w:t>December 31, 2017</w:t>
            </w: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June 30, 2021</w:t>
            </w:r>
          </w:p>
        </w:tc>
        <w:tc>
          <w:tcPr>
            <w:tcW w:w="110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1.971%$</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220" w:type="dxa"/>
            <w:vAlign w:val="bottom"/>
            <w:gridSpan w:val="2"/>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80" w:type="dxa"/>
            <w:vAlign w:val="bottom"/>
            <w:gridSpan w:val="3"/>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100" w:type="dxa"/>
            <w:vAlign w:val="bottom"/>
            <w:gridSpan w:val="4"/>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tcPr>
          <w:p>
            <w:pPr>
              <w:spacing w:after="0" w:line="135" w:lineRule="exact"/>
              <w:rPr>
                <w:sz w:val="20"/>
                <w:szCs w:val="20"/>
                <w:color w:val="auto"/>
              </w:rPr>
            </w:pPr>
            <w:r>
              <w:rPr>
                <w:rFonts w:ascii="Arial" w:cs="Arial" w:eastAsia="Arial" w:hAnsi="Arial"/>
                <w:sz w:val="14"/>
                <w:szCs w:val="14"/>
                <w:color w:val="auto"/>
              </w:rPr>
              <w:t>month USD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300,000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1"/>
              </w:rPr>
              <w:t>December 13, 2017</w:t>
            </w: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1"/>
              </w:rPr>
              <w:t>January 1, 2018</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1"/>
              </w:rPr>
              <w:t>December 31, 2022</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2.201%</w:t>
            </w:r>
          </w:p>
        </w:tc>
        <w:tc>
          <w:tcPr>
            <w:tcW w:w="80" w:type="dxa"/>
            <w:vAlign w:val="bottom"/>
          </w:tcPr>
          <w:p>
            <w:pPr>
              <w:spacing w:after="0"/>
              <w:rPr>
                <w:sz w:val="11"/>
                <w:szCs w:val="11"/>
                <w:color w:val="auto"/>
              </w:rPr>
            </w:pPr>
          </w:p>
        </w:tc>
        <w:tc>
          <w:tcPr>
            <w:tcW w:w="1080" w:type="dxa"/>
            <w:vAlign w:val="bottom"/>
            <w:vMerge w:val="restart"/>
          </w:tcPr>
          <w:p>
            <w:pPr>
              <w:jc w:val="right"/>
              <w:ind w:right="9"/>
              <w:spacing w:after="0"/>
              <w:rPr>
                <w:sz w:val="20"/>
                <w:szCs w:val="20"/>
                <w:color w:val="auto"/>
              </w:rPr>
            </w:pPr>
            <w:r>
              <w:rPr>
                <w:rFonts w:ascii="Arial" w:cs="Arial" w:eastAsia="Arial" w:hAnsi="Arial"/>
                <w:sz w:val="14"/>
                <w:szCs w:val="14"/>
                <w:color w:val="auto"/>
              </w:rPr>
              <w:t>(9,122)</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(12,557)</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month USD</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1"/>
              </w:rPr>
              <w:t>December 13, 2017</w:t>
            </w:r>
          </w:p>
        </w:tc>
        <w:tc>
          <w:tcPr>
            <w:tcW w:w="15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5"/>
              </w:rPr>
              <w:t>July 1, 2019</w:t>
            </w: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June 30, 2024</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2.423%</w:t>
            </w: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(8,692)</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(11,502)</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tcPr>
          <w:p>
            <w:pPr>
              <w:spacing w:after="0" w:line="135" w:lineRule="exact"/>
              <w:rPr>
                <w:sz w:val="20"/>
                <w:szCs w:val="20"/>
                <w:color w:val="auto"/>
              </w:rPr>
            </w:pPr>
            <w:r>
              <w:rPr>
                <w:rFonts w:ascii="Arial" w:cs="Arial" w:eastAsia="Arial" w:hAnsi="Arial"/>
                <w:sz w:val="14"/>
                <w:szCs w:val="14"/>
                <w:color w:val="auto"/>
              </w:rPr>
              <w:t>month USD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200,000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1"/>
              </w:rPr>
              <w:t>December 13, 2017</w:t>
            </w: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1"/>
              </w:rPr>
              <w:t>January 1, 2018</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1"/>
              </w:rPr>
              <w:t>December 31, 2024</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2.313%</w:t>
            </w:r>
          </w:p>
        </w:tc>
        <w:tc>
          <w:tcPr>
            <w:tcW w:w="80" w:type="dxa"/>
            <w:vAlign w:val="bottom"/>
          </w:tcPr>
          <w:p>
            <w:pPr>
              <w:spacing w:after="0"/>
              <w:rPr>
                <w:sz w:val="11"/>
                <w:szCs w:val="11"/>
                <w:color w:val="auto"/>
              </w:rPr>
            </w:pPr>
          </w:p>
        </w:tc>
        <w:tc>
          <w:tcPr>
            <w:tcW w:w="1080" w:type="dxa"/>
            <w:vAlign w:val="bottom"/>
            <w:vMerge w:val="restart"/>
          </w:tcPr>
          <w:p>
            <w:pPr>
              <w:jc w:val="right"/>
              <w:ind w:right="9"/>
              <w:spacing w:after="0"/>
              <w:rPr>
                <w:sz w:val="20"/>
                <w:szCs w:val="20"/>
                <w:color w:val="auto"/>
              </w:rPr>
            </w:pPr>
            <w:r>
              <w:rPr>
                <w:rFonts w:ascii="Arial" w:cs="Arial" w:eastAsia="Arial" w:hAnsi="Arial"/>
                <w:sz w:val="14"/>
                <w:szCs w:val="14"/>
                <w:color w:val="auto"/>
              </w:rPr>
              <w:t>(11,856)</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(16,243)</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month USD</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2"/>
              </w:rPr>
              <w:t>October 10, 2018</w:t>
            </w:r>
          </w:p>
        </w:tc>
        <w:tc>
          <w:tcPr>
            <w:tcW w:w="15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5"/>
              </w:rPr>
              <w:t>July 1, 2020</w:t>
            </w: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June 30, 2025</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3.220%</w:t>
            </w: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(7,595)</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(9,836)</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tcPr>
          <w:p>
            <w:pPr>
              <w:spacing w:after="0" w:line="135" w:lineRule="exact"/>
              <w:rPr>
                <w:sz w:val="20"/>
                <w:szCs w:val="20"/>
                <w:color w:val="auto"/>
              </w:rPr>
            </w:pPr>
            <w:r>
              <w:rPr>
                <w:rFonts w:ascii="Arial" w:cs="Arial" w:eastAsia="Arial" w:hAnsi="Arial"/>
                <w:sz w:val="14"/>
                <w:szCs w:val="14"/>
                <w:color w:val="auto"/>
              </w:rPr>
              <w:t>month USD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75,000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2"/>
              </w:rPr>
              <w:t>October 10, 2018</w:t>
            </w: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5"/>
              </w:rPr>
              <w:t>July 1, 2020</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0"/>
              </w:rPr>
              <w:t>June 30, 2025</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3.199%</w:t>
            </w:r>
          </w:p>
        </w:tc>
        <w:tc>
          <w:tcPr>
            <w:tcW w:w="80" w:type="dxa"/>
            <w:vAlign w:val="bottom"/>
          </w:tcPr>
          <w:p>
            <w:pPr>
              <w:spacing w:after="0"/>
              <w:rPr>
                <w:sz w:val="11"/>
                <w:szCs w:val="11"/>
                <w:color w:val="auto"/>
              </w:rPr>
            </w:pPr>
          </w:p>
        </w:tc>
        <w:tc>
          <w:tcPr>
            <w:tcW w:w="1080" w:type="dxa"/>
            <w:vAlign w:val="bottom"/>
            <w:vMerge w:val="restart"/>
          </w:tcPr>
          <w:p>
            <w:pPr>
              <w:jc w:val="right"/>
              <w:ind w:right="9"/>
              <w:spacing w:after="0"/>
              <w:rPr>
                <w:sz w:val="20"/>
                <w:szCs w:val="20"/>
                <w:color w:val="auto"/>
              </w:rPr>
            </w:pPr>
            <w:r>
              <w:rPr>
                <w:rFonts w:ascii="Arial" w:cs="Arial" w:eastAsia="Arial" w:hAnsi="Arial"/>
                <w:sz w:val="14"/>
                <w:szCs w:val="14"/>
                <w:color w:val="auto"/>
              </w:rPr>
              <w:t>(7,553)</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(9,826)</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month USD</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2"/>
              </w:rPr>
              <w:t>October 10, 2018</w:t>
            </w:r>
          </w:p>
        </w:tc>
        <w:tc>
          <w:tcPr>
            <w:tcW w:w="15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5"/>
              </w:rPr>
              <w:t>July 1, 2020</w:t>
            </w: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June 30, 2025</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3.209%</w:t>
            </w: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(7,541)</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(9,783)</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tcPr>
          <w:p>
            <w:pPr>
              <w:spacing w:after="0" w:line="135" w:lineRule="exact"/>
              <w:rPr>
                <w:sz w:val="20"/>
                <w:szCs w:val="20"/>
                <w:color w:val="auto"/>
              </w:rPr>
            </w:pPr>
            <w:r>
              <w:rPr>
                <w:rFonts w:ascii="Arial" w:cs="Arial" w:eastAsia="Arial" w:hAnsi="Arial"/>
                <w:sz w:val="14"/>
                <w:szCs w:val="14"/>
                <w:color w:val="auto"/>
              </w:rPr>
              <w:t>month USD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1"/>
              </w:rPr>
              <w:t>December 18, 2018</w:t>
            </w: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1"/>
              </w:rPr>
              <w:t>December 30, 2022</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1"/>
              </w:rPr>
              <w:t>December 31, 2027</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2.885%</w:t>
            </w:r>
          </w:p>
        </w:tc>
        <w:tc>
          <w:tcPr>
            <w:tcW w:w="80" w:type="dxa"/>
            <w:vAlign w:val="bottom"/>
          </w:tcPr>
          <w:p>
            <w:pPr>
              <w:spacing w:after="0"/>
              <w:rPr>
                <w:sz w:val="11"/>
                <w:szCs w:val="11"/>
                <w:color w:val="auto"/>
              </w:rPr>
            </w:pPr>
          </w:p>
        </w:tc>
        <w:tc>
          <w:tcPr>
            <w:tcW w:w="1080" w:type="dxa"/>
            <w:vAlign w:val="bottom"/>
            <w:vMerge w:val="restart"/>
          </w:tcPr>
          <w:p>
            <w:pPr>
              <w:jc w:val="right"/>
              <w:ind w:right="9"/>
              <w:spacing w:after="0"/>
              <w:rPr>
                <w:sz w:val="20"/>
                <w:szCs w:val="20"/>
                <w:color w:val="auto"/>
              </w:rPr>
            </w:pPr>
            <w:r>
              <w:rPr>
                <w:rFonts w:ascii="Arial" w:cs="Arial" w:eastAsia="Arial" w:hAnsi="Arial"/>
                <w:sz w:val="14"/>
                <w:szCs w:val="14"/>
                <w:color w:val="auto"/>
              </w:rPr>
              <w:t>(7,703)</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(10,407)</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month USD</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1"/>
              </w:rPr>
              <w:t>December 18, 2018</w:t>
            </w:r>
          </w:p>
        </w:tc>
        <w:tc>
          <w:tcPr>
            <w:tcW w:w="15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1"/>
              </w:rPr>
              <w:t>December 30, 2022</w:t>
            </w: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December 31, 2027</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(7,592)</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(10,431)</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tcPr>
          <w:p>
            <w:pPr>
              <w:spacing w:after="0" w:line="135" w:lineRule="exact"/>
              <w:rPr>
                <w:sz w:val="20"/>
                <w:szCs w:val="20"/>
                <w:color w:val="auto"/>
              </w:rPr>
            </w:pPr>
            <w:r>
              <w:rPr>
                <w:rFonts w:ascii="Arial" w:cs="Arial" w:eastAsia="Arial" w:hAnsi="Arial"/>
                <w:sz w:val="14"/>
                <w:szCs w:val="14"/>
                <w:color w:val="auto"/>
              </w:rPr>
              <w:t>month USD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575,000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575,000</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1"/>
              </w:rPr>
              <w:t>December 15, 2020</w:t>
            </w: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3"/>
              </w:rPr>
              <w:t>July 31, 2025</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1"/>
              </w:rPr>
              <w:t>December 31, 2027</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1.415%</w:t>
            </w:r>
          </w:p>
        </w:tc>
        <w:tc>
          <w:tcPr>
            <w:tcW w:w="80" w:type="dxa"/>
            <w:vAlign w:val="bottom"/>
          </w:tcPr>
          <w:p>
            <w:pPr>
              <w:spacing w:after="0"/>
              <w:rPr>
                <w:sz w:val="11"/>
                <w:szCs w:val="11"/>
                <w:color w:val="auto"/>
              </w:rPr>
            </w:pPr>
          </w:p>
        </w:tc>
        <w:tc>
          <w:tcPr>
            <w:tcW w:w="1080" w:type="dxa"/>
            <w:vAlign w:val="bottom"/>
            <w:vMerge w:val="restart"/>
          </w:tcPr>
          <w:p>
            <w:pPr>
              <w:jc w:val="right"/>
              <w:ind w:right="49"/>
              <w:spacing w:after="0"/>
              <w:rPr>
                <w:sz w:val="20"/>
                <w:szCs w:val="20"/>
                <w:color w:val="auto"/>
              </w:rPr>
            </w:pPr>
            <w:r>
              <w:rPr>
                <w:rFonts w:ascii="Arial" w:cs="Arial" w:eastAsia="Arial" w:hAnsi="Arial"/>
                <w:sz w:val="14"/>
                <w:szCs w:val="14"/>
                <w:color w:val="auto"/>
              </w:rPr>
              <w:t>3,931</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month USD</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1"/>
              </w:rPr>
              <w:t>December 15, 2020</w:t>
            </w:r>
          </w:p>
        </w:tc>
        <w:tc>
          <w:tcPr>
            <w:tcW w:w="15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5"/>
              </w:rPr>
              <w:t>July 1, 2025</w:t>
            </w: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December 31, 2027</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987</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1,775,000</w:t>
            </w: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1,875,000</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(62,736)$</w:t>
            </w:r>
          </w:p>
        </w:tc>
        <w:tc>
          <w:tcPr>
            <w:tcW w:w="1060" w:type="dxa"/>
            <w:vAlign w:val="bottom"/>
          </w:tcPr>
          <w:p>
            <w:pPr>
              <w:jc w:val="right"/>
              <w:spacing w:after="0"/>
              <w:rPr>
                <w:sz w:val="20"/>
                <w:szCs w:val="20"/>
                <w:color w:val="auto"/>
              </w:rPr>
            </w:pPr>
            <w:r>
              <w:rPr>
                <w:rFonts w:ascii="Arial" w:cs="Arial" w:eastAsia="Arial" w:hAnsi="Arial"/>
                <w:sz w:val="14"/>
                <w:szCs w:val="14"/>
                <w:color w:val="auto"/>
              </w:rPr>
              <w:t>(93,769)</w:t>
            </w: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60"/>
        <w:spacing w:after="0" w:line="275" w:lineRule="auto"/>
        <w:rPr>
          <w:sz w:val="20"/>
          <w:szCs w:val="20"/>
          <w:color w:val="auto"/>
        </w:rPr>
      </w:pPr>
      <w:r>
        <w:rPr>
          <w:rFonts w:ascii="Arial" w:cs="Arial" w:eastAsia="Arial" w:hAnsi="Arial"/>
          <w:sz w:val="17"/>
          <w:szCs w:val="17"/>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loss (“AOCL”),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AOCL to interest expense at that time.</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117" w:lineRule="exact"/>
        <w:rPr>
          <w:sz w:val="20"/>
          <w:szCs w:val="20"/>
          <w:color w:val="auto"/>
        </w:rPr>
      </w:pPr>
    </w:p>
    <w:p>
      <w:pPr>
        <w:jc w:val="both"/>
        <w:ind w:left="60"/>
        <w:spacing w:after="0" w:line="272"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AOCL, net of tax. Those amounts are subsequently reclassified to earnings from AOCL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spacing w:after="0" w:line="69" w:lineRule="exact"/>
        <w:rPr>
          <w:sz w:val="20"/>
          <w:szCs w:val="20"/>
          <w:color w:val="auto"/>
        </w:rPr>
      </w:pPr>
    </w:p>
    <w:p>
      <w:pPr>
        <w:jc w:val="both"/>
        <w:ind w:left="60"/>
        <w:spacing w:after="0" w:line="273" w:lineRule="auto"/>
        <w:rPr>
          <w:sz w:val="20"/>
          <w:szCs w:val="20"/>
          <w:color w:val="auto"/>
        </w:rPr>
      </w:pPr>
      <w:r>
        <w:rPr>
          <w:rFonts w:ascii="Arial" w:cs="Arial" w:eastAsia="Arial" w:hAnsi="Arial"/>
          <w:sz w:val="17"/>
          <w:szCs w:val="17"/>
          <w:color w:val="auto"/>
        </w:rPr>
        <w:t>During the fourth quarter of 2020, the Company entered into foreign currency forward contracts, with a notional amount of $9.7 million to mitigate the foreign exchange risk related to certain intercompany loans denominated in Canadian Dollar ("CAD") and intercompany receivables denominated in Japanese Yen ("JPY"). The contracts are not designated as hedging instruments. The Company recognized a $0.3 million loss from the change in fair value of the contracts, which was included in other income, net in the consolidated statement of operations as of June 30, 2021. The Company subsequently settled its foreign currency forward contracts associated with the intercompany receivables denominated in JPY during the first quarter of 2021. The fair value of the foreign currency forward contracts denominated in CAD was $0.3 million as of June 30,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second quarter of 2021, the Company entered into a foreign currency swap, with a notional of $7.3 million to mitigate the risk from fluctuations in foreign currency exchange rates associated with certain intercompany loan denominated in Japanese Yen ("JPY").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change in fair value of the foreign currency swap was not material for the period.</w:t>
      </w:r>
    </w:p>
    <w:p>
      <w:pPr>
        <w:spacing w:after="0" w:line="5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Rate Swaps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 2017, the Company entered into cross-currency swap agreements to convert a notional amount of $300.0 million equivalent to 291.2 million of Swiss Francs ("CHF") denominated intercompany loans into U.S. dollars. The CHF-denominated intercompany loans were the result of the purchase of intellectual property by a subsidiary in Switzerland as part of an acquisition.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21,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payments of CHF 5.8 million plus accrued interest. As a result, the aggregate notional amount of the related cross-currency swaps will decrease by a corresponding amount.</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June 30, 2021 and December 31, 2020 (dollar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6"/>
              </w:rPr>
              <w:t>June 30, 2021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0"/>
              </w:rPr>
              <w:t>June 30, 2021</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34"/>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Effective Date</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80" w:type="dxa"/>
            <w:vAlign w:val="bottom"/>
          </w:tcPr>
          <w:p>
            <w:pPr>
              <w:spacing w:after="0"/>
              <w:rPr>
                <w:sz w:val="11"/>
                <w:szCs w:val="11"/>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Fixed Rate</w:t>
            </w:r>
          </w:p>
        </w:tc>
        <w:tc>
          <w:tcPr>
            <w:tcW w:w="3300" w:type="dxa"/>
            <w:vAlign w:val="bottom"/>
            <w:gridSpan w:val="5"/>
            <w:vMerge w:val="restart"/>
          </w:tcPr>
          <w:p>
            <w:pPr>
              <w:jc w:val="right"/>
              <w:ind w:right="900"/>
              <w:spacing w:after="0"/>
              <w:rPr>
                <w:sz w:val="20"/>
                <w:szCs w:val="20"/>
                <w:color w:val="auto"/>
              </w:rPr>
            </w:pPr>
            <w:r>
              <w:rPr>
                <w:rFonts w:ascii="Arial" w:cs="Arial" w:eastAsia="Arial" w:hAnsi="Arial"/>
                <w:sz w:val="14"/>
                <w:szCs w:val="14"/>
                <w:b w:val="1"/>
                <w:bCs w:val="1"/>
                <w:color w:val="auto"/>
              </w:rPr>
              <w:t>Aggregate Notional Amount</w:t>
            </w:r>
          </w:p>
        </w:tc>
        <w:tc>
          <w:tcPr>
            <w:tcW w:w="1660" w:type="dxa"/>
            <w:vAlign w:val="bottom"/>
            <w:gridSpan w:val="2"/>
          </w:tcPr>
          <w:p>
            <w:pPr>
              <w:jc w:val="center"/>
              <w:ind w:left="463"/>
              <w:spacing w:after="0" w:line="135" w:lineRule="exact"/>
              <w:rPr>
                <w:sz w:val="20"/>
                <w:szCs w:val="20"/>
                <w:color w:val="auto"/>
              </w:rPr>
            </w:pPr>
            <w:r>
              <w:rPr>
                <w:rFonts w:ascii="Arial" w:cs="Arial" w:eastAsia="Arial" w:hAnsi="Arial"/>
                <w:sz w:val="14"/>
                <w:szCs w:val="14"/>
                <w:b w:val="1"/>
                <w:bCs w:val="1"/>
                <w:color w:val="auto"/>
                <w:w w:val="95"/>
              </w:rPr>
              <w:t>Fair Value</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300" w:type="dxa"/>
            <w:vAlign w:val="bottom"/>
            <w:gridSpan w:val="5"/>
            <w:vMerge w:val="continue"/>
          </w:tcPr>
          <w:p>
            <w:pPr>
              <w:spacing w:after="0"/>
              <w:rPr>
                <w:sz w:val="9"/>
                <w:szCs w:val="9"/>
                <w:color w:val="auto"/>
              </w:rPr>
            </w:pPr>
          </w:p>
        </w:tc>
        <w:tc>
          <w:tcPr>
            <w:tcW w:w="1660" w:type="dxa"/>
            <w:vAlign w:val="bottom"/>
            <w:gridSpan w:val="2"/>
            <w:vMerge w:val="restart"/>
          </w:tcPr>
          <w:p>
            <w:pPr>
              <w:jc w:val="center"/>
              <w:ind w:left="463"/>
              <w:spacing w:after="0"/>
              <w:rPr>
                <w:sz w:val="20"/>
                <w:szCs w:val="20"/>
                <w:color w:val="auto"/>
              </w:rPr>
            </w:pPr>
            <w:r>
              <w:rPr>
                <w:rFonts w:ascii="Arial" w:cs="Arial" w:eastAsia="Arial" w:hAnsi="Arial"/>
                <w:sz w:val="14"/>
                <w:szCs w:val="14"/>
                <w:b w:val="1"/>
                <w:bCs w:val="1"/>
                <w:color w:val="auto"/>
                <w:w w:val="95"/>
              </w:rPr>
              <w:t>Asset (Liability)</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2"/>
            <w:vMerge w:val="continue"/>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10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2"/>
              </w:rPr>
              <w:t>October 2, 2017</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0"/>
              </w:rPr>
              <w:t>October 2, 2021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1.85%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48,533</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(2,228)</w:t>
            </w:r>
          </w:p>
        </w:tc>
        <w:tc>
          <w:tcPr>
            <w:tcW w:w="6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(4,335)</w:t>
            </w:r>
          </w:p>
        </w:tc>
        <w:tc>
          <w:tcPr>
            <w:tcW w:w="0" w:type="dxa"/>
            <w:vAlign w:val="bottom"/>
          </w:tcPr>
          <w:p>
            <w:pPr>
              <w:spacing w:after="0"/>
              <w:rPr>
                <w:sz w:val="1"/>
                <w:szCs w:val="1"/>
                <w:color w:val="auto"/>
              </w:rPr>
            </w:pPr>
          </w:p>
        </w:tc>
      </w:tr>
      <w:tr>
        <w:trPr>
          <w:trHeight w:val="108"/>
        </w:trPr>
        <w:tc>
          <w:tcPr>
            <w:tcW w:w="16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100" w:type="dxa"/>
            <w:vAlign w:val="bottom"/>
            <w:shd w:val="clear" w:color="auto" w:fill="CCEEFF"/>
          </w:tcPr>
          <w:p>
            <w:pPr>
              <w:spacing w:after="0"/>
              <w:rPr>
                <w:sz w:val="9"/>
                <w:szCs w:val="9"/>
                <w:color w:val="auto"/>
              </w:rPr>
            </w:pPr>
          </w:p>
        </w:tc>
        <w:tc>
          <w:tcPr>
            <w:tcW w:w="144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4.46%</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10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2"/>
              </w:rPr>
              <w:t>October 2, 2017</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0"/>
              </w:rPr>
              <w:t>October 2, 2022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1.95%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145,598</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(4,641)</w:t>
            </w:r>
          </w:p>
        </w:tc>
        <w:tc>
          <w:tcPr>
            <w:tcW w:w="6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(11,262)</w:t>
            </w:r>
          </w:p>
        </w:tc>
        <w:tc>
          <w:tcPr>
            <w:tcW w:w="0" w:type="dxa"/>
            <w:vAlign w:val="bottom"/>
          </w:tcPr>
          <w:p>
            <w:pPr>
              <w:spacing w:after="0"/>
              <w:rPr>
                <w:sz w:val="1"/>
                <w:szCs w:val="1"/>
                <w:color w:val="auto"/>
              </w:rPr>
            </w:pPr>
          </w:p>
        </w:tc>
      </w:tr>
      <w:tr>
        <w:trPr>
          <w:trHeight w:val="108"/>
        </w:trPr>
        <w:tc>
          <w:tcPr>
            <w:tcW w:w="16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100" w:type="dxa"/>
            <w:vAlign w:val="bottom"/>
            <w:shd w:val="clear" w:color="auto" w:fill="CCEEFF"/>
          </w:tcPr>
          <w:p>
            <w:pPr>
              <w:spacing w:after="0"/>
              <w:rPr>
                <w:sz w:val="9"/>
                <w:szCs w:val="9"/>
                <w:color w:val="auto"/>
              </w:rPr>
            </w:pPr>
          </w:p>
        </w:tc>
        <w:tc>
          <w:tcPr>
            <w:tcW w:w="144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4.52%</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10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89"/>
              </w:rPr>
              <w:t>December 21, 2020</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December 20, 2025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408,637</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10,124</w:t>
            </w:r>
          </w:p>
        </w:tc>
        <w:tc>
          <w:tcPr>
            <w:tcW w:w="6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(7,843)</w:t>
            </w:r>
          </w:p>
        </w:tc>
        <w:tc>
          <w:tcPr>
            <w:tcW w:w="0" w:type="dxa"/>
            <w:vAlign w:val="bottom"/>
          </w:tcPr>
          <w:p>
            <w:pPr>
              <w:spacing w:after="0"/>
              <w:rPr>
                <w:sz w:val="1"/>
                <w:szCs w:val="1"/>
                <w:color w:val="auto"/>
              </w:rPr>
            </w:pPr>
          </w:p>
        </w:tc>
      </w:tr>
      <w:tr>
        <w:trPr>
          <w:trHeight w:val="108"/>
        </w:trPr>
        <w:tc>
          <w:tcPr>
            <w:tcW w:w="16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100" w:type="dxa"/>
            <w:vAlign w:val="bottom"/>
            <w:shd w:val="clear" w:color="auto" w:fill="CCEEFF"/>
          </w:tcPr>
          <w:p>
            <w:pPr>
              <w:spacing w:after="0"/>
              <w:rPr>
                <w:sz w:val="9"/>
                <w:szCs w:val="9"/>
                <w:color w:val="auto"/>
              </w:rPr>
            </w:pPr>
          </w:p>
        </w:tc>
        <w:tc>
          <w:tcPr>
            <w:tcW w:w="144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3.98%</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458,730</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471,640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bottom w:val="single" w:sz="8" w:color="CCEEFF"/>
            </w:tcBorders>
            <w:gridSpan w:val="2"/>
          </w:tcPr>
          <w:p>
            <w:pPr>
              <w:spacing w:after="0"/>
              <w:rPr>
                <w:sz w:val="9"/>
                <w:szCs w:val="9"/>
                <w:color w:val="auto"/>
              </w:rPr>
            </w:pPr>
          </w:p>
        </w:tc>
        <w:tc>
          <w:tcPr>
            <w:tcW w:w="13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4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020" w:type="dxa"/>
            <w:vAlign w:val="bottom"/>
            <w:tcBorders>
              <w:bottom w:val="single" w:sz="8" w:color="CCEEFF"/>
            </w:tcBorders>
          </w:tcPr>
          <w:p>
            <w:pPr>
              <w:spacing w:after="0"/>
              <w:rPr>
                <w:sz w:val="9"/>
                <w:szCs w:val="9"/>
                <w:color w:val="auto"/>
              </w:rPr>
            </w:pPr>
          </w:p>
        </w:tc>
        <w:tc>
          <w:tcPr>
            <w:tcW w:w="12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3,255</w:t>
            </w:r>
          </w:p>
        </w:tc>
        <w:tc>
          <w:tcPr>
            <w:tcW w:w="640" w:type="dxa"/>
            <w:vAlign w:val="bottom"/>
            <w:shd w:val="clear" w:color="auto" w:fill="CCEEFF"/>
          </w:tcPr>
          <w:p>
            <w:pPr>
              <w:jc w:val="right"/>
              <w:ind w:right="404"/>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(23,441)</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cross-currency swaps are carried on the consolidated balance sheet at fair value, and changes in the fair values are recorded as unrealized gains or losses in AOCL. For the three and six months ended June 30, 2021, the Company recorded a loss of $12.9 million and a gain of $30.0 million, respectively, in other income, net related to change in fair value related to the foreign currency rate translation to offset the gains or losses recognized on the intercompany loans. For the three and six months ended June 30, 2020, the Company recorded losses of $3.4 million and $5.1 million, respectively, in other income, net related to change in fair value related to the foreign currency rate translation to offset the gains recognized on the intercompany loans.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2021, the Company recorded a loss of $11.0 million and a gain of $29.2 million in AOCL, respectively, related to change in fair value of the cross-currency swaps. For the three and six months ended June 30, 2020, the Company recorded a loss of $2.3 million and a gain of $3.6 million in AOCL, respectively, related to change in fair value of the cross-currency swaps.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2021, the Company recorded gains of $1.3 million and $2.5 million, respectively, in other income, net included in the consolidated statements of operations related to the interest rate differential of the cross-currency swaps. For the three and six months ended June 30, 2020, the Company recorded gains of $1.5 million and $3.0 million, respectively, in other income, net included in the consolidated statements of operations related to the interest rate differential of the cross-currency swaps.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gain that is expected to be reclassified to other income (expense), net from AOCL as of June 30, 2021 within the next twelve months is $7.0 million. As of June 30, 2021, the Company does not expect any gains or losses will be reclassified into earnings as a result of the discontinuance of these cash flow hedges because the original forecasted transaction will not occur.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and December 16, 2020, the Company entered into cross-currency swap agreements designated as net investment hedges to partially offset the effects of foreign currency on foreign subsidiaries.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the following cross-currency rate swaps designated as net investment hedges as of June 30, 2021 and December 31, 2020, respectively (dollar 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Effective Date</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80" w:type="dxa"/>
            <w:vAlign w:val="bottom"/>
          </w:tcPr>
          <w:p>
            <w:pPr>
              <w:spacing w:after="0"/>
              <w:rPr>
                <w:sz w:val="11"/>
                <w:szCs w:val="11"/>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Fixed Rate</w:t>
            </w:r>
          </w:p>
        </w:tc>
        <w:tc>
          <w:tcPr>
            <w:tcW w:w="16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Aggregate Notional</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4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auto"/>
              </w:rPr>
              <w:t>Fair Value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1300" w:type="dxa"/>
            <w:vAlign w:val="bottom"/>
          </w:tcPr>
          <w:p>
            <w:pPr>
              <w:spacing w:after="0"/>
              <w:rPr>
                <w:sz w:val="9"/>
                <w:szCs w:val="9"/>
                <w:color w:val="auto"/>
              </w:rPr>
            </w:pPr>
          </w:p>
        </w:tc>
        <w:tc>
          <w:tcPr>
            <w:tcW w:w="2320" w:type="dxa"/>
            <w:vAlign w:val="bottom"/>
            <w:gridSpan w:val="4"/>
            <w:vMerge w:val="restart"/>
          </w:tcPr>
          <w:p>
            <w:pPr>
              <w:jc w:val="right"/>
              <w:ind w:right="1241"/>
              <w:spacing w:after="0"/>
              <w:rPr>
                <w:sz w:val="20"/>
                <w:szCs w:val="20"/>
                <w:color w:val="auto"/>
              </w:rPr>
            </w:pPr>
            <w:r>
              <w:rPr>
                <w:rFonts w:ascii="Arial" w:cs="Arial" w:eastAsia="Arial" w:hAnsi="Arial"/>
                <w:sz w:val="14"/>
                <w:szCs w:val="14"/>
                <w:b w:val="1"/>
                <w:bCs w:val="1"/>
                <w:color w:val="auto"/>
                <w:w w:val="93"/>
              </w:rPr>
              <w:t>Asset (Liability)</w:t>
            </w:r>
          </w:p>
        </w:tc>
        <w:tc>
          <w:tcPr>
            <w:tcW w:w="0" w:type="dxa"/>
            <w:vAlign w:val="bottom"/>
          </w:tcPr>
          <w:p>
            <w:pPr>
              <w:spacing w:after="0"/>
              <w:rPr>
                <w:sz w:val="1"/>
                <w:szCs w:val="1"/>
                <w:color w:val="auto"/>
              </w:rPr>
            </w:pPr>
          </w:p>
        </w:tc>
      </w:tr>
      <w:tr>
        <w:trPr>
          <w:trHeight w:val="78"/>
        </w:trPr>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23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4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EUR</w:t>
            </w:r>
          </w:p>
        </w:tc>
        <w:tc>
          <w:tcPr>
            <w:tcW w:w="80" w:type="dxa"/>
            <w:vAlign w:val="bottom"/>
            <w:shd w:val="clear" w:color="auto" w:fill="CCEEFF"/>
          </w:tcPr>
          <w:p>
            <w:pPr>
              <w:spacing w:after="0"/>
              <w:rPr>
                <w:sz w:val="18"/>
                <w:szCs w:val="18"/>
                <w:color w:val="auto"/>
              </w:rPr>
            </w:pPr>
          </w:p>
        </w:tc>
        <w:tc>
          <w:tcPr>
            <w:tcW w:w="14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0"/>
              </w:rPr>
              <w:t>October 3, 2018</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September 30, 2021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EUR</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44,859</w:t>
            </w:r>
          </w:p>
        </w:tc>
        <w:tc>
          <w:tcPr>
            <w:tcW w:w="1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1122"/>
              <w:spacing w:after="0"/>
              <w:rPr>
                <w:sz w:val="20"/>
                <w:szCs w:val="20"/>
                <w:color w:val="auto"/>
              </w:rPr>
            </w:pPr>
            <w:r>
              <w:rPr>
                <w:rFonts w:ascii="Arial" w:cs="Arial" w:eastAsia="Arial" w:hAnsi="Arial"/>
                <w:sz w:val="16"/>
                <w:szCs w:val="16"/>
                <w:color w:val="auto"/>
                <w:w w:val="8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(1,884)</w:t>
            </w:r>
          </w:p>
        </w:tc>
        <w:tc>
          <w:tcPr>
            <w:tcW w:w="0" w:type="dxa"/>
            <w:vAlign w:val="bottom"/>
          </w:tcPr>
          <w:p>
            <w:pPr>
              <w:spacing w:after="0"/>
              <w:rPr>
                <w:sz w:val="1"/>
                <w:szCs w:val="1"/>
                <w:color w:val="auto"/>
              </w:rPr>
            </w:pPr>
          </w:p>
        </w:tc>
      </w:tr>
      <w:tr>
        <w:trPr>
          <w:trHeight w:val="108"/>
        </w:trPr>
        <w:tc>
          <w:tcPr>
            <w:tcW w:w="17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80" w:type="dxa"/>
            <w:vAlign w:val="bottom"/>
            <w:shd w:val="clear" w:color="auto" w:fill="CCEEFF"/>
          </w:tcPr>
          <w:p>
            <w:pPr>
              <w:spacing w:after="0"/>
              <w:rPr>
                <w:sz w:val="9"/>
                <w:szCs w:val="9"/>
                <w:color w:val="auto"/>
              </w:rPr>
            </w:pPr>
          </w:p>
        </w:tc>
        <w:tc>
          <w:tcPr>
            <w:tcW w:w="146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3.01%</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52,000</w:t>
            </w:r>
          </w:p>
        </w:tc>
        <w:tc>
          <w:tcPr>
            <w:tcW w:w="100" w:type="dxa"/>
            <w:vAlign w:val="bottom"/>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4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EUR</w:t>
            </w:r>
          </w:p>
        </w:tc>
        <w:tc>
          <w:tcPr>
            <w:tcW w:w="80" w:type="dxa"/>
            <w:vAlign w:val="bottom"/>
            <w:shd w:val="clear" w:color="auto" w:fill="CCEEFF"/>
          </w:tcPr>
          <w:p>
            <w:pPr>
              <w:spacing w:after="0"/>
              <w:rPr>
                <w:sz w:val="18"/>
                <w:szCs w:val="18"/>
                <w:color w:val="auto"/>
              </w:rPr>
            </w:pPr>
          </w:p>
        </w:tc>
        <w:tc>
          <w:tcPr>
            <w:tcW w:w="14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0"/>
              </w:rPr>
              <w:t>October 3, 2018</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September 30, 2023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EUR</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51,760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108"/>
        </w:trPr>
        <w:tc>
          <w:tcPr>
            <w:tcW w:w="17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80" w:type="dxa"/>
            <w:vAlign w:val="bottom"/>
            <w:shd w:val="clear" w:color="auto" w:fill="CCEEFF"/>
          </w:tcPr>
          <w:p>
            <w:pPr>
              <w:spacing w:after="0"/>
              <w:rPr>
                <w:sz w:val="9"/>
                <w:szCs w:val="9"/>
                <w:color w:val="auto"/>
              </w:rPr>
            </w:pPr>
          </w:p>
        </w:tc>
        <w:tc>
          <w:tcPr>
            <w:tcW w:w="146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2.57%</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4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EUR</w:t>
            </w:r>
          </w:p>
        </w:tc>
        <w:tc>
          <w:tcPr>
            <w:tcW w:w="80" w:type="dxa"/>
            <w:vAlign w:val="bottom"/>
            <w:shd w:val="clear" w:color="auto" w:fill="CCEEFF"/>
          </w:tcPr>
          <w:p>
            <w:pPr>
              <w:spacing w:after="0"/>
              <w:rPr>
                <w:sz w:val="18"/>
                <w:szCs w:val="18"/>
                <w:color w:val="auto"/>
              </w:rPr>
            </w:pPr>
          </w:p>
        </w:tc>
        <w:tc>
          <w:tcPr>
            <w:tcW w:w="14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0"/>
              </w:rPr>
              <w:t>October 3, 2018</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September 30, 2025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EUR</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849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08"/>
        </w:trPr>
        <w:tc>
          <w:tcPr>
            <w:tcW w:w="17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80" w:type="dxa"/>
            <w:vAlign w:val="bottom"/>
            <w:shd w:val="clear" w:color="auto" w:fill="CCEEFF"/>
          </w:tcPr>
          <w:p>
            <w:pPr>
              <w:spacing w:after="0"/>
              <w:rPr>
                <w:sz w:val="9"/>
                <w:szCs w:val="9"/>
                <w:color w:val="auto"/>
              </w:rPr>
            </w:pPr>
          </w:p>
        </w:tc>
        <w:tc>
          <w:tcPr>
            <w:tcW w:w="146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2.19%</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4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80" w:type="dxa"/>
            <w:vAlign w:val="bottom"/>
            <w:shd w:val="clear" w:color="auto" w:fill="CCEEFF"/>
          </w:tcPr>
          <w:p>
            <w:pPr>
              <w:spacing w:after="0"/>
              <w:rPr>
                <w:sz w:val="18"/>
                <w:szCs w:val="18"/>
                <w:color w:val="auto"/>
              </w:rPr>
            </w:pPr>
          </w:p>
        </w:tc>
        <w:tc>
          <w:tcPr>
            <w:tcW w:w="14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1"/>
              </w:rPr>
              <w:t>December 16, 2020</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December 16, 2027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CHF</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222,300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80" w:type="dxa"/>
            <w:vAlign w:val="bottom"/>
            <w:shd w:val="clear" w:color="auto" w:fill="CCEEFF"/>
          </w:tcPr>
          <w:p>
            <w:pPr>
              <w:spacing w:after="0"/>
              <w:rPr>
                <w:sz w:val="9"/>
                <w:szCs w:val="9"/>
                <w:color w:val="auto"/>
              </w:rPr>
            </w:pPr>
          </w:p>
        </w:tc>
        <w:tc>
          <w:tcPr>
            <w:tcW w:w="146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1.10%</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w w:val="89"/>
              </w:rPr>
              <w:t>3,292</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(3,794)</w:t>
            </w:r>
          </w:p>
        </w:tc>
        <w:tc>
          <w:tcPr>
            <w:tcW w:w="0" w:type="dxa"/>
            <w:vAlign w:val="bottom"/>
          </w:tcPr>
          <w:p>
            <w:pPr>
              <w:spacing w:after="0"/>
              <w:rPr>
                <w:sz w:val="1"/>
                <w:szCs w:val="1"/>
                <w:color w:val="auto"/>
              </w:rPr>
            </w:pPr>
          </w:p>
        </w:tc>
      </w:tr>
      <w:tr>
        <w:trPr>
          <w:trHeight w:val="114"/>
        </w:trPr>
        <w:tc>
          <w:tcPr>
            <w:tcW w:w="1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4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tcBorders>
              <w:bottom w:val="single" w:sz="8" w:color="CCEEFF"/>
            </w:tcBorders>
            <w:gridSpan w:val="2"/>
          </w:tcPr>
          <w:p>
            <w:pPr>
              <w:spacing w:after="0"/>
              <w:rPr>
                <w:sz w:val="9"/>
                <w:szCs w:val="9"/>
                <w:color w:val="auto"/>
              </w:rPr>
            </w:pPr>
          </w:p>
        </w:tc>
        <w:tc>
          <w:tcPr>
            <w:tcW w:w="13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5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4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2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4,178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(6,036)</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cross-currency swaps were carried on the consolidated balance sheet at fair value and changes in the fair values were recorded as unrealized gains or losses in AOCL. For the three and six months ended June 30, 2021, the Company recorded gains of $0.1 million and $13.7 million, respectively, in AOCL related to the change in fair value of the cross-currency swaps. For the three and six months ended June 30, 2020, the Company recorded a loss of $2.5 million and a gain of $16.4 million, respectively, in AOCL related to the change in fair value of the cross-currency swaps.</w:t>
      </w:r>
    </w:p>
    <w:p>
      <w:pPr>
        <w:spacing w:after="0" w:line="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three and six months ended June 30, 2021, the Company recorded gains of $1.7 million and $3.4 million in interest income included in the consolidated statements of operations related to the interest rate differential of the cross-currency swaps. For the three and six months ended June 30, 2020, the Company recorded gains of $2.2 million and $4.4 million in interest income included in the consolidated statements of operations related to the interest rate differential of the cross-currency swaps.</w:t>
      </w:r>
    </w:p>
    <w:p>
      <w:pPr>
        <w:spacing w:after="0" w:line="79" w:lineRule="exact"/>
        <w:rPr>
          <w:sz w:val="20"/>
          <w:szCs w:val="20"/>
          <w:color w:val="auto"/>
        </w:rPr>
      </w:pPr>
    </w:p>
    <w:p>
      <w:pPr>
        <w:ind w:right="380"/>
        <w:spacing w:after="0" w:line="375" w:lineRule="auto"/>
        <w:rPr>
          <w:sz w:val="20"/>
          <w:szCs w:val="20"/>
          <w:color w:val="auto"/>
        </w:rPr>
      </w:pPr>
      <w:r>
        <w:rPr>
          <w:rFonts w:ascii="Arial" w:cs="Arial" w:eastAsia="Arial" w:hAnsi="Arial"/>
          <w:sz w:val="18"/>
          <w:szCs w:val="18"/>
          <w:color w:val="auto"/>
        </w:rPr>
        <w:t xml:space="preserve">The estimated gain that is expected to be reclassified to interest income from AOCL as of June 30, 2021 within the next twelve months is $4.5 million. </w:t>
      </w:r>
      <w:r>
        <w:rPr>
          <w:rFonts w:ascii="Arial" w:cs="Arial" w:eastAsia="Arial" w:hAnsi="Arial"/>
          <w:sz w:val="18"/>
          <w:szCs w:val="18"/>
          <w:b w:val="1"/>
          <w:bCs w:val="1"/>
          <w:i w:val="1"/>
          <w:iCs w:val="1"/>
          <w:color w:val="auto"/>
        </w:rPr>
        <w:t>Counterparty Credit Risk</w:t>
      </w:r>
    </w:p>
    <w:p>
      <w:pPr>
        <w:spacing w:after="0" w:line="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for derivatives designated as hedging instruments in the condensed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December 31,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9"/>
          <w:szCs w:val="9"/>
          <w:b w:val="1"/>
          <w:bCs w:val="1"/>
          <w:color w:val="auto"/>
        </w:rPr>
        <w:t>(1)</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8088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thousands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Derivatives designated as hedges —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Cash Flow Hedges</w:t>
      </w:r>
    </w:p>
    <w:p>
      <w:pPr>
        <w:spacing w:after="0" w:line="32" w:lineRule="exact"/>
        <w:rPr>
          <w:sz w:val="20"/>
          <w:szCs w:val="20"/>
          <w:color w:val="auto"/>
        </w:rPr>
      </w:pPr>
    </w:p>
    <w:p>
      <w:pPr>
        <w:jc w:val="center"/>
        <w:ind w:right="4940"/>
        <w:spacing w:after="0"/>
        <w:rPr>
          <w:sz w:val="20"/>
          <w:szCs w:val="20"/>
          <w:color w:val="auto"/>
        </w:rPr>
      </w:pPr>
      <w:r>
        <w:rPr>
          <w:rFonts w:ascii="Arial" w:cs="Arial" w:eastAsia="Arial" w:hAnsi="Arial"/>
          <w:sz w:val="16"/>
          <w:szCs w:val="16"/>
          <w:color w:val="auto"/>
        </w:rPr>
        <w:t>Cross-currency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jc w:val="center"/>
        <w:ind w:right="5020"/>
        <w:spacing w:after="0"/>
        <w:rPr>
          <w:sz w:val="20"/>
          <w:szCs w:val="20"/>
          <w:color w:val="auto"/>
        </w:rPr>
      </w:pPr>
      <w:r>
        <w:rPr>
          <w:rFonts w:ascii="Arial" w:cs="Arial" w:eastAsia="Arial" w:hAnsi="Arial"/>
          <w:sz w:val="16"/>
          <w:szCs w:val="16"/>
          <w:u w:val="single" w:color="auto"/>
          <w:color w:val="auto"/>
        </w:rPr>
        <w:t>Net Investment Hedges</w:t>
      </w:r>
    </w:p>
    <w:p>
      <w:pPr>
        <w:spacing w:after="0" w:line="32" w:lineRule="exact"/>
        <w:rPr>
          <w:sz w:val="20"/>
          <w:szCs w:val="20"/>
          <w:color w:val="auto"/>
        </w:rPr>
      </w:pPr>
    </w:p>
    <w:p>
      <w:pPr>
        <w:jc w:val="center"/>
        <w:ind w:right="4940"/>
        <w:spacing w:after="0"/>
        <w:rPr>
          <w:sz w:val="20"/>
          <w:szCs w:val="20"/>
          <w:color w:val="auto"/>
        </w:rPr>
      </w:pPr>
      <w:r>
        <w:rPr>
          <w:rFonts w:ascii="Arial" w:cs="Arial" w:eastAsia="Arial" w:hAnsi="Arial"/>
          <w:sz w:val="16"/>
          <w:szCs w:val="16"/>
          <w:color w:val="auto"/>
        </w:rPr>
        <w:t>Cross-currency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jc w:val="center"/>
        <w:ind w:right="5040"/>
        <w:spacing w:after="0"/>
        <w:rPr>
          <w:sz w:val="20"/>
          <w:szCs w:val="20"/>
          <w:color w:val="auto"/>
        </w:rPr>
      </w:pPr>
      <w:r>
        <w:rPr>
          <w:rFonts w:ascii="Arial" w:cs="Arial" w:eastAsia="Arial" w:hAnsi="Arial"/>
          <w:sz w:val="16"/>
          <w:szCs w:val="16"/>
          <w:color w:val="auto"/>
        </w:rPr>
        <w:t>Interest rate swap</w:t>
      </w:r>
      <w:r>
        <w:rPr>
          <w:rFonts w:ascii="Arial" w:cs="Arial" w:eastAsia="Arial" w:hAnsi="Arial"/>
          <w:sz w:val="21"/>
          <w:szCs w:val="21"/>
          <w:color w:val="auto"/>
          <w:vertAlign w:val="superscript"/>
        </w:rPr>
        <w:t>(2)</w:t>
      </w:r>
    </w:p>
    <w:p>
      <w:pPr>
        <w:jc w:val="center"/>
        <w:ind w:right="4940"/>
        <w:spacing w:after="0"/>
        <w:rPr>
          <w:sz w:val="20"/>
          <w:szCs w:val="20"/>
          <w:color w:val="auto"/>
        </w:rPr>
      </w:pPr>
      <w:r>
        <w:rPr>
          <w:rFonts w:ascii="Arial" w:cs="Arial" w:eastAsia="Arial" w:hAnsi="Arial"/>
          <w:sz w:val="16"/>
          <w:szCs w:val="16"/>
          <w:color w:val="auto"/>
        </w:rPr>
        <w:t>Cross-currency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center"/>
        <w:ind w:right="5020"/>
        <w:spacing w:after="0"/>
        <w:rPr>
          <w:sz w:val="20"/>
          <w:szCs w:val="20"/>
          <w:color w:val="auto"/>
        </w:rPr>
      </w:pPr>
      <w:r>
        <w:rPr>
          <w:rFonts w:ascii="Arial" w:cs="Arial" w:eastAsia="Arial" w:hAnsi="Arial"/>
          <w:sz w:val="16"/>
          <w:szCs w:val="16"/>
          <w:u w:val="single" w:color="auto"/>
          <w:color w:val="auto"/>
        </w:rPr>
        <w:t>Net Investment Hedges</w:t>
      </w:r>
    </w:p>
    <w:p>
      <w:pPr>
        <w:spacing w:after="0" w:line="32" w:lineRule="exact"/>
        <w:rPr>
          <w:sz w:val="20"/>
          <w:szCs w:val="20"/>
          <w:color w:val="auto"/>
        </w:rPr>
      </w:pPr>
    </w:p>
    <w:p>
      <w:pPr>
        <w:jc w:val="center"/>
        <w:ind w:right="4940"/>
        <w:spacing w:after="0"/>
        <w:rPr>
          <w:sz w:val="20"/>
          <w:szCs w:val="20"/>
          <w:color w:val="auto"/>
        </w:rPr>
      </w:pPr>
      <w:r>
        <w:rPr>
          <w:rFonts w:ascii="Arial" w:cs="Arial" w:eastAsia="Arial" w:hAnsi="Arial"/>
          <w:sz w:val="16"/>
          <w:szCs w:val="16"/>
          <w:color w:val="auto"/>
        </w:rPr>
        <w:t>Cross-currency swap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Total derivatives designated as hedges —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Derivatives designated as hedges —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Cash Flow Hedges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rate swap</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6"/>
          <w:szCs w:val="16"/>
          <w:color w:val="auto"/>
        </w:rPr>
        <w:t>Cross-currency swap</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Cross-currency swap</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Cash Flow Hedges</w:t>
      </w:r>
    </w:p>
    <w:p>
      <w:pPr>
        <w:spacing w:after="0" w:line="21" w:lineRule="exact"/>
        <w:rPr>
          <w:sz w:val="20"/>
          <w:szCs w:val="20"/>
          <w:color w:val="auto"/>
        </w:rPr>
      </w:pPr>
    </w:p>
    <w:p>
      <w:pPr>
        <w:jc w:val="center"/>
        <w:ind w:right="5040"/>
        <w:spacing w:after="0"/>
        <w:rPr>
          <w:sz w:val="20"/>
          <w:szCs w:val="20"/>
          <w:color w:val="auto"/>
        </w:rPr>
      </w:pPr>
      <w:r>
        <w:rPr>
          <w:rFonts w:ascii="Arial" w:cs="Arial" w:eastAsia="Arial" w:hAnsi="Arial"/>
          <w:sz w:val="16"/>
          <w:szCs w:val="16"/>
          <w:color w:val="auto"/>
        </w:rPr>
        <w:t>Interest rate swap</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center"/>
        <w:ind w:right="4940"/>
        <w:spacing w:after="0"/>
        <w:rPr>
          <w:sz w:val="20"/>
          <w:szCs w:val="20"/>
          <w:color w:val="auto"/>
        </w:rPr>
      </w:pPr>
      <w:r>
        <w:rPr>
          <w:rFonts w:ascii="Arial" w:cs="Arial" w:eastAsia="Arial" w:hAnsi="Arial"/>
          <w:sz w:val="16"/>
          <w:szCs w:val="16"/>
          <w:color w:val="auto"/>
        </w:rPr>
        <w:t>Cross-currency swap</w:t>
      </w:r>
    </w:p>
    <w:p>
      <w:pPr>
        <w:spacing w:after="0" w:line="18" w:lineRule="exact"/>
        <w:rPr>
          <w:sz w:val="20"/>
          <w:szCs w:val="20"/>
          <w:color w:val="auto"/>
        </w:rPr>
      </w:pPr>
    </w:p>
    <w:p>
      <w:pPr>
        <w:jc w:val="center"/>
        <w:ind w:right="5020"/>
        <w:spacing w:after="0"/>
        <w:rPr>
          <w:sz w:val="20"/>
          <w:szCs w:val="20"/>
          <w:color w:val="auto"/>
        </w:rPr>
      </w:pPr>
      <w:r>
        <w:rPr>
          <w:rFonts w:ascii="Arial" w:cs="Arial" w:eastAsia="Arial" w:hAnsi="Arial"/>
          <w:sz w:val="16"/>
          <w:szCs w:val="16"/>
          <w:u w:val="single" w:color="auto"/>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jc w:val="center"/>
        <w:ind w:right="4940"/>
        <w:spacing w:after="0"/>
        <w:rPr>
          <w:sz w:val="20"/>
          <w:szCs w:val="20"/>
          <w:color w:val="auto"/>
        </w:rPr>
      </w:pPr>
      <w:r>
        <w:rPr>
          <w:rFonts w:ascii="Arial" w:cs="Arial" w:eastAsia="Arial" w:hAnsi="Arial"/>
          <w:sz w:val="16"/>
          <w:szCs w:val="16"/>
          <w:color w:val="auto"/>
        </w:rPr>
        <w:t>Cross-currency swap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derivatives designated as hedges — Liabilities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Fair Value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2371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2" w:lineRule="exact"/>
        <w:rPr>
          <w:sz w:val="20"/>
          <w:szCs w:val="20"/>
          <w:color w:val="auto"/>
        </w:rPr>
      </w:pPr>
    </w:p>
    <w:p>
      <w:pPr>
        <w:ind w:left="420"/>
        <w:spacing w:after="0"/>
        <w:tabs>
          <w:tab w:leader="none" w:pos="2060" w:val="left"/>
        </w:tabs>
        <w:rPr>
          <w:sz w:val="20"/>
          <w:szCs w:val="20"/>
          <w:color w:val="auto"/>
        </w:rPr>
      </w:pPr>
      <w:r>
        <w:rPr>
          <w:rFonts w:ascii="Arial" w:cs="Arial" w:eastAsia="Arial" w:hAnsi="Arial"/>
          <w:sz w:val="14"/>
          <w:szCs w:val="14"/>
          <w:b w:val="1"/>
          <w:bCs w:val="1"/>
          <w:color w:val="auto"/>
        </w:rPr>
        <w:t>June 30, 2021</w:t>
      </w:r>
      <w:r>
        <w:rPr>
          <w:sz w:val="20"/>
          <w:szCs w:val="20"/>
          <w:color w:val="auto"/>
        </w:rPr>
        <w:tab/>
      </w:r>
      <w:r>
        <w:rPr>
          <w:rFonts w:ascii="Arial" w:cs="Arial" w:eastAsia="Arial" w:hAnsi="Arial"/>
          <w:sz w:val="12"/>
          <w:szCs w:val="12"/>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2371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9,206</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7,623</w:t>
            </w:r>
          </w:p>
        </w:tc>
      </w:tr>
      <w:tr>
        <w:trPr>
          <w:trHeight w:val="432"/>
        </w:trPr>
        <w:tc>
          <w:tcPr>
            <w:tcW w:w="6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5,345</w:t>
            </w:r>
          </w:p>
        </w:tc>
        <w:tc>
          <w:tcPr>
            <w:tcW w:w="7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5,297</w:t>
            </w:r>
          </w:p>
        </w:tc>
      </w:tr>
      <w:tr>
        <w:trPr>
          <w:trHeight w:val="648"/>
        </w:trPr>
        <w:tc>
          <w:tcPr>
            <w:tcW w:w="6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4,918</w:t>
            </w:r>
          </w:p>
        </w:tc>
        <w:tc>
          <w:tcPr>
            <w:tcW w:w="7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4,605</w:t>
            </w:r>
          </w:p>
        </w:tc>
        <w:tc>
          <w:tcPr>
            <w:tcW w:w="7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5"/>
        </w:trPr>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24,579</w:t>
            </w:r>
          </w:p>
        </w:tc>
        <w:tc>
          <w:tcPr>
            <w:tcW w:w="7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12,920</w:t>
            </w:r>
          </w:p>
        </w:tc>
      </w:tr>
      <w:tr>
        <w:trPr>
          <w:trHeight w:val="23"/>
        </w:trPr>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21,003</w:t>
            </w:r>
          </w:p>
        </w:tc>
        <w:tc>
          <w:tcPr>
            <w:tcW w:w="7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22,033</w:t>
            </w:r>
          </w:p>
        </w:tc>
      </w:tr>
      <w:tr>
        <w:trPr>
          <w:trHeight w:val="216"/>
        </w:trPr>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2,228</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4,335</w:t>
            </w:r>
          </w:p>
        </w:tc>
      </w:tr>
      <w:tr>
        <w:trPr>
          <w:trHeight w:val="432"/>
        </w:trPr>
        <w:tc>
          <w:tcPr>
            <w:tcW w:w="6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864</w:t>
            </w: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1,884</w:t>
            </w:r>
          </w:p>
        </w:tc>
      </w:tr>
      <w:tr>
        <w:trPr>
          <w:trHeight w:val="648"/>
        </w:trPr>
        <w:tc>
          <w:tcPr>
            <w:tcW w:w="6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46,651</w:t>
            </w: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71,736</w:t>
            </w:r>
          </w:p>
        </w:tc>
      </w:tr>
      <w:tr>
        <w:trPr>
          <w:trHeight w:val="216"/>
        </w:trPr>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8,328</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26,728</w:t>
            </w:r>
          </w:p>
        </w:tc>
      </w:tr>
      <w:tr>
        <w:trPr>
          <w:trHeight w:val="435"/>
        </w:trPr>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9,449</w:t>
            </w:r>
          </w:p>
        </w:tc>
      </w:tr>
      <w:tr>
        <w:trPr>
          <w:trHeight w:val="210"/>
        </w:trPr>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79,882</w:t>
            </w:r>
          </w:p>
        </w:tc>
        <w:tc>
          <w:tcPr>
            <w:tcW w:w="7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136,165</w:t>
            </w:r>
          </w:p>
        </w:tc>
      </w:tr>
      <w:tr>
        <w:trPr>
          <w:trHeight w:val="23"/>
        </w:trPr>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sectPr>
          <w:pgSz w:w="11900" w:h="16838" w:orient="portrait"/>
          <w:cols w:equalWidth="0" w:num="2">
            <w:col w:w="7000" w:space="720"/>
            <w:col w:w="3520"/>
          </w:cols>
          <w:pgMar w:left="320" w:top="121" w:right="339" w:bottom="1440" w:gutter="0" w:footer="0" w:header="0"/>
          <w:type w:val="continuous"/>
        </w:sect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Company classifies derivative assets and liabilities as current based on the cash flows expected to be incurred within the following 12 months.</w:t>
      </w:r>
    </w:p>
    <w:p>
      <w:pPr>
        <w:spacing w:after="0" w:line="63"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At June 30, 2021 and December 31, 2020, the total notional amounts related to the Company’s interest rate swaps were $1.8 billion and $1.9 billion, respectively.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 of operations during the three and six months ended June 30, 2021 and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Balance in AOCL</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Amount of Gain (Loss)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Gain (Loss)</w:t>
            </w:r>
          </w:p>
        </w:tc>
        <w:tc>
          <w:tcPr>
            <w:tcW w:w="160" w:type="dxa"/>
            <w:vAlign w:val="bottom"/>
          </w:tcPr>
          <w:p>
            <w:pPr>
              <w:spacing w:after="0"/>
              <w:rPr>
                <w:sz w:val="5"/>
                <w:szCs w:val="5"/>
                <w:color w:val="auto"/>
              </w:rPr>
            </w:pPr>
          </w:p>
        </w:tc>
        <w:tc>
          <w:tcPr>
            <w:tcW w:w="14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Reclassified from</w:t>
            </w:r>
          </w:p>
        </w:tc>
        <w:tc>
          <w:tcPr>
            <w:tcW w:w="114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w w:val="95"/>
              </w:rPr>
              <w:t>Balance in AOCL</w:t>
            </w:r>
          </w:p>
        </w:tc>
        <w:tc>
          <w:tcPr>
            <w:tcW w:w="10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5"/>
                <w:szCs w:val="5"/>
                <w:color w:val="auto"/>
              </w:rPr>
            </w:pPr>
          </w:p>
        </w:tc>
        <w:tc>
          <w:tcPr>
            <w:tcW w:w="14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AOCL into</w:t>
            </w:r>
          </w:p>
        </w:tc>
        <w:tc>
          <w:tcPr>
            <w:tcW w:w="1140" w:type="dxa"/>
            <w:vAlign w:val="bottom"/>
            <w:gridSpan w:val="2"/>
            <w:vMerge w:val="restart"/>
          </w:tcPr>
          <w:p>
            <w:pPr>
              <w:jc w:val="right"/>
              <w:spacing w:after="0" w:line="135" w:lineRule="exact"/>
              <w:rPr>
                <w:sz w:val="20"/>
                <w:szCs w:val="20"/>
                <w:color w:val="auto"/>
              </w:rPr>
            </w:pPr>
            <w:r>
              <w:rPr>
                <w:rFonts w:ascii="Arial" w:cs="Arial" w:eastAsia="Arial" w:hAnsi="Arial"/>
                <w:sz w:val="14"/>
                <w:szCs w:val="14"/>
                <w:b w:val="1"/>
                <w:bCs w:val="1"/>
                <w:color w:val="auto"/>
              </w:rPr>
              <w:t>End of Quarter</w:t>
            </w:r>
          </w:p>
        </w:tc>
        <w:tc>
          <w:tcPr>
            <w:tcW w:w="10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19"/>
        </w:trPr>
        <w:tc>
          <w:tcPr>
            <w:tcW w:w="3080" w:type="dxa"/>
            <w:vAlign w:val="bottom"/>
            <w:gridSpan w:val="4"/>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AOCL</w:t>
            </w:r>
          </w:p>
        </w:tc>
        <w:tc>
          <w:tcPr>
            <w:tcW w:w="160" w:type="dxa"/>
            <w:vAlign w:val="bottom"/>
          </w:tcPr>
          <w:p>
            <w:pPr>
              <w:spacing w:after="0"/>
              <w:rPr>
                <w:sz w:val="10"/>
                <w:szCs w:val="10"/>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0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308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2021</w:t>
            </w: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8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(62,736)</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2940" w:type="dxa"/>
            <w:vAlign w:val="bottom"/>
            <w:gridSpan w:val="3"/>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(11,635)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(4,363)</w:t>
            </w:r>
          </w:p>
        </w:tc>
        <w:tc>
          <w:tcPr>
            <w:tcW w:w="10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Other income (expense),net</w:t>
            </w:r>
          </w:p>
        </w:tc>
        <w:tc>
          <w:tcPr>
            <w:tcW w:w="0" w:type="dxa"/>
            <w:vAlign w:val="bottom"/>
          </w:tcPr>
          <w:p>
            <w:pPr>
              <w:spacing w:after="0"/>
              <w:rPr>
                <w:sz w:val="1"/>
                <w:szCs w:val="1"/>
                <w:color w:val="auto"/>
              </w:rPr>
            </w:pPr>
          </w:p>
        </w:tc>
      </w:tr>
      <w:tr>
        <w:trPr>
          <w:trHeight w:val="199"/>
        </w:trPr>
        <w:tc>
          <w:tcPr>
            <w:tcW w:w="140" w:type="dxa"/>
            <w:vAlign w:val="bottom"/>
            <w:shd w:val="clear" w:color="auto" w:fill="CCEEFF"/>
          </w:tcPr>
          <w:p>
            <w:pPr>
              <w:spacing w:after="0"/>
              <w:rPr>
                <w:sz w:val="17"/>
                <w:szCs w:val="17"/>
                <w:color w:val="auto"/>
              </w:rPr>
            </w:pPr>
          </w:p>
        </w:tc>
        <w:tc>
          <w:tcPr>
            <w:tcW w:w="294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Net Investment Hedges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 w:type="dxa"/>
            <w:vAlign w:val="bottom"/>
            <w:tcBorders>
              <w:top w:val="single" w:sz="8" w:color="CCEEFF"/>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gridSpan w:val="2"/>
          </w:tcPr>
          <w:p>
            <w:pPr>
              <w:ind w:left="80"/>
              <w:spacing w:after="0"/>
              <w:rPr>
                <w:sz w:val="20"/>
                <w:szCs w:val="20"/>
                <w:color w:val="auto"/>
              </w:rPr>
            </w:pPr>
            <w:r>
              <w:rPr>
                <w:rFonts w:ascii="Arial" w:cs="Arial" w:eastAsia="Arial" w:hAnsi="Arial"/>
                <w:sz w:val="16"/>
                <w:szCs w:val="16"/>
                <w:color w:val="auto"/>
                <w:w w:val="94"/>
              </w:rPr>
              <w:t>Cross-currency swap</w:t>
            </w:r>
          </w:p>
        </w:tc>
        <w:tc>
          <w:tcPr>
            <w:tcW w:w="14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auto"/>
            </w:tcBorders>
          </w:tcPr>
          <w:p>
            <w:pPr>
              <w:spacing w:after="0"/>
              <w:rPr>
                <w:sz w:val="18"/>
                <w:szCs w:val="18"/>
                <w:color w:val="auto"/>
              </w:rPr>
            </w:pPr>
          </w:p>
        </w:tc>
        <w:tc>
          <w:tcPr>
            <w:tcW w:w="1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CCEEFF"/>
              <w:bottom w:val="single" w:sz="8" w:color="auto"/>
            </w:tcBorders>
          </w:tcPr>
          <w:p>
            <w:pPr>
              <w:jc w:val="right"/>
              <w:ind w:right="1"/>
              <w:spacing w:after="0"/>
              <w:rPr>
                <w:sz w:val="20"/>
                <w:szCs w:val="20"/>
                <w:color w:val="auto"/>
              </w:rPr>
            </w:pPr>
            <w:r>
              <w:rPr>
                <w:rFonts w:ascii="Arial" w:cs="Arial" w:eastAsia="Arial" w:hAnsi="Arial"/>
                <w:sz w:val="16"/>
                <w:szCs w:val="16"/>
                <w:color w:val="auto"/>
              </w:rPr>
              <w:t>1,737</w:t>
            </w:r>
          </w:p>
        </w:tc>
        <w:tc>
          <w:tcPr>
            <w:tcW w:w="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auto"/>
            </w:tcBorders>
          </w:tcPr>
          <w:p>
            <w:pPr>
              <w:spacing w:after="0"/>
              <w:rPr>
                <w:sz w:val="18"/>
                <w:szCs w:val="18"/>
                <w:color w:val="auto"/>
              </w:rPr>
            </w:pPr>
          </w:p>
        </w:tc>
        <w:tc>
          <w:tcPr>
            <w:tcW w:w="8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Borders>
              <w:top w:val="single" w:sz="8" w:color="CCEEFF"/>
              <w:bottom w:val="single" w:sz="8" w:color="CCEEFF"/>
            </w:tcBorders>
          </w:tcPr>
          <w:p>
            <w:pPr>
              <w:spacing w:after="0"/>
              <w:rPr>
                <w:sz w:val="18"/>
                <w:szCs w:val="18"/>
                <w:color w:val="auto"/>
              </w:rPr>
            </w:pPr>
          </w:p>
        </w:tc>
        <w:tc>
          <w:tcPr>
            <w:tcW w:w="23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34"/>
        </w:trPr>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(69,177)</w:t>
            </w:r>
          </w:p>
        </w:tc>
        <w:tc>
          <w:tcPr>
            <w:tcW w:w="10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6"/>
                <w:szCs w:val="16"/>
                <w:b w:val="1"/>
                <w:bCs w:val="1"/>
                <w:color w:val="auto"/>
              </w:rPr>
              <w:t>Three Months Ended June 30, 2020</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w w:val="90"/>
              </w:rPr>
              <w:t>Cash Flow Hedges</w:t>
            </w:r>
          </w:p>
        </w:tc>
        <w:tc>
          <w:tcPr>
            <w:tcW w:w="170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2940" w:type="dxa"/>
            <w:vAlign w:val="bottom"/>
            <w:gridSpan w:val="3"/>
          </w:tcPr>
          <w:p>
            <w:pPr>
              <w:ind w:left="80"/>
              <w:spacing w:after="0"/>
              <w:rPr>
                <w:sz w:val="20"/>
                <w:szCs w:val="20"/>
                <w:color w:val="auto"/>
              </w:rPr>
            </w:pPr>
            <w:r>
              <w:rPr>
                <w:rFonts w:ascii="Arial" w:cs="Arial" w:eastAsia="Arial" w:hAnsi="Arial"/>
                <w:sz w:val="16"/>
                <w:szCs w:val="16"/>
                <w:color w:val="auto"/>
              </w:rPr>
              <w:t>Interest rate swap</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(95,753)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(9,988)</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(3,614)</w:t>
            </w:r>
          </w:p>
        </w:tc>
        <w:tc>
          <w:tcPr>
            <w:tcW w:w="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(102,127)</w:t>
            </w:r>
          </w:p>
        </w:tc>
        <w:tc>
          <w:tcPr>
            <w:tcW w:w="10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29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5,843</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(expense),net</w:t>
            </w:r>
          </w:p>
        </w:tc>
        <w:tc>
          <w:tcPr>
            <w:tcW w:w="0" w:type="dxa"/>
            <w:vAlign w:val="bottom"/>
          </w:tcPr>
          <w:p>
            <w:pPr>
              <w:spacing w:after="0"/>
              <w:rPr>
                <w:sz w:val="1"/>
                <w:szCs w:val="1"/>
                <w:color w:val="auto"/>
              </w:rPr>
            </w:pPr>
          </w:p>
        </w:tc>
      </w:tr>
      <w:tr>
        <w:trPr>
          <w:trHeight w:val="175"/>
        </w:trPr>
        <w:tc>
          <w:tcPr>
            <w:tcW w:w="308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Net Investment Hedges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22,224</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(62,541)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(14,853)</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w:t>
            </w:r>
          </w:p>
        </w:tc>
        <w:tc>
          <w:tcPr>
            <w:tcW w:w="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(74,060)</w:t>
            </w: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Balance in AOCL</w:t>
            </w:r>
          </w:p>
        </w:tc>
        <w:tc>
          <w:tcPr>
            <w:tcW w:w="18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Amount of Gain (Loss)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Gain (Loss)</w:t>
            </w:r>
          </w:p>
        </w:tc>
        <w:tc>
          <w:tcPr>
            <w:tcW w:w="160" w:type="dxa"/>
            <w:vAlign w:val="bottom"/>
          </w:tcPr>
          <w:p>
            <w:pPr>
              <w:spacing w:after="0"/>
              <w:rPr>
                <w:sz w:val="5"/>
                <w:szCs w:val="5"/>
                <w:color w:val="auto"/>
              </w:rPr>
            </w:pPr>
          </w:p>
        </w:tc>
        <w:tc>
          <w:tcPr>
            <w:tcW w:w="14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Reclassified from</w:t>
            </w:r>
          </w:p>
        </w:tc>
        <w:tc>
          <w:tcPr>
            <w:tcW w:w="114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w w:val="95"/>
              </w:rPr>
              <w:t>Balance in AOCL</w:t>
            </w:r>
          </w:p>
        </w:tc>
        <w:tc>
          <w:tcPr>
            <w:tcW w:w="10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5"/>
                <w:szCs w:val="5"/>
                <w:color w:val="auto"/>
              </w:rPr>
            </w:pPr>
          </w:p>
        </w:tc>
        <w:tc>
          <w:tcPr>
            <w:tcW w:w="14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AOCL into</w:t>
            </w:r>
          </w:p>
        </w:tc>
        <w:tc>
          <w:tcPr>
            <w:tcW w:w="1140" w:type="dxa"/>
            <w:vAlign w:val="bottom"/>
            <w:gridSpan w:val="2"/>
            <w:vMerge w:val="restart"/>
          </w:tcPr>
          <w:p>
            <w:pPr>
              <w:jc w:val="right"/>
              <w:spacing w:after="0" w:line="135" w:lineRule="exact"/>
              <w:rPr>
                <w:sz w:val="20"/>
                <w:szCs w:val="20"/>
                <w:color w:val="auto"/>
              </w:rPr>
            </w:pPr>
            <w:r>
              <w:rPr>
                <w:rFonts w:ascii="Arial" w:cs="Arial" w:eastAsia="Arial" w:hAnsi="Arial"/>
                <w:sz w:val="14"/>
                <w:szCs w:val="14"/>
                <w:b w:val="1"/>
                <w:bCs w:val="1"/>
                <w:color w:val="auto"/>
              </w:rPr>
              <w:t>End of Quarter</w:t>
            </w:r>
          </w:p>
        </w:tc>
        <w:tc>
          <w:tcPr>
            <w:tcW w:w="10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19"/>
        </w:trPr>
        <w:tc>
          <w:tcPr>
            <w:tcW w:w="3080" w:type="dxa"/>
            <w:vAlign w:val="bottom"/>
            <w:gridSpan w:val="4"/>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AOCL</w:t>
            </w:r>
          </w:p>
        </w:tc>
        <w:tc>
          <w:tcPr>
            <w:tcW w:w="160" w:type="dxa"/>
            <w:vAlign w:val="bottom"/>
          </w:tcPr>
          <w:p>
            <w:pPr>
              <w:spacing w:after="0"/>
              <w:rPr>
                <w:sz w:val="10"/>
                <w:szCs w:val="10"/>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0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308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2021</w:t>
            </w: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8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(62,736)</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2940" w:type="dxa"/>
            <w:vAlign w:val="bottom"/>
            <w:gridSpan w:val="3"/>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29,225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32,515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(4,363)</w:t>
            </w:r>
          </w:p>
        </w:tc>
        <w:tc>
          <w:tcPr>
            <w:tcW w:w="10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Other income (expense),net</w:t>
            </w:r>
          </w:p>
        </w:tc>
        <w:tc>
          <w:tcPr>
            <w:tcW w:w="0" w:type="dxa"/>
            <w:vAlign w:val="bottom"/>
          </w:tcPr>
          <w:p>
            <w:pPr>
              <w:spacing w:after="0"/>
              <w:rPr>
                <w:sz w:val="1"/>
                <w:szCs w:val="1"/>
                <w:color w:val="auto"/>
              </w:rPr>
            </w:pPr>
          </w:p>
        </w:tc>
      </w:tr>
      <w:tr>
        <w:trPr>
          <w:trHeight w:val="199"/>
        </w:trPr>
        <w:tc>
          <w:tcPr>
            <w:tcW w:w="140" w:type="dxa"/>
            <w:vAlign w:val="bottom"/>
            <w:shd w:val="clear" w:color="auto" w:fill="CCEEFF"/>
          </w:tcPr>
          <w:p>
            <w:pPr>
              <w:spacing w:after="0"/>
              <w:rPr>
                <w:sz w:val="17"/>
                <w:szCs w:val="17"/>
                <w:color w:val="auto"/>
              </w:rPr>
            </w:pPr>
          </w:p>
        </w:tc>
        <w:tc>
          <w:tcPr>
            <w:tcW w:w="294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Net Investment Hedges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 w:type="dxa"/>
            <w:vAlign w:val="bottom"/>
            <w:tcBorders>
              <w:top w:val="single" w:sz="8" w:color="CCEEFF"/>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gridSpan w:val="2"/>
          </w:tcPr>
          <w:p>
            <w:pPr>
              <w:ind w:left="80"/>
              <w:spacing w:after="0"/>
              <w:rPr>
                <w:sz w:val="20"/>
                <w:szCs w:val="20"/>
                <w:color w:val="auto"/>
              </w:rPr>
            </w:pPr>
            <w:r>
              <w:rPr>
                <w:rFonts w:ascii="Arial" w:cs="Arial" w:eastAsia="Arial" w:hAnsi="Arial"/>
                <w:sz w:val="16"/>
                <w:szCs w:val="16"/>
                <w:color w:val="auto"/>
                <w:w w:val="94"/>
              </w:rPr>
              <w:t>Cross-currency swap</w:t>
            </w:r>
          </w:p>
        </w:tc>
        <w:tc>
          <w:tcPr>
            <w:tcW w:w="14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(12,291)</w:t>
            </w: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auto"/>
            </w:tcBorders>
          </w:tcPr>
          <w:p>
            <w:pPr>
              <w:spacing w:after="0"/>
              <w:rPr>
                <w:sz w:val="18"/>
                <w:szCs w:val="18"/>
                <w:color w:val="auto"/>
              </w:rPr>
            </w:pPr>
          </w:p>
        </w:tc>
        <w:tc>
          <w:tcPr>
            <w:tcW w:w="1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13,661</w:t>
            </w: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CCEEFF"/>
              <w:bottom w:val="single" w:sz="8" w:color="auto"/>
            </w:tcBorders>
          </w:tcPr>
          <w:p>
            <w:pPr>
              <w:jc w:val="right"/>
              <w:ind w:right="1"/>
              <w:spacing w:after="0"/>
              <w:rPr>
                <w:sz w:val="20"/>
                <w:szCs w:val="20"/>
                <w:color w:val="auto"/>
              </w:rPr>
            </w:pPr>
            <w:r>
              <w:rPr>
                <w:rFonts w:ascii="Arial" w:cs="Arial" w:eastAsia="Arial" w:hAnsi="Arial"/>
                <w:sz w:val="16"/>
                <w:szCs w:val="16"/>
                <w:color w:val="auto"/>
              </w:rPr>
              <w:t>3,448</w:t>
            </w:r>
          </w:p>
        </w:tc>
        <w:tc>
          <w:tcPr>
            <w:tcW w:w="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auto"/>
            </w:tcBorders>
          </w:tcPr>
          <w:p>
            <w:pPr>
              <w:spacing w:after="0"/>
              <w:rPr>
                <w:sz w:val="18"/>
                <w:szCs w:val="18"/>
                <w:color w:val="auto"/>
              </w:rPr>
            </w:pPr>
          </w:p>
        </w:tc>
        <w:tc>
          <w:tcPr>
            <w:tcW w:w="8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Borders>
              <w:top w:val="single" w:sz="8" w:color="CCEEFF"/>
              <w:bottom w:val="single" w:sz="8" w:color="CCEEFF"/>
            </w:tcBorders>
          </w:tcPr>
          <w:p>
            <w:pPr>
              <w:spacing w:after="0"/>
              <w:rPr>
                <w:sz w:val="18"/>
                <w:szCs w:val="18"/>
                <w:color w:val="auto"/>
              </w:rPr>
            </w:pPr>
          </w:p>
        </w:tc>
        <w:tc>
          <w:tcPr>
            <w:tcW w:w="23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34"/>
        </w:trPr>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24,435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(69,177)</w:t>
            </w:r>
          </w:p>
        </w:tc>
        <w:tc>
          <w:tcPr>
            <w:tcW w:w="10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6"/>
                <w:szCs w:val="16"/>
                <w:b w:val="1"/>
                <w:bCs w:val="1"/>
                <w:color w:val="auto"/>
              </w:rPr>
              <w:t>Six Months Ended June 30, 2020</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w w:val="90"/>
              </w:rPr>
              <w:t>Cash Flow Hedges</w:t>
            </w:r>
          </w:p>
        </w:tc>
        <w:tc>
          <w:tcPr>
            <w:tcW w:w="170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2940" w:type="dxa"/>
            <w:vAlign w:val="bottom"/>
            <w:gridSpan w:val="3"/>
          </w:tcPr>
          <w:p>
            <w:pPr>
              <w:ind w:left="80"/>
              <w:spacing w:after="0"/>
              <w:rPr>
                <w:sz w:val="20"/>
                <w:szCs w:val="20"/>
                <w:color w:val="auto"/>
              </w:rPr>
            </w:pPr>
            <w:r>
              <w:rPr>
                <w:rFonts w:ascii="Arial" w:cs="Arial" w:eastAsia="Arial" w:hAnsi="Arial"/>
                <w:sz w:val="16"/>
                <w:szCs w:val="16"/>
                <w:color w:val="auto"/>
              </w:rPr>
              <w:t>Interest rate swap</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(45,146)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(61,637)</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(4,656)</w:t>
            </w:r>
          </w:p>
        </w:tc>
        <w:tc>
          <w:tcPr>
            <w:tcW w:w="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(102,127)</w:t>
            </w:r>
          </w:p>
        </w:tc>
        <w:tc>
          <w:tcPr>
            <w:tcW w:w="10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29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60" w:type="dxa"/>
            <w:vAlign w:val="bottom"/>
            <w:gridSpan w:val="3"/>
            <w:shd w:val="clear" w:color="auto" w:fill="CCEEFF"/>
          </w:tcPr>
          <w:p>
            <w:pPr>
              <w:ind w:left="420"/>
              <w:spacing w:after="0"/>
              <w:rPr>
                <w:sz w:val="20"/>
                <w:szCs w:val="20"/>
                <w:color w:val="auto"/>
              </w:rPr>
            </w:pPr>
            <w:r>
              <w:rPr>
                <w:rFonts w:ascii="Arial" w:cs="Arial" w:eastAsia="Arial" w:hAnsi="Arial"/>
                <w:sz w:val="16"/>
                <w:szCs w:val="16"/>
                <w:color w:val="auto"/>
              </w:rPr>
              <w:t>5,843  Other income (expense), net</w:t>
            </w:r>
          </w:p>
        </w:tc>
        <w:tc>
          <w:tcPr>
            <w:tcW w:w="0" w:type="dxa"/>
            <w:vAlign w:val="bottom"/>
          </w:tcPr>
          <w:p>
            <w:pPr>
              <w:spacing w:after="0"/>
              <w:rPr>
                <w:sz w:val="1"/>
                <w:szCs w:val="1"/>
                <w:color w:val="auto"/>
              </w:rPr>
            </w:pPr>
          </w:p>
        </w:tc>
      </w:tr>
      <w:tr>
        <w:trPr>
          <w:trHeight w:val="175"/>
        </w:trPr>
        <w:tc>
          <w:tcPr>
            <w:tcW w:w="308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Net Investment Hedges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4,362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22,224</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(34,740)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(41,695)</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w:t>
            </w:r>
          </w:p>
        </w:tc>
        <w:tc>
          <w:tcPr>
            <w:tcW w:w="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(74,060)</w:t>
            </w: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the Company had stock options, restricted stock awards, performance stock awards, contract stock awards and restricted stock unit awards outstanding under the 2003 Equity Incentive Plan (the “2003 Plan”). The 2000 and 2001 Equity Incentive Plans were terminated as of February 19, 2021, and no further awards may be issued under the plans.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options issued under the 2003 Plan become exercisable over specified periods, generally within four years from the date of grant for officers and employees, within one year from date of grant for directors which generally expire eight years from the grant date for employees, and from six to ten years for directors and certain executive officers, except in certain instances that result in accelerated vesting due to death, disability, retirement age or change in-control provisions within their grant agreements. The Company values stock option grants using the binomial distribution model. Restricted stock issued under the Plans vests over specified periods, generally three years after the date of grant. The vesting of performance stock issued under the Plans is subject to service and performance conditions.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2021, there were approximately $4.6 million of total unrecognized compensation costs related to unvested stock options. These costs are expected to be recognized over a weighted-average period of approximately three years. There were 149,558 stock options granted during the six months ended June 30, 2021. For the six months ended June 30, 2021, the weighted average grant date fair value for stock options was $22.59 per option.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Performance stock and restricted stock awards generally have requisite service periods of three years, except in certain instances that result in accelerated vesting due to death, disability, retirement age provision or change in-control provisions in their grant agreements. Performance stock units are subject to graded vesting conditions based on revenue goals of the Company. The Company expenses the fair value of restricted stock awards on a straight-line basis over the requisite service period. As of June 30, 2021, there was approximately $32.9 million of total unrecognized compensation costs related to these unvested awards. The Company expects to recognize these costs over a weighted-average period of approximately two years. The Company granted 242,464 restricted stock awards and 176,147 performance stock awards during the six months ended June 30, 2021. For the six months ended June 30, 2021, the weighted average grant date fair value for restricted stock awards and performance stock units was $68.21 and $68.10 per award, respectively.</w:t>
      </w:r>
    </w:p>
    <w:p>
      <w:pPr>
        <w:spacing w:after="0" w:line="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defined benefit pension plans that cover certain employees in France, Japan, Germany and Switzerland.</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periodic benefit costs for the Company’s defined benefit pension plans for three and the six months ended June 30, 2021 were $0.6 million and $1.2 million. The components of the net periodic benefit costs other than the service cost component of $0.8 million and $1.7 million for the three and six months ended June 30, 2021, are included in other income (expense), net in the consolidated statements of operations.</w:t>
      </w:r>
    </w:p>
    <w:p>
      <w:pPr>
        <w:spacing w:after="0" w:line="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periodic benefit costs for the Company’s defined benefit pension plans for the three and six months ended June 30, 2020 were $1.0 million and $1.9 million, respectively. The components of the net periodic benefit costs other than the service cost component of $0.9 million and $1.9 million for the three and six months ended June 30, 2020, respectively, are included in other income (expense), net in the consolidated statements of operations.</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plan assets were $33.8 million and $37.8 million as of June 30, 2021 and December 31, 2020, respectively. The net plan assets of the pension plans are invested in common trusts as of June 30, 2021 and December 31, 2020.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maintains a Deferred Compensation Plan in which certain employees of the Company may defer the payment and taxation of up to 75% of their base salary and up to 100% of bonus amounts and other eligible cash compensation.</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first quarter of 2020, employees participating in the Company's deferred compensation plan began to defer their compensation. 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were $3.2 million and $2.0 million as of June 30, 2021 and December 31, 2020, respectively. Offsetting liabilities relating to the deferred compensation plan are included in Other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 AND RELATED PARTY LEASES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leases administrative, manufacturing, research and distribution facilities and vehicles through operating lease agreements. The Company has no finance leases as of June 30, 2021.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operating lease expense for the six months ended June 30, 2021 and June 30, 2020 was $10.6 million and $9.7 million respectively, which includes $0.1 million, in related party operating lease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ind w:left="20"/>
              <w:spacing w:after="0"/>
              <w:rPr>
                <w:sz w:val="20"/>
                <w:szCs w:val="20"/>
                <w:color w:val="auto"/>
              </w:rPr>
            </w:pPr>
            <w:r>
              <w:rPr>
                <w:rFonts w:ascii="Arial" w:cs="Arial" w:eastAsia="Arial" w:hAnsi="Arial"/>
                <w:sz w:val="14"/>
                <w:szCs w:val="14"/>
                <w:color w:val="auto"/>
              </w:rPr>
              <w:t>Dollars in thousands, except lease term and discount rate</w:t>
            </w:r>
          </w:p>
        </w:tc>
        <w:tc>
          <w:tcPr>
            <w:tcW w:w="420" w:type="dxa"/>
            <w:vAlign w:val="bottom"/>
          </w:tcPr>
          <w:p>
            <w:pPr>
              <w:spacing w:after="0"/>
              <w:rPr>
                <w:sz w:val="16"/>
                <w:szCs w:val="16"/>
                <w:color w:val="auto"/>
              </w:rPr>
            </w:pPr>
          </w:p>
        </w:tc>
        <w:tc>
          <w:tcPr>
            <w:tcW w:w="196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 2021</w:t>
            </w:r>
          </w:p>
        </w:tc>
        <w:tc>
          <w:tcPr>
            <w:tcW w:w="320" w:type="dxa"/>
            <w:vAlign w:val="bottom"/>
          </w:tcPr>
          <w:p>
            <w:pPr>
              <w:spacing w:after="0"/>
              <w:rPr>
                <w:sz w:val="16"/>
                <w:szCs w:val="16"/>
                <w:color w:val="auto"/>
              </w:rPr>
            </w:pPr>
          </w:p>
        </w:tc>
        <w:tc>
          <w:tcPr>
            <w:tcW w:w="1940" w:type="dxa"/>
            <w:vAlign w:val="bottom"/>
          </w:tcPr>
          <w:p>
            <w:pPr>
              <w:jc w:val="right"/>
              <w:ind w:right="480"/>
              <w:spacing w:after="0"/>
              <w:rPr>
                <w:sz w:val="20"/>
                <w:szCs w:val="20"/>
                <w:color w:val="auto"/>
              </w:rPr>
            </w:pPr>
            <w:r>
              <w:rPr>
                <w:rFonts w:ascii="Arial" w:cs="Arial" w:eastAsia="Arial" w:hAnsi="Arial"/>
                <w:sz w:val="14"/>
                <w:szCs w:val="14"/>
                <w:b w:val="1"/>
                <w:bCs w:val="1"/>
                <w:color w:val="auto"/>
              </w:rPr>
              <w:t>December 31, 2020</w:t>
            </w:r>
          </w:p>
        </w:tc>
      </w:tr>
      <w:tr>
        <w:trPr>
          <w:trHeight w:val="215"/>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ROU assets</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89,174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83,635</w:t>
            </w:r>
          </w:p>
        </w:tc>
      </w:tr>
      <w:tr>
        <w:trPr>
          <w:trHeight w:val="270"/>
        </w:trPr>
        <w:tc>
          <w:tcPr>
            <w:tcW w:w="6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liabilities</w:t>
            </w:r>
          </w:p>
        </w:tc>
        <w:tc>
          <w:tcPr>
            <w:tcW w:w="42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13,987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12,818</w:t>
            </w:r>
          </w:p>
        </w:tc>
      </w:tr>
      <w:tr>
        <w:trPr>
          <w:trHeight w:val="21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lease liabilities</w:t>
            </w:r>
          </w:p>
        </w:tc>
        <w:tc>
          <w:tcPr>
            <w:tcW w:w="4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95,196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88,118</w:t>
            </w:r>
          </w:p>
        </w:tc>
      </w:tr>
      <w:tr>
        <w:trPr>
          <w:trHeight w:val="238"/>
        </w:trPr>
        <w:tc>
          <w:tcPr>
            <w:tcW w:w="6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109,183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100,936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4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6600" w:type="dxa"/>
            <w:vAlign w:val="bottom"/>
          </w:tcPr>
          <w:p>
            <w:pPr>
              <w:ind w:left="220"/>
              <w:spacing w:after="0"/>
              <w:rPr>
                <w:sz w:val="20"/>
                <w:szCs w:val="20"/>
                <w:color w:val="auto"/>
              </w:rPr>
            </w:pPr>
            <w:r>
              <w:rPr>
                <w:rFonts w:ascii="Arial" w:cs="Arial" w:eastAsia="Arial" w:hAnsi="Arial"/>
                <w:sz w:val="16"/>
                <w:szCs w:val="16"/>
                <w:color w:val="auto"/>
              </w:rPr>
              <w:t>Leased facilities</w:t>
            </w:r>
          </w:p>
        </w:tc>
        <w:tc>
          <w:tcPr>
            <w:tcW w:w="42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6"/>
                <w:szCs w:val="16"/>
                <w:color w:val="auto"/>
              </w:rPr>
              <w:t>11.3 years</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11.6 years</w:t>
            </w:r>
          </w:p>
        </w:tc>
      </w:tr>
      <w:tr>
        <w:trPr>
          <w:trHeight w:val="219"/>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Leased vehicles</w:t>
            </w:r>
          </w:p>
        </w:tc>
        <w:tc>
          <w:tcPr>
            <w:tcW w:w="4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 years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years</w:t>
            </w:r>
          </w:p>
        </w:tc>
      </w:tr>
      <w:tr>
        <w:trPr>
          <w:trHeight w:val="270"/>
        </w:trPr>
        <w:tc>
          <w:tcPr>
            <w:tcW w:w="6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4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6600" w:type="dxa"/>
            <w:vAlign w:val="bottom"/>
          </w:tcPr>
          <w:p>
            <w:pPr>
              <w:ind w:left="220"/>
              <w:spacing w:after="0"/>
              <w:rPr>
                <w:sz w:val="20"/>
                <w:szCs w:val="20"/>
                <w:color w:val="auto"/>
              </w:rPr>
            </w:pPr>
            <w:r>
              <w:rPr>
                <w:rFonts w:ascii="Arial" w:cs="Arial" w:eastAsia="Arial" w:hAnsi="Arial"/>
                <w:sz w:val="16"/>
                <w:szCs w:val="16"/>
                <w:color w:val="auto"/>
              </w:rPr>
              <w:t>Leased facilities</w:t>
            </w:r>
          </w:p>
        </w:tc>
        <w:tc>
          <w:tcPr>
            <w:tcW w:w="4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19"/>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Leased vehicles</w:t>
            </w: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six months ended June 30, 2021 and 2020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gridSpan w:val="2"/>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June 30,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60"/>
        </w:trPr>
        <w:tc>
          <w:tcPr>
            <w:tcW w:w="6480" w:type="dxa"/>
            <w:vAlign w:val="bottom"/>
            <w:tcBorders>
              <w:bottom w:val="single" w:sz="8" w:color="CCEEFF"/>
            </w:tcBorders>
            <w:gridSpan w:val="2"/>
            <w:vMerge w:val="continue"/>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80" w:type="dxa"/>
            <w:vAlign w:val="bottom"/>
            <w:gridSpan w:val="2"/>
          </w:tcPr>
          <w:p>
            <w:pPr>
              <w:ind w:left="220"/>
              <w:spacing w:after="0"/>
              <w:rPr>
                <w:sz w:val="20"/>
                <w:szCs w:val="20"/>
                <w:color w:val="auto"/>
              </w:rPr>
            </w:pPr>
            <w:r>
              <w:rPr>
                <w:rFonts w:ascii="Arial" w:cs="Arial" w:eastAsia="Arial" w:hAnsi="Arial"/>
                <w:sz w:val="16"/>
                <w:szCs w:val="16"/>
                <w:color w:val="auto"/>
              </w:rPr>
              <w:t>Operating cash flows from operating leases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7,019</w:t>
            </w: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6,728</w:t>
            </w:r>
          </w:p>
        </w:tc>
        <w:tc>
          <w:tcPr>
            <w:tcW w:w="0" w:type="dxa"/>
            <w:vAlign w:val="bottom"/>
          </w:tcPr>
          <w:p>
            <w:pPr>
              <w:spacing w:after="0"/>
              <w:rPr>
                <w:sz w:val="1"/>
                <w:szCs w:val="1"/>
                <w:color w:val="auto"/>
              </w:rPr>
            </w:pPr>
          </w:p>
        </w:tc>
      </w:tr>
      <w:tr>
        <w:trPr>
          <w:trHeight w:val="273"/>
        </w:trPr>
        <w:tc>
          <w:tcPr>
            <w:tcW w:w="64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480" w:type="dxa"/>
            <w:vAlign w:val="bottom"/>
            <w:gridSpan w:val="2"/>
          </w:tcPr>
          <w:p>
            <w:pPr>
              <w:ind w:left="20"/>
              <w:spacing w:after="0"/>
              <w:rPr>
                <w:sz w:val="20"/>
                <w:szCs w:val="20"/>
                <w:color w:val="auto"/>
              </w:rPr>
            </w:pPr>
            <w:r>
              <w:rPr>
                <w:rFonts w:ascii="Arial" w:cs="Arial" w:eastAsia="Arial" w:hAnsi="Arial"/>
                <w:sz w:val="16"/>
                <w:szCs w:val="16"/>
                <w:color w:val="auto"/>
              </w:rPr>
              <w:t>ROU assets obtained in exchange for lease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leases</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10,528</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w:t>
            </w:r>
          </w:p>
        </w:tc>
        <w:tc>
          <w:tcPr>
            <w:tcW w:w="0" w:type="dxa"/>
            <w:vAlign w:val="bottom"/>
          </w:tcPr>
          <w:p>
            <w:pPr>
              <w:spacing w:after="0"/>
              <w:rPr>
                <w:sz w:val="1"/>
                <w:szCs w:val="1"/>
                <w:color w:val="auto"/>
              </w:rPr>
            </w:pPr>
          </w:p>
        </w:tc>
      </w:tr>
      <w:tr>
        <w:trPr>
          <w:trHeight w:val="486"/>
        </w:trPr>
        <w:tc>
          <w:tcPr>
            <w:tcW w:w="6480" w:type="dxa"/>
            <w:vAlign w:val="bottom"/>
            <w:gridSpan w:val="2"/>
          </w:tcPr>
          <w:p>
            <w:pPr>
              <w:spacing w:after="0"/>
              <w:rPr>
                <w:sz w:val="20"/>
                <w:szCs w:val="20"/>
                <w:color w:val="auto"/>
              </w:rPr>
            </w:pPr>
            <w:r>
              <w:rPr>
                <w:rFonts w:ascii="Arial" w:cs="Arial" w:eastAsia="Arial" w:hAnsi="Arial"/>
                <w:sz w:val="18"/>
                <w:szCs w:val="18"/>
                <w:color w:val="auto"/>
                <w:w w:val="89"/>
              </w:rPr>
              <w:t>Future minimum lease payments under operating leases at June 30, 2021 were as follows: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Related Parties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Third Parties</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7,973</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8,121</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16,833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17,129</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13,945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14,241</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11,461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11,757</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11,131</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9,553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9,849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72,887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73,724</w:t>
            </w:r>
          </w:p>
        </w:tc>
        <w:tc>
          <w:tcPr>
            <w:tcW w:w="0" w:type="dxa"/>
            <w:vAlign w:val="bottom"/>
          </w:tcPr>
          <w:p>
            <w:pPr>
              <w:spacing w:after="0"/>
              <w:rPr>
                <w:sz w:val="1"/>
                <w:szCs w:val="1"/>
                <w:color w:val="auto"/>
              </w:rPr>
            </w:pPr>
          </w:p>
        </w:tc>
      </w:tr>
      <w:tr>
        <w:trPr>
          <w:trHeight w:val="213"/>
        </w:trPr>
        <w:tc>
          <w:tcPr>
            <w:tcW w:w="6480" w:type="dxa"/>
            <w:vAlign w:val="bottom"/>
            <w:gridSpan w:val="2"/>
          </w:tcPr>
          <w:p>
            <w:pPr>
              <w:ind w:left="20"/>
              <w:spacing w:after="0"/>
              <w:rPr>
                <w:sz w:val="20"/>
                <w:szCs w:val="20"/>
                <w:color w:val="auto"/>
              </w:rPr>
            </w:pPr>
            <w:r>
              <w:rPr>
                <w:rFonts w:ascii="Arial" w:cs="Arial" w:eastAsia="Arial" w:hAnsi="Arial"/>
                <w:sz w:val="16"/>
                <w:szCs w:val="16"/>
                <w:color w:val="auto"/>
              </w:rPr>
              <w:t>Total minimum lease payments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2,465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143,487</w:t>
            </w:r>
          </w:p>
        </w:tc>
        <w:tc>
          <w:tcPr>
            <w:tcW w:w="3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145,952</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Imputed interest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36,769</w:t>
            </w:r>
          </w:p>
        </w:tc>
        <w:tc>
          <w:tcPr>
            <w:tcW w:w="0" w:type="dxa"/>
            <w:vAlign w:val="bottom"/>
          </w:tcPr>
          <w:p>
            <w:pPr>
              <w:spacing w:after="0"/>
              <w:rPr>
                <w:sz w:val="1"/>
                <w:szCs w:val="1"/>
                <w:color w:val="auto"/>
              </w:rPr>
            </w:pPr>
          </w:p>
        </w:tc>
      </w:tr>
      <w:tr>
        <w:trPr>
          <w:trHeight w:val="213"/>
        </w:trPr>
        <w:tc>
          <w:tcPr>
            <w:tcW w:w="6480" w:type="dxa"/>
            <w:vAlign w:val="bottom"/>
            <w:gridSpan w:val="2"/>
          </w:tcPr>
          <w:p>
            <w:pPr>
              <w:ind w:left="20"/>
              <w:spacing w:after="0"/>
              <w:rPr>
                <w:sz w:val="20"/>
                <w:szCs w:val="20"/>
                <w:color w:val="auto"/>
              </w:rPr>
            </w:pPr>
            <w:r>
              <w:rPr>
                <w:rFonts w:ascii="Arial" w:cs="Arial" w:eastAsia="Arial" w:hAnsi="Arial"/>
                <w:sz w:val="16"/>
                <w:szCs w:val="16"/>
                <w:color w:val="auto"/>
              </w:rPr>
              <w:t>Total lease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109,183</w:t>
            </w:r>
          </w:p>
        </w:tc>
        <w:tc>
          <w:tcPr>
            <w:tcW w:w="0" w:type="dxa"/>
            <w:vAlign w:val="bottom"/>
          </w:tcPr>
          <w:p>
            <w:pPr>
              <w:spacing w:after="0"/>
              <w:rPr>
                <w:sz w:val="1"/>
                <w:szCs w:val="1"/>
                <w:color w:val="auto"/>
              </w:rPr>
            </w:pPr>
          </w:p>
        </w:tc>
      </w:tr>
      <w:tr>
        <w:trPr>
          <w:trHeight w:val="219"/>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Current lease liabilities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13,987</w:t>
            </w:r>
          </w:p>
        </w:tc>
        <w:tc>
          <w:tcPr>
            <w:tcW w:w="0" w:type="dxa"/>
            <w:vAlign w:val="bottom"/>
          </w:tcPr>
          <w:p>
            <w:pPr>
              <w:spacing w:after="0"/>
              <w:rPr>
                <w:sz w:val="1"/>
                <w:szCs w:val="1"/>
                <w:color w:val="auto"/>
              </w:rPr>
            </w:pPr>
          </w:p>
        </w:tc>
      </w:tr>
      <w:tr>
        <w:trPr>
          <w:trHeight w:val="210"/>
        </w:trPr>
        <w:tc>
          <w:tcPr>
            <w:tcW w:w="6480" w:type="dxa"/>
            <w:vAlign w:val="bottom"/>
            <w:gridSpan w:val="2"/>
          </w:tcPr>
          <w:p>
            <w:pPr>
              <w:ind w:left="20"/>
              <w:spacing w:after="0"/>
              <w:rPr>
                <w:sz w:val="20"/>
                <w:szCs w:val="20"/>
                <w:color w:val="auto"/>
              </w:rPr>
            </w:pPr>
            <w:r>
              <w:rPr>
                <w:rFonts w:ascii="Arial" w:cs="Arial" w:eastAsia="Arial" w:hAnsi="Arial"/>
                <w:sz w:val="16"/>
                <w:szCs w:val="16"/>
                <w:color w:val="auto"/>
              </w:rPr>
              <w:t>Long-term lease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95,196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leases its manufacturing facility in Plainsboro, New Jersey, from a general partnership that is 50% owned by a corporation whose shareholders are trusts, whose beneficiaries include family members of the Company’s principal stockholder and former director. The term of the current lease agreement is through October 31, 2029 at an annual rate of approximately $0.3 million per year.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TREASURY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and December 31, 2020, there were 4.9 million shares of treasury stock outstanding with a cost of $234.5 million and $235.1 million, respectively, at a weighted average cost per share of $47.86.</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7, 2020, the Board of Directors of the Company authorized the Company to repurchase up to $225.0 million of the Company’s common stock. The program allows the Company to repurchase its shares opportunistically from time to time. The repurchase authorization expires in December 2022. The Company has $225.0 million remaining under the share repurchase of its Common Stock.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twelve months ended December 31, 2020, the Company repurchased 2.1 million shares of Integra’s common stock as part of the previous share repurchase authorization. The Company utilized $100.0 million of net proceeds from the offering of the Convertible Senior Notes to execute the share repurchase transactions. This included $7.6 million from certain purchasers of the convertible notes in conjunction with the closing of the offering. On February 5, 2020, the Company entered into a $92.4 million accelerated share repurchase ("ASR") to complete the remaining $100.0 million of share repurchase. The Company received 1.3 million shares at inception of the ASR, which represented approximately 80% of the expected total shares. Upon settlement of the ASR in June 2020, the Company received an additional 0.6 million shares determined using the volume-weighted average price of the Company's common stock during the term of the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Borders>
              <w:bottom w:val="single" w:sz="8" w:color="auto"/>
            </w:tcBorders>
            <w:gridSpan w:val="3"/>
          </w:tcPr>
          <w:p>
            <w:pPr>
              <w:jc w:val="right"/>
              <w:ind w:right="82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1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7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62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700" w:type="dxa"/>
            <w:vAlign w:val="bottom"/>
          </w:tcPr>
          <w:p>
            <w:pPr>
              <w:jc w:val="right"/>
              <w:ind w:right="624"/>
              <w:spacing w:after="0"/>
              <w:rPr>
                <w:sz w:val="20"/>
                <w:szCs w:val="20"/>
                <w:color w:val="auto"/>
              </w:rPr>
            </w:pPr>
            <w:r>
              <w:rPr>
                <w:rFonts w:ascii="Arial" w:cs="Arial" w:eastAsia="Arial" w:hAnsi="Arial"/>
                <w:sz w:val="14"/>
                <w:szCs w:val="14"/>
                <w:b w:val="1"/>
                <w:bCs w:val="1"/>
                <w:color w:val="auto"/>
              </w:rPr>
              <w:t>2020</w:t>
            </w:r>
          </w:p>
        </w:tc>
      </w:tr>
      <w:tr>
        <w:trPr>
          <w:trHeight w:val="233"/>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Reported tax rate</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income tax rates for the three months ended June 30, 2021 and 2020 were 21.8% and 122.4%, respectively. For the three months ended June 30, 2021, the primary driver of the lower tax rate is due to mix of income impacted by the COVID-19 pandemic. For the three months ended June 30, 2020, the primary drivers of the higher tax rate was lower income impacted by the COVID-19 pandemic and a $3.4 million valuation allowance on certain foreign deferred tax assets.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effective income tax rates for the six months ended June 30, 2021 and 2020 were 28.2% and 32.7%, respectively. For the six months ended June 30, 2021, the primary drivers of the lower tax rate were mix of income in lower-taxes jurisdictions, offset by the tax impact of the gain on the sale of the Extremity and Orthopedics business which was completed during the first quarter of 2021. For the six months ended June 30, 2020, the primary drivers of the higher tax rate were lower book income in lower-taxed jurisdictions and a $3.4 million valuation allowance on certain foreign deferred tax assets as the Company determined that it was no longer more likely than not that these foreign deferred tax assets would be realized due to the adverse impact of the COVID-19 pandemic in certain jurisdictions.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2021, the Company has not provided deferred income taxes on unrepatriated earnings from foreign subsidiaries as they are deemed indefinitely reinvested. Such taxes would primarily be attributable to foreign withholding taxes and local income taxes when such earnings are distributed. As such, the Company has determined the tax impact of repatriating these earnings would not be material as of June 30, 2021. The Company does not anticipate the need to repatriate earnings from foreign subsidiaries as a result of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20" w:type="dxa"/>
            <w:vAlign w:val="bottom"/>
            <w:tcBorders>
              <w:top w:val="single" w:sz="8" w:color="CCEEFF"/>
            </w:tcBorders>
            <w:shd w:val="clear" w:color="auto" w:fill="CCEEFF"/>
          </w:tcPr>
          <w:p>
            <w:pPr>
              <w:spacing w:after="0"/>
              <w:rPr>
                <w:sz w:val="16"/>
                <w:szCs w:val="16"/>
                <w:color w:val="auto"/>
              </w:rPr>
            </w:pPr>
          </w:p>
        </w:tc>
        <w:tc>
          <w:tcPr>
            <w:tcW w:w="52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156"/>
        </w:trPr>
        <w:tc>
          <w:tcPr>
            <w:tcW w:w="20" w:type="dxa"/>
            <w:vAlign w:val="bottom"/>
          </w:tcPr>
          <w:p>
            <w:pPr>
              <w:spacing w:after="0"/>
              <w:rPr>
                <w:sz w:val="13"/>
                <w:szCs w:val="13"/>
                <w:color w:val="auto"/>
              </w:rPr>
            </w:pPr>
          </w:p>
        </w:tc>
        <w:tc>
          <w:tcPr>
            <w:tcW w:w="5260" w:type="dxa"/>
            <w:vAlign w:val="bottom"/>
            <w:gridSpan w:val="3"/>
          </w:tcPr>
          <w:p>
            <w:pPr>
              <w:spacing w:after="0" w:line="155" w:lineRule="exact"/>
              <w:rPr>
                <w:sz w:val="20"/>
                <w:szCs w:val="20"/>
                <w:color w:val="auto"/>
              </w:rPr>
            </w:pPr>
            <w:r>
              <w:rPr>
                <w:rFonts w:ascii="Arial" w:cs="Arial" w:eastAsia="Arial" w:hAnsi="Arial"/>
                <w:sz w:val="16"/>
                <w:szCs w:val="16"/>
                <w:b w:val="1"/>
                <w:bCs w:val="1"/>
                <w:color w:val="auto"/>
              </w:rPr>
              <w:t>Basic net income per share:</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35,068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w:t>
            </w:r>
          </w:p>
        </w:tc>
      </w:tr>
      <w:tr>
        <w:trPr>
          <w:trHeight w:val="213"/>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84,687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84,706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84,593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84,955</w:t>
            </w:r>
          </w:p>
        </w:tc>
      </w:tr>
      <w:tr>
        <w:trPr>
          <w:trHeight w:val="273"/>
        </w:trPr>
        <w:tc>
          <w:tcPr>
            <w:tcW w:w="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13"/>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(0.00)</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273"/>
        </w:trPr>
        <w:tc>
          <w:tcPr>
            <w:tcW w:w="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176"/>
        </w:trPr>
        <w:tc>
          <w:tcPr>
            <w:tcW w:w="20" w:type="dxa"/>
            <w:vAlign w:val="bottom"/>
          </w:tcPr>
          <w:p>
            <w:pPr>
              <w:spacing w:after="0"/>
              <w:rPr>
                <w:sz w:val="15"/>
                <w:szCs w:val="15"/>
                <w:color w:val="auto"/>
              </w:rPr>
            </w:pPr>
          </w:p>
        </w:tc>
        <w:tc>
          <w:tcPr>
            <w:tcW w:w="52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Diluted net income per share:</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35,068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w:t>
            </w:r>
          </w:p>
        </w:tc>
      </w:tr>
      <w:tr>
        <w:trPr>
          <w:trHeight w:val="257"/>
        </w:trPr>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Weighted average common shares outstanding — Basic</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84,687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84,955</w:t>
            </w:r>
          </w:p>
        </w:tc>
      </w:tr>
      <w:tr>
        <w:trPr>
          <w:trHeight w:val="213"/>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6"/>
                <w:szCs w:val="16"/>
                <w:color w:val="auto"/>
              </w:rPr>
              <w:t>Effect of dilutive securities: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2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Stock options and restricted stock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r>
      <w:tr>
        <w:trPr>
          <w:trHeight w:val="207"/>
        </w:trPr>
        <w:tc>
          <w:tcPr>
            <w:tcW w:w="20" w:type="dxa"/>
            <w:vAlign w:val="bottom"/>
          </w:tcPr>
          <w:p>
            <w:pPr>
              <w:spacing w:after="0"/>
              <w:rPr>
                <w:sz w:val="17"/>
                <w:szCs w:val="17"/>
                <w:color w:val="auto"/>
              </w:rPr>
            </w:pPr>
          </w:p>
        </w:tc>
        <w:tc>
          <w:tcPr>
            <w:tcW w:w="5260" w:type="dxa"/>
            <w:vAlign w:val="bottom"/>
            <w:gridSpan w:val="3"/>
          </w:tcPr>
          <w:p>
            <w:pPr>
              <w:spacing w:after="0"/>
              <w:rPr>
                <w:sz w:val="20"/>
                <w:szCs w:val="20"/>
                <w:color w:val="auto"/>
              </w:rPr>
            </w:pPr>
            <w:r>
              <w:rPr>
                <w:rFonts w:ascii="Arial" w:cs="Arial" w:eastAsia="Arial" w:hAnsi="Arial"/>
                <w:sz w:val="16"/>
                <w:szCs w:val="16"/>
                <w:color w:val="auto"/>
              </w:rPr>
              <w:t>Weighted average common shares for diluted earnings per share</w:t>
            </w: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85,340</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84,706</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85,324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85,548</w:t>
            </w:r>
          </w:p>
        </w:tc>
      </w:tr>
      <w:tr>
        <w:trPr>
          <w:trHeight w:val="219"/>
        </w:trPr>
        <w:tc>
          <w:tcPr>
            <w:tcW w:w="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0.00</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0.94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0.10</w:t>
            </w:r>
          </w:p>
        </w:tc>
      </w:tr>
    </w:tbl>
    <w:p>
      <w:pPr>
        <w:spacing w:after="0" w:line="2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Common stock of approximately 0.1 million and 0.5 million shares at June 30, 2021, and 2020, respectively that are issuable through exercise of dilutive securities were not included in the computation of diluted net income per share because their effect would have been anti-dilutive.</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 Shares and Restricted Units that entitle the holders to approximately 0.5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adoption of ASU 2020-06, as the principal amount of the 2025 Notes will be paid in cash and only the conversion spread is settled in shares, the Company will be utilizing the if-converted method and only includes the net number of incremental shares that would be issued upon conversion.</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(loss) for the six months ended June 30, 2021 and 2020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211"/>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35,068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10,433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3,620</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unrealized loss on derivatives, net of tax</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(30,136)</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Pension liability adjustment, net of tax</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 net</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28,731</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104,558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(17,912)</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accumulated other comprehensive loss by component between December 31, 2020 and June 30, 2021 are presented in the table below, net of tax:</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Gains and Losses</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Defined Benefit</w:t>
            </w: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80" w:type="dxa"/>
            <w:vAlign w:val="bottom"/>
          </w:tcPr>
          <w:p>
            <w:pPr>
              <w:spacing w:after="0"/>
              <w:rPr>
                <w:sz w:val="14"/>
                <w:szCs w:val="14"/>
                <w:color w:val="auto"/>
              </w:rPr>
            </w:pPr>
          </w:p>
        </w:tc>
        <w:tc>
          <w:tcPr>
            <w:tcW w:w="9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62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9"/>
                <w:szCs w:val="9"/>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on Derivatives</w:t>
            </w:r>
          </w:p>
        </w:tc>
        <w:tc>
          <w:tcPr>
            <w:tcW w:w="120" w:type="dxa"/>
            <w:vAlign w:val="bottom"/>
          </w:tcPr>
          <w:p>
            <w:pPr>
              <w:spacing w:after="0"/>
              <w:rPr>
                <w:sz w:val="9"/>
                <w:szCs w:val="9"/>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Pension Items</w:t>
            </w: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Currency Items</w:t>
            </w:r>
          </w:p>
        </w:tc>
        <w:tc>
          <w:tcPr>
            <w:tcW w:w="2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center"/>
              <w:ind w:left="221"/>
              <w:spacing w:after="0"/>
              <w:rPr>
                <w:sz w:val="20"/>
                <w:szCs w:val="20"/>
                <w:color w:val="auto"/>
              </w:rPr>
            </w:pPr>
            <w:r>
              <w:rPr>
                <w:rFonts w:ascii="Arial" w:cs="Arial" w:eastAsia="Arial" w:hAnsi="Arial"/>
                <w:sz w:val="16"/>
                <w:szCs w:val="16"/>
                <w:color w:val="auto"/>
                <w:w w:val="93"/>
              </w:rPr>
              <w:t>(74,059)</w:t>
            </w:r>
          </w:p>
        </w:tc>
        <w:tc>
          <w:tcPr>
            <w:tcW w:w="0" w:type="dxa"/>
            <w:vAlign w:val="bottom"/>
          </w:tcPr>
          <w:p>
            <w:pPr>
              <w:spacing w:after="0"/>
              <w:rPr>
                <w:sz w:val="1"/>
                <w:szCs w:val="1"/>
                <w:color w:val="auto"/>
              </w:rPr>
            </w:pPr>
          </w:p>
        </w:tc>
      </w:tr>
      <w:tr>
        <w:trPr>
          <w:trHeight w:val="213"/>
        </w:trPr>
        <w:tc>
          <w:tcPr>
            <w:tcW w:w="6280" w:type="dxa"/>
            <w:vAlign w:val="bottom"/>
          </w:tcPr>
          <w:p>
            <w:pPr>
              <w:ind w:left="2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47,885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center"/>
              <w:ind w:left="241"/>
              <w:spacing w:after="0"/>
              <w:rPr>
                <w:sz w:val="20"/>
                <w:szCs w:val="20"/>
                <w:color w:val="auto"/>
              </w:rPr>
            </w:pPr>
            <w:r>
              <w:rPr>
                <w:rFonts w:ascii="Arial" w:cs="Arial" w:eastAsia="Arial" w:hAnsi="Arial"/>
                <w:sz w:val="16"/>
                <w:szCs w:val="16"/>
                <w:color w:val="auto"/>
                <w:w w:val="93"/>
              </w:rPr>
              <w:t>42,870</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Less: Amounts reclassified from accumulated other comprehensive loss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18,774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241"/>
              <w:spacing w:after="0"/>
              <w:rPr>
                <w:sz w:val="20"/>
                <w:szCs w:val="20"/>
                <w:color w:val="auto"/>
              </w:rPr>
            </w:pPr>
            <w:r>
              <w:rPr>
                <w:rFonts w:ascii="Arial" w:cs="Arial" w:eastAsia="Arial" w:hAnsi="Arial"/>
                <w:sz w:val="16"/>
                <w:szCs w:val="16"/>
                <w:color w:val="auto"/>
                <w:w w:val="93"/>
              </w:rPr>
              <w:t>18,774</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current-period other comprehensive income (loss)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29,111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color w:val="auto"/>
                <w:w w:val="93"/>
              </w:rPr>
              <w:t>24,096</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(53,138)</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(4,877)</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8,052</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center"/>
              <w:ind w:left="221"/>
              <w:spacing w:after="0"/>
              <w:rPr>
                <w:sz w:val="20"/>
                <w:szCs w:val="20"/>
                <w:color w:val="auto"/>
              </w:rPr>
            </w:pPr>
            <w:r>
              <w:rPr>
                <w:rFonts w:ascii="Arial" w:cs="Arial" w:eastAsia="Arial" w:hAnsi="Arial"/>
                <w:sz w:val="16"/>
                <w:szCs w:val="16"/>
                <w:color w:val="auto"/>
                <w:w w:val="93"/>
              </w:rPr>
              <w:t>(49,963)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 months ended June 30, 2021, the Company reclassified a gain of $25.0 million and a loss of $6.2 million from accumulated other comprehensive loss to other income (expense), net and interest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internally manages two global reportable segments and reports the results of its businesses to its chief operating decision maker.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two reportable segments and their activities are described below.</w:t>
      </w:r>
    </w:p>
    <w:p>
      <w:pPr>
        <w:spacing w:after="0" w:line="103" w:lineRule="exact"/>
        <w:rPr>
          <w:sz w:val="20"/>
          <w:szCs w:val="20"/>
          <w:color w:val="auto"/>
        </w:rPr>
      </w:pPr>
    </w:p>
    <w:p>
      <w:pPr>
        <w:ind w:left="660" w:right="2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40,000 instrument patterns and surgical and lighting products to hospitals, surgery centers, dental, podiatry, and veterinary offices.</w:t>
      </w:r>
    </w:p>
    <w:p>
      <w:pPr>
        <w:spacing w:after="0" w:line="78" w:lineRule="exact"/>
        <w:rPr>
          <w:rFonts w:ascii="Arial" w:cs="Arial" w:eastAsia="Arial" w:hAnsi="Arial"/>
          <w:sz w:val="18"/>
          <w:szCs w:val="18"/>
          <w:color w:val="auto"/>
        </w:rPr>
      </w:pPr>
    </w:p>
    <w:p>
      <w:pPr>
        <w:ind w:left="660" w:right="3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Tissue Technologies segment includes such offerings as skin and wound repair, bone grafts, and nerve and tendon repair products. In conjunction with the sale of the Extremity Orthopedics business, the Company rebranded the Orthopedics and Tissue Technologies segment as Tissue Technologies in the first quarter of 2021.</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and legal functions, (ii) brand management, and (iii) share-based compensation costs.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and six months ended June 30, 2021 and 2020 are as follows :</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6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32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4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2020</w:t>
            </w:r>
          </w:p>
        </w:tc>
      </w:tr>
      <w:tr>
        <w:trPr>
          <w:trHeight w:val="197"/>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Segment Net Sales</w:t>
            </w:r>
          </w:p>
        </w:tc>
        <w:tc>
          <w:tcPr>
            <w:tcW w:w="4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3720" w:type="dxa"/>
            <w:vAlign w:val="bottom"/>
          </w:tcPr>
          <w:p>
            <w:pPr>
              <w:ind w:left="360"/>
              <w:spacing w:after="0"/>
              <w:rPr>
                <w:sz w:val="20"/>
                <w:szCs w:val="20"/>
                <w:color w:val="auto"/>
              </w:rPr>
            </w:pPr>
            <w:r>
              <w:rPr>
                <w:rFonts w:ascii="Arial" w:cs="Arial" w:eastAsia="Arial" w:hAnsi="Arial"/>
                <w:sz w:val="16"/>
                <w:szCs w:val="16"/>
                <w:color w:val="auto"/>
              </w:rPr>
              <w:t>Codman Specialty Surgical</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256,837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169,778</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498,078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401,218</w:t>
            </w:r>
          </w:p>
        </w:tc>
      </w:tr>
      <w:tr>
        <w:trPr>
          <w:trHeight w:val="219"/>
        </w:trPr>
        <w:tc>
          <w:tcPr>
            <w:tcW w:w="3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Tissue Technologies</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133,155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88,887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251,985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211,771</w:t>
            </w:r>
          </w:p>
        </w:tc>
      </w:tr>
      <w:tr>
        <w:trPr>
          <w:trHeight w:val="207"/>
        </w:trPr>
        <w:tc>
          <w:tcPr>
            <w:tcW w:w="3720" w:type="dxa"/>
            <w:vAlign w:val="bottom"/>
          </w:tcPr>
          <w:p>
            <w:pPr>
              <w:ind w:left="360"/>
              <w:spacing w:after="0"/>
              <w:rPr>
                <w:sz w:val="20"/>
                <w:szCs w:val="20"/>
                <w:color w:val="auto"/>
              </w:rPr>
            </w:pPr>
            <w:r>
              <w:rPr>
                <w:rFonts w:ascii="Arial" w:cs="Arial" w:eastAsia="Arial" w:hAnsi="Arial"/>
                <w:sz w:val="16"/>
                <w:szCs w:val="16"/>
                <w:color w:val="auto"/>
              </w:rPr>
              <w:t>Total revenues</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389,992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258,665</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750,063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612,989</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6"/>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Segment Profit</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13"/>
        </w:trPr>
        <w:tc>
          <w:tcPr>
            <w:tcW w:w="3720" w:type="dxa"/>
            <w:vAlign w:val="bottom"/>
          </w:tcPr>
          <w:p>
            <w:pPr>
              <w:ind w:left="360"/>
              <w:spacing w:after="0"/>
              <w:rPr>
                <w:sz w:val="20"/>
                <w:szCs w:val="20"/>
                <w:color w:val="auto"/>
              </w:rPr>
            </w:pPr>
            <w:r>
              <w:rPr>
                <w:rFonts w:ascii="Arial" w:cs="Arial" w:eastAsia="Arial" w:hAnsi="Arial"/>
                <w:sz w:val="16"/>
                <w:szCs w:val="16"/>
                <w:color w:val="auto"/>
              </w:rPr>
              <w:t>Codman Specialty Surgical</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113,996</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65,256</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220,774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152,491</w:t>
            </w:r>
          </w:p>
        </w:tc>
      </w:tr>
      <w:tr>
        <w:trPr>
          <w:trHeight w:val="219"/>
        </w:trPr>
        <w:tc>
          <w:tcPr>
            <w:tcW w:w="3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Tissue Technologies</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28,688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59,958</w:t>
            </w:r>
          </w:p>
        </w:tc>
      </w:tr>
      <w:tr>
        <w:trPr>
          <w:trHeight w:val="207"/>
        </w:trPr>
        <w:tc>
          <w:tcPr>
            <w:tcW w:w="3720" w:type="dxa"/>
            <w:vAlign w:val="bottom"/>
          </w:tcPr>
          <w:p>
            <w:pPr>
              <w:ind w:left="360"/>
              <w:spacing w:after="0"/>
              <w:rPr>
                <w:sz w:val="20"/>
                <w:szCs w:val="20"/>
                <w:color w:val="auto"/>
              </w:rPr>
            </w:pPr>
            <w:r>
              <w:rPr>
                <w:rFonts w:ascii="Arial" w:cs="Arial" w:eastAsia="Arial" w:hAnsi="Arial"/>
                <w:sz w:val="16"/>
                <w:szCs w:val="16"/>
                <w:color w:val="auto"/>
              </w:rPr>
              <w:t>Segment profit</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178,409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93,944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335,198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212,449</w:t>
            </w: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(15,050)</w:t>
            </w:r>
          </w:p>
        </w:tc>
      </w:tr>
      <w:tr>
        <w:trPr>
          <w:trHeight w:val="213"/>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and other</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(122,357)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(71,791)</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(243,905)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(156,216)</w:t>
            </w:r>
          </w:p>
        </w:tc>
      </w:tr>
      <w:tr>
        <w:trPr>
          <w:trHeight w:val="235"/>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51,854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14,080</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82,568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41,183</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rPr>
              <w:t>Three Months Ended June 30,</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981"/>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2020</w:t>
            </w:r>
          </w:p>
        </w:tc>
      </w:tr>
      <w:tr>
        <w:trPr>
          <w:trHeight w:val="211"/>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60" w:type="dxa"/>
            <w:vAlign w:val="bottom"/>
            <w:shd w:val="clear" w:color="auto" w:fill="CCEEFF"/>
          </w:tcPr>
          <w:p>
            <w:pPr>
              <w:jc w:val="right"/>
              <w:ind w:right="98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278,186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181,850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525,979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428,702</w:t>
            </w: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Europe</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48,437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32,026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94,256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77,922</w:t>
            </w:r>
          </w:p>
        </w:tc>
      </w:tr>
      <w:tr>
        <w:trPr>
          <w:trHeight w:val="219"/>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91,601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73,461</w:t>
            </w:r>
          </w:p>
        </w:tc>
      </w:tr>
      <w:tr>
        <w:trPr>
          <w:trHeight w:val="213"/>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 of World</w:t>
            </w: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38,227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32,904</w:t>
            </w:r>
          </w:p>
        </w:tc>
      </w:tr>
      <w:tr>
        <w:trPr>
          <w:trHeight w:val="23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160" w:type="dxa"/>
            <w:vAlign w:val="bottom"/>
            <w:tcBorders>
              <w:bottom w:val="single" w:sz="8" w:color="auto"/>
            </w:tcBorders>
            <w:shd w:val="clear" w:color="auto" w:fill="CCEEFF"/>
          </w:tcPr>
          <w:p>
            <w:pPr>
              <w:jc w:val="right"/>
              <w:ind w:right="98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389,992</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258,665</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750,063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612,989</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consideration for certain technology, manufacturing, distribution,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six month period ended June 30, 2021 and June 30, 2020 to reflect the change in estimates, additions, payments, transfers and the time value of money during the period.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six months ended June 30, 2021 and June 30, 2020 is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80" w:type="dxa"/>
            <w:vAlign w:val="bottom"/>
            <w:gridSpan w:val="9"/>
          </w:tcPr>
          <w:p>
            <w:pPr>
              <w:jc w:val="center"/>
              <w:spacing w:after="0"/>
              <w:rPr>
                <w:sz w:val="20"/>
                <w:szCs w:val="20"/>
                <w:color w:val="auto"/>
              </w:rPr>
            </w:pPr>
            <w:r>
              <w:rPr>
                <w:rFonts w:ascii="Arial" w:cs="Arial" w:eastAsia="Arial" w:hAnsi="Arial"/>
                <w:sz w:val="14"/>
                <w:szCs w:val="14"/>
                <w:b w:val="1"/>
                <w:bCs w:val="1"/>
                <w:color w:val="auto"/>
                <w:w w:val="93"/>
              </w:rPr>
              <w:t>Contingent Consideration Liability Related to Acquisition of:</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Location in</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Location in Financial</w:t>
            </w:r>
          </w:p>
        </w:tc>
        <w:tc>
          <w:tcPr>
            <w:tcW w:w="0" w:type="dxa"/>
            <w:vAlign w:val="bottom"/>
          </w:tcPr>
          <w:p>
            <w:pPr>
              <w:spacing w:after="0"/>
              <w:rPr>
                <w:sz w:val="1"/>
                <w:szCs w:val="1"/>
                <w:color w:val="auto"/>
              </w:rPr>
            </w:pPr>
          </w:p>
        </w:tc>
      </w:tr>
      <w:tr>
        <w:trPr>
          <w:trHeight w:val="68"/>
        </w:trPr>
        <w:tc>
          <w:tcPr>
            <w:tcW w:w="3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Arkis</w:t>
            </w: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Financial</w:t>
            </w: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Derma Sciences</w:t>
            </w:r>
          </w:p>
        </w:tc>
        <w:tc>
          <w:tcPr>
            <w:tcW w:w="140" w:type="dxa"/>
            <w:vAlign w:val="bottom"/>
          </w:tcPr>
          <w:p>
            <w:pPr>
              <w:spacing w:after="0"/>
              <w:rPr>
                <w:sz w:val="5"/>
                <w:szCs w:val="5"/>
                <w:color w:val="auto"/>
              </w:rPr>
            </w:pPr>
          </w:p>
        </w:tc>
        <w:tc>
          <w:tcPr>
            <w:tcW w:w="9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7"/>
              </w:rPr>
              <w:t>ACell Inc.</w:t>
            </w:r>
          </w:p>
        </w:tc>
        <w:tc>
          <w:tcPr>
            <w:tcW w:w="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Six Months Ended June 30, 2021</w:t>
            </w:r>
          </w:p>
        </w:tc>
        <w:tc>
          <w:tcPr>
            <w:tcW w:w="1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162"/>
        </w:trPr>
        <w:tc>
          <w:tcPr>
            <w:tcW w:w="3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Statements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22"/>
              <w:spacing w:after="0"/>
              <w:rPr>
                <w:sz w:val="20"/>
                <w:szCs w:val="20"/>
                <w:color w:val="auto"/>
              </w:rPr>
            </w:pPr>
            <w:r>
              <w:rPr>
                <w:rFonts w:ascii="Arial" w:cs="Arial" w:eastAsia="Arial" w:hAnsi="Arial"/>
                <w:sz w:val="14"/>
                <w:szCs w:val="14"/>
                <w:b w:val="1"/>
                <w:bCs w:val="1"/>
                <w:color w:val="auto"/>
                <w:w w:val="91"/>
              </w:rPr>
              <w:t>(See Note 2)</w:t>
            </w: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4"/>
                <w:szCs w:val="14"/>
                <w:b w:val="1"/>
                <w:bCs w:val="1"/>
                <w:color w:val="auto"/>
              </w:rPr>
              <w:t>Short-term</w:t>
            </w: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4"/>
                <w:szCs w:val="14"/>
                <w:b w:val="1"/>
                <w:bCs w:val="1"/>
                <w:color w:val="auto"/>
              </w:rPr>
              <w:t>Long-term</w:t>
            </w: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4"/>
                <w:szCs w:val="14"/>
                <w:b w:val="1"/>
                <w:bCs w:val="1"/>
                <w:color w:val="auto"/>
              </w:rPr>
              <w:t>Long-term</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center"/>
              <w:ind w:right="62"/>
              <w:spacing w:after="0"/>
              <w:rPr>
                <w:sz w:val="20"/>
                <w:szCs w:val="20"/>
                <w:color w:val="auto"/>
              </w:rPr>
            </w:pPr>
            <w:r>
              <w:rPr>
                <w:rFonts w:ascii="Arial" w:cs="Arial" w:eastAsia="Arial" w:hAnsi="Arial"/>
                <w:sz w:val="14"/>
                <w:szCs w:val="14"/>
                <w:b w:val="1"/>
                <w:bCs w:val="1"/>
                <w:color w:val="auto"/>
                <w:w w:val="95"/>
              </w:rPr>
              <w:t>Long-term</w:t>
            </w:r>
          </w:p>
        </w:tc>
        <w:tc>
          <w:tcPr>
            <w:tcW w:w="8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Balance as of January 1, 2021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3,415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11,746</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Additions from acquisition of ACell</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23,900</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Transfers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3,432</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Gain (loss) from change in fair value of contingent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vMerge w:val="restart"/>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Research and</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Selling, general and</w:t>
            </w:r>
          </w:p>
        </w:tc>
        <w:tc>
          <w:tcPr>
            <w:tcW w:w="0" w:type="dxa"/>
            <w:vAlign w:val="bottom"/>
          </w:tcPr>
          <w:p>
            <w:pPr>
              <w:spacing w:after="0"/>
              <w:rPr>
                <w:sz w:val="1"/>
                <w:szCs w:val="1"/>
                <w:color w:val="auto"/>
              </w:rPr>
            </w:pPr>
          </w:p>
        </w:tc>
      </w:tr>
      <w:tr>
        <w:trPr>
          <w:trHeight w:val="20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consideration liabilities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development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0" w:type="dxa"/>
            <w:vAlign w:val="bottom"/>
          </w:tcPr>
          <w:p>
            <w:pPr>
              <w:spacing w:after="0"/>
              <w:rPr>
                <w:sz w:val="1"/>
                <w:szCs w:val="1"/>
                <w:color w:val="auto"/>
              </w:rPr>
            </w:pPr>
          </w:p>
        </w:tc>
      </w:tr>
      <w:tr>
        <w:trPr>
          <w:trHeight w:val="213"/>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Balance as of June 30, 2021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14,776</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23,500</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gridSpan w:val="4"/>
          </w:tcPr>
          <w:p>
            <w:pPr>
              <w:jc w:val="right"/>
              <w:spacing w:after="0"/>
              <w:rPr>
                <w:sz w:val="20"/>
                <w:szCs w:val="20"/>
                <w:color w:val="auto"/>
              </w:rPr>
            </w:pPr>
            <w:r>
              <w:rPr>
                <w:rFonts w:ascii="Arial" w:cs="Arial" w:eastAsia="Arial" w:hAnsi="Arial"/>
                <w:sz w:val="14"/>
                <w:szCs w:val="14"/>
                <w:b w:val="1"/>
                <w:bCs w:val="1"/>
                <w:color w:val="auto"/>
              </w:rPr>
              <w:t>Contingent Consideration Liability Related to Acquisition of:</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88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 2020</w:t>
            </w:r>
          </w:p>
        </w:tc>
        <w:tc>
          <w:tcPr>
            <w:tcW w:w="1540" w:type="dxa"/>
            <w:vAlign w:val="bottom"/>
          </w:tcPr>
          <w:p>
            <w:pPr>
              <w:jc w:val="right"/>
              <w:ind w:right="204"/>
              <w:spacing w:after="0"/>
              <w:rPr>
                <w:sz w:val="20"/>
                <w:szCs w:val="20"/>
                <w:color w:val="auto"/>
              </w:rPr>
            </w:pPr>
            <w:r>
              <w:rPr>
                <w:rFonts w:ascii="Arial" w:cs="Arial" w:eastAsia="Arial" w:hAnsi="Arial"/>
                <w:sz w:val="14"/>
                <w:szCs w:val="14"/>
                <w:b w:val="1"/>
                <w:bCs w:val="1"/>
                <w:color w:val="auto"/>
              </w:rPr>
              <w:t>Arkis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right"/>
              <w:ind w:right="204"/>
              <w:spacing w:after="0"/>
              <w:rPr>
                <w:sz w:val="20"/>
                <w:szCs w:val="20"/>
                <w:color w:val="auto"/>
              </w:rPr>
            </w:pPr>
            <w:r>
              <w:rPr>
                <w:rFonts w:ascii="Arial" w:cs="Arial" w:eastAsia="Arial" w:hAnsi="Arial"/>
                <w:sz w:val="14"/>
                <w:szCs w:val="14"/>
                <w:b w:val="1"/>
                <w:bCs w:val="1"/>
                <w:color w:val="auto"/>
              </w:rPr>
              <w:t>Derma Sciences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ind w:left="400"/>
              <w:spacing w:after="0"/>
              <w:rPr>
                <w:sz w:val="20"/>
                <w:szCs w:val="20"/>
                <w:color w:val="auto"/>
              </w:rPr>
            </w:pPr>
            <w:r>
              <w:rPr>
                <w:rFonts w:ascii="Arial" w:cs="Arial" w:eastAsia="Arial" w:hAnsi="Arial"/>
                <w:sz w:val="14"/>
                <w:szCs w:val="14"/>
                <w:b w:val="1"/>
                <w:bCs w:val="1"/>
                <w:color w:val="auto"/>
              </w:rPr>
              <w:t>Location in Financial Statements</w:t>
            </w:r>
          </w:p>
        </w:tc>
        <w:tc>
          <w:tcPr>
            <w:tcW w:w="0" w:type="dxa"/>
            <w:vAlign w:val="bottom"/>
          </w:tcPr>
          <w:p>
            <w:pPr>
              <w:spacing w:after="0"/>
              <w:rPr>
                <w:sz w:val="1"/>
                <w:szCs w:val="1"/>
                <w:color w:val="auto"/>
              </w:rPr>
            </w:pPr>
          </w:p>
        </w:tc>
      </w:tr>
      <w:tr>
        <w:trPr>
          <w:trHeight w:val="189"/>
        </w:trPr>
        <w:tc>
          <w:tcPr>
            <w:tcW w:w="3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4"/>
                <w:szCs w:val="14"/>
                <w:b w:val="1"/>
                <w:bCs w:val="1"/>
                <w:color w:val="auto"/>
              </w:rPr>
              <w:t>Long-term</w:t>
            </w: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bottom w:val="single" w:sz="8" w:color="auto"/>
            </w:tcBorders>
            <w:shd w:val="clear" w:color="auto" w:fill="CCEEFF"/>
          </w:tcPr>
          <w:p>
            <w:pPr>
              <w:jc w:val="right"/>
              <w:ind w:right="344"/>
              <w:spacing w:after="0"/>
              <w:rPr>
                <w:sz w:val="20"/>
                <w:szCs w:val="20"/>
                <w:color w:val="auto"/>
              </w:rPr>
            </w:pPr>
            <w:r>
              <w:rPr>
                <w:rFonts w:ascii="Arial" w:cs="Arial" w:eastAsia="Arial" w:hAnsi="Arial"/>
                <w:sz w:val="14"/>
                <w:szCs w:val="14"/>
                <w:b w:val="1"/>
                <w:bCs w:val="1"/>
                <w:color w:val="auto"/>
              </w:rPr>
              <w:t>Long-term</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Balance as of January 1, 2020</w:t>
            </w:r>
          </w:p>
        </w:tc>
        <w:tc>
          <w:tcPr>
            <w:tcW w:w="1540" w:type="dxa"/>
            <w:vAlign w:val="bottom"/>
          </w:tcPr>
          <w:p>
            <w:pPr>
              <w:jc w:val="right"/>
              <w:ind w:right="1364"/>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14,210</w:t>
            </w:r>
          </w:p>
        </w:tc>
        <w:tc>
          <w:tcPr>
            <w:tcW w:w="100" w:type="dxa"/>
            <w:vAlign w:val="bottom"/>
          </w:tcPr>
          <w:p>
            <w:pPr>
              <w:spacing w:after="0"/>
              <w:rPr>
                <w:sz w:val="17"/>
                <w:szCs w:val="17"/>
                <w:color w:val="auto"/>
              </w:rPr>
            </w:pPr>
          </w:p>
        </w:tc>
        <w:tc>
          <w:tcPr>
            <w:tcW w:w="1840" w:type="dxa"/>
            <w:vAlign w:val="bottom"/>
          </w:tcPr>
          <w:p>
            <w:pPr>
              <w:jc w:val="right"/>
              <w:ind w:right="1664"/>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89"/>
              </w:rPr>
              <w:t>230</w:t>
            </w:r>
          </w:p>
        </w:tc>
        <w:tc>
          <w:tcPr>
            <w:tcW w:w="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8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Loss from change in fair value of contingent</w:t>
            </w:r>
          </w:p>
        </w:tc>
        <w:tc>
          <w:tcPr>
            <w:tcW w:w="15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260" w:type="dxa"/>
            <w:vAlign w:val="bottom"/>
            <w:gridSpan w:val="3"/>
            <w:vMerge w:val="restart"/>
            <w:shd w:val="clear" w:color="auto" w:fill="CCEEFF"/>
          </w:tcPr>
          <w:p>
            <w:pPr>
              <w:ind w:left="100"/>
              <w:spacing w:after="0"/>
              <w:rPr>
                <w:sz w:val="20"/>
                <w:szCs w:val="20"/>
                <w:color w:val="auto"/>
              </w:rPr>
            </w:pPr>
            <w:r>
              <w:rPr>
                <w:rFonts w:ascii="Arial" w:cs="Arial" w:eastAsia="Arial" w:hAnsi="Arial"/>
                <w:sz w:val="16"/>
                <w:szCs w:val="16"/>
                <w:color w:val="auto"/>
              </w:rPr>
              <w:t>—  Research and development</w:t>
            </w:r>
          </w:p>
        </w:tc>
        <w:tc>
          <w:tcPr>
            <w:tcW w:w="0" w:type="dxa"/>
            <w:vAlign w:val="bottom"/>
          </w:tcPr>
          <w:p>
            <w:pPr>
              <w:spacing w:after="0"/>
              <w:rPr>
                <w:sz w:val="1"/>
                <w:szCs w:val="1"/>
                <w:color w:val="auto"/>
              </w:rPr>
            </w:pPr>
          </w:p>
        </w:tc>
      </w:tr>
      <w:tr>
        <w:trPr>
          <w:trHeight w:val="20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consideration liabilities</w:t>
            </w:r>
          </w:p>
        </w:tc>
        <w:tc>
          <w:tcPr>
            <w:tcW w:w="15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26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Balance as of June 30, 2020</w:t>
            </w:r>
          </w:p>
        </w:tc>
        <w:tc>
          <w:tcPr>
            <w:tcW w:w="1540" w:type="dxa"/>
            <w:vAlign w:val="bottom"/>
            <w:tcBorders>
              <w:top w:val="single" w:sz="8" w:color="auto"/>
              <w:bottom w:val="single" w:sz="8" w:color="auto"/>
            </w:tcBorders>
          </w:tcPr>
          <w:p>
            <w:pPr>
              <w:jc w:val="right"/>
              <w:ind w:right="1364"/>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13,502</w:t>
            </w:r>
          </w:p>
        </w:tc>
        <w:tc>
          <w:tcPr>
            <w:tcW w:w="1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ind w:right="1664"/>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230</w:t>
            </w: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Arkis BioSciences Inc.</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29, 2019, the Company acquired Arkis BioSciences Inc. ("Arkis") for an acquisition purchase price of $30.6 million (the "Arkis Acquisition") plus contingent consideration of up to $25.5 million, that may be payable based on the successful completion of certain development and commercial milestones. Arkis was a privately-held company that marketed the CerebroFlo® external ventricular drainage (EVD) catheter with Endexo® technology, a permanent additive designed to reduce the potential for catheter obstruction due to thrombus formation.</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part of the acquisition,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The estimated fair value as of June 30, 2021 and June 30, 2020 was $14.8 million and $13.5 million, respectively. The Company recorded $14.8 million and $13.5 million in other liabilities at June 30, 2021 and June 30, 2020, respectively, in the consolidated balance sheet of the Company.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already paid $33.3 million related to the aforementioned contingent liabilities. One contingent liability remains which relates to net sales of Medihoney products exceeding certain amounts defined in the agreement between the Company and Derma Sciences. The potential maximum undiscounted payment amounts to $3.0 million. The estimated fair value as of June 30, 2021 and June 30, 2020 was $0.2 million.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our condensed consolidated financial statements and the related notes thereto appearing elsewhere in this report and our consolidated financial statements for the year ended December 31, 2020 included in our Annual Report on Form 10-K.</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and other matters. These forward-looking statements include, but are not limited to, statements related to the Company's expectations regarding the potential impacts of the COVID-19 pandemic on our business, financial condition, and results of operations. These statements should, therefore, be considered in light of various important factors, including, but not limited to, the following: the Company's ability to recover to normalized procedure volume in the midst of the COVID-19 pandemic; the risk that the COVID-19 pandemic could lead to further material delays and cancellations of, or reduced demand for, procedures; curtailed or delayed capital spending by the Company's customers; disruption to the Company's supply chain; closures of our facilities; delays in gathering clinical evidence; diversion of management and other resources to respond to the COVID-19 outbreak; the impact of global and regional economic and credit market conditions on healthcare spending; the risk that the COVID-19 virus disrupts local economies and causes economies in our key markets to enter prolonged recessions. The Company's actual results could differ materially from those anticipated in these forward-looking statements as a result of many factors, including but not limited to those set forth under the heading “Risk Factors” in our Annual Report on Form 10-K for the year ended December 31, 2020, and under the heading "Risk Factors" in this report. We undertake no obligation to publicly update or revise any forward-looking statements, whether as a result of new information, future events or otherwise.</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“might,”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Integra, headquartered in Princeton,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as well as nerves and tendons. The Company has expanded its base regenerative technology business to include surgical instruments, neurosurgical products and advanced wound care through a combination of several global acquisitions and development of products internally to further meet the needs of its customers and impact patient care.</w:t>
      </w:r>
    </w:p>
    <w:p>
      <w:pPr>
        <w:spacing w:after="0" w:line="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Integra manufactures and sells products in two reportable business segments: Codman Specialty Surgical and Tissue Technologies. In conjunction with the sale of the Extremity and Orthopedics business, the Company rebranded the Orthopedics and Tissue Technologies segment as Tissue Technologies in the first quarter of 2021. See Note 2.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xml:space="preserve"> for details. Our Codman Specialty Surgical products comprise of specialty surgical implants and instrumentation for a broad range of specialties. This segment includes products and solutions for dural access and repair, instruments, advanced energy, cerebral spinal fluid ("CSF") management and neuro monitoring including market leading product portfolios used in neurosurgery operation suites and critical care units. Codman Specialty Surgical products are sold through a combination of directly employed sales representatives, distributors and wholesalers, depending on the customer call point. Our Tissue Technologies product portfolios consist of differentiated regenerative technology products for soft tissue repair and tissue regeneration products, and surgical reconstruction. This business also includes private label sales of a broad set of our regenerative and wound care medicine technologies. Tissue Technologies products are sold through directly employed sales representatives and distributors focused on their respective surgical specialties, and strategic partners.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key manufacturing and research facilities located in California, Indiana, Maryland, Massachusetts, New Jersey, Ohio, Tennessee, Canada, France, Germany, Ireland, Puerto Rico and Switzerland. We also source most of our handheld surgical instruments, and dural sealant products through specialized third-party vendors.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Integra is committed to delivering high quality products that positively impact the lives of millions of patients and their families. We focus on four key pillars of our strategy: 1) enabling an execution-focused culture, 2) optimizing relevant scale, 3) advancing innovation and agility, and 4) leading in customer experience. We believe that by sharpening our focus on these areas through improved planning and communication, optimization of our infrastructure, and strategically aligned tuck-in acquisitions, we can build scale, increase competitiveness and achieve our long-term goals.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To this end, the executive leadership team has established the following key priorities aligned to the following areas of focus: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Strategic Acquisitions. </w:t>
      </w:r>
      <w:r>
        <w:rPr>
          <w:rFonts w:ascii="Arial" w:cs="Arial" w:eastAsia="Arial" w:hAnsi="Arial"/>
          <w:sz w:val="16"/>
          <w:szCs w:val="16"/>
          <w:color w:val="auto"/>
        </w:rPr>
        <w:t>An important part of the Company's strategy is pursuing strategic transactions and licensing agreements that increase relevant scale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the clinical areas in which Integra competes. In December 2020, Integra entered into a merger agreement to acquire ACell, Inc., an innovative regenerative medicine company specializing in the manufacture of porcine urinary bladder extracellular matrices. This acquisition, which closed on January 20, 2021, expands our product offering of regenerative technology and is complementary to Integra’s existing tissue technologies portfolio. The acquisition also supports our long-term growth and profitability strategy with a financial profile similar to Integra’s tissue products. In 2021, we are focused on the integration of ACell Inc., into our Tissue Technologies business segment, while also continuing the development of regenerative tissue products for complex wound management that will benefit the expanded portfolio. See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for details.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Portfolio Optimization and New Product Introductions. </w:t>
      </w:r>
      <w:r>
        <w:rPr>
          <w:rFonts w:ascii="Arial" w:cs="Arial" w:eastAsia="Arial" w:hAnsi="Arial"/>
          <w:sz w:val="18"/>
          <w:szCs w:val="18"/>
          <w:color w:val="auto"/>
        </w:rPr>
        <w:t>We are investing in innovative product development to drive a multi-generational pipeline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key product franchises. Our product development efforts span across our key global franchises focused on potential for significant returns on investment. We continue to advance the development of pioneering technologies from our 2019 acquisitions, Arkis Biosciences, Inc. and Rebound Therapeutics Corporation. In addition to new product development, we are funding studies to gather clinical evidence to support launches, ensure market access and improve reimbursement for existing products. We continue to identify ways of optimizing our portfolio including identifying low-growth, low-margin products and product franchises for discontinuation.</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2021, we completed the sale of our Extremity Orthopedics business for approximately $240 million in cash subject to finalization of working capital adjustments. This transaction enables us to increase our investments in our core Neurosurgery and Tissue Technology businesses which will strengthen our existing leadership positions in both areas, fund pipeline opportunities to drive future growth and expand our addressable markets. See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details.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Commercial Channel Investments. </w:t>
      </w:r>
      <w:r>
        <w:rPr>
          <w:rFonts w:ascii="Arial" w:cs="Arial" w:eastAsia="Arial" w:hAnsi="Arial"/>
          <w:sz w:val="17"/>
          <w:szCs w:val="17"/>
          <w:color w:val="auto"/>
        </w:rPr>
        <w:t>With acquisitions, new product introductions and a broad portfolio of products, investing in our sales channels is a core</w:t>
      </w:r>
      <w:r>
        <w:rPr>
          <w:rFonts w:ascii="Arial" w:cs="Arial" w:eastAsia="Arial" w:hAnsi="Arial"/>
          <w:sz w:val="17"/>
          <w:szCs w:val="17"/>
          <w:i w:val="1"/>
          <w:iCs w:val="1"/>
          <w:color w:val="auto"/>
        </w:rPr>
        <w:t xml:space="preserve"> </w:t>
      </w:r>
      <w:r>
        <w:rPr>
          <w:rFonts w:ascii="Arial" w:cs="Arial" w:eastAsia="Arial" w:hAnsi="Arial"/>
          <w:sz w:val="17"/>
          <w:szCs w:val="17"/>
          <w:color w:val="auto"/>
        </w:rPr>
        <w:t>part of our strategy to create specialization and greater focus on reaching new and existing customers and addressing their needs. To support our commercial efforts in Tissue Technologies, we expanded our two-tier specialist model to increase our presence in focused segments. We created a virtual selling organization to help serve the evolving needs of our customers. Internationally, we have increased our commercial resources significantly in key emerging markets and are making investments to support our sales organization and maximize our commercial opportunities. These strong investments in our international sales channel position us well for expansion and long-term growth. In addition, we continue to build upon our leadership brands across our product franchises to enable us to engage customers through enterprise-wide contracts.</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Customer Experience. </w:t>
      </w:r>
      <w:r>
        <w:rPr>
          <w:rFonts w:ascii="Arial" w:cs="Arial" w:eastAsia="Arial" w:hAnsi="Arial"/>
          <w:sz w:val="17"/>
          <w:szCs w:val="17"/>
          <w:color w:val="auto"/>
        </w:rPr>
        <w:t>We aspire to be ranked as a best-in-class provider and are committed to strengthen our relationships with all customers. We continue</w:t>
      </w:r>
      <w:r>
        <w:rPr>
          <w:rFonts w:ascii="Arial" w:cs="Arial" w:eastAsia="Arial" w:hAnsi="Arial"/>
          <w:sz w:val="17"/>
          <w:szCs w:val="17"/>
          <w:i w:val="1"/>
          <w:iCs w:val="1"/>
          <w:color w:val="auto"/>
        </w:rPr>
        <w:t xml:space="preserve"> </w:t>
      </w:r>
      <w:r>
        <w:rPr>
          <w:rFonts w:ascii="Arial" w:cs="Arial" w:eastAsia="Arial" w:hAnsi="Arial"/>
          <w:sz w:val="17"/>
          <w:szCs w:val="17"/>
          <w:color w:val="auto"/>
        </w:rPr>
        <w:t>to invest in technologies, systems and processes to enhance the customer experience. Additionally, we launched new digital programs, resources and virtual product training to drive continued customer familiarity with our growing portfolio of medical technologies globally.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continue to invest in collecting clinical evidence to support the Company's existing products and new product launches, and to ensure that we obtain market access for broader and more cost-effective solutions. In each area, we continue to benefit from products launched over the past several years.</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our Codman Specialty Surgical segment, the Company received FDA clearance in 2020 to treat malignant and benign tumors, but not limited to meningiomas and gliomas, for its CUSA® Clarity Ultrasonic Surgical Aspirator System, the first and only ultrasonic tissue ablation system with this specific indication. The FDA clearance is based on a wealth of peer-reviewed clinical publications and 40 years of surgical cases involving resection of brain and spinal tumors.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the Company continued to reap the benefits of our product launches from the prior year from the Codman Specialty Surgical segment, including our new electrosurgery generator and irrigator system, an innovative customer-centric toolkit for our Certas™ Plus Programmable Valve along with additional shunt configurations. In Japan, we are experiencing strong growth as a result of the successful launch of DuraGen® in mid-2019, which is the first and only collagen xenograft approved for use as a dural substitute in the country. We are focused on the development of core clinical applications in our electromechanical technologies portfolio. Also, we updated our CUSA Clarity platform to incorporate a new ultrasonic handpiece, surgical tips and integrated electrosurgical capabilities. We continue to work with several instrument partners to bring new surgical instrument platforms to the market. This enables us to add new instruments with minimal expense and invest in ongoing development, such as our next generation of LED technology with our DUO LED Surgical Headlight System.</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advanced the early-stage technology platforms we acquired during 2019. Through the Arkis Biosciences acquisition, we added a platform technology, CerebroFlo® external ventricular drainage (EVD) catheter with Endexo® technology, a permanent additive designed to reduce the potential for catheter obstruction due to thrombus formation. The CerebroFlo® EVD Catheter has demonstrated an average of 99% less thrombus accumulation onto its surface, in vitro, compared to a market leading EVD catheter. We acquired Rebound Therapeutics, a company that specialized in single-use medical devices that enable minimally invasive access with enhanced lighting and visualization to the neurosurgery suite and launched the MIRROR registry to collect data on this new device. These new platforms provide us with the opportunity to expand into new, faster growth therapeutic areas such as intracerebral hemorrhage and minimally invasive neurosurgery.</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Within our Tissue Technologies segment, we recently completed one of the largest diabetic foot ulcers (DFU) randomized controlled trials (RCTs) of PriMatrix® Dermal Repair Scaffold for the management of DFU. This multi-center study enrolled more than 225 patients with chronic DFU's over the course of 12-week treatments and 4-week follow-up phases. The results of this study, which was published in the Journal of Wound Care, demonstrated that PriMatrix® plus standard of care (SOC) consisting of sharp debridement, infection elimination, use of dressings and offloading was significantly more likely to achieve complete wound closure compared with SOC alone, with a median number of one application of the product. In 2020, we announced positive clinical and economic data on Integra® Bilayer Wound Matrix ("IBWM") in complex lower extremity reconstruction based on two retrospective studies recently published in Plastic and Reconstructive Surgery, the official journal of the American Society of Plastic Surgeons. As surgeons look for ways to efficiently and effectively repair and close wounds during these challenging times, IBWM helps address the efficiency needed in operating rooms by reducing both the operating time and costs to hospitals and patients.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this global crisis, the Company's focus remained on supporting patients, providing customers with life-saving products, and protecting the well-being of our employees. The rapid and evolving spread of the virus has resulted in an unprecedented challenge to the global healthcare industry, as medical resources were reallocated to fight COVID-19. During the first half of 2020, in response to the pandemic, we acted swiftly by implementing protocols to ensure continuity of our manufacturing and distribution sites around the world and to provide for the safety of our employees. During the second half of 2020, the Company's revenues were still impacted due to COVID-19 resurgences, though not to the levels seen in the first half of 2020.</w:t>
      </w:r>
    </w:p>
    <w:p>
      <w:pPr>
        <w:spacing w:after="0" w:line="4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During the first half of 2021, our business segments were well positioned to capitalize on the improving demand driven by the ongoing global market recovery. We saw particularly healthy order activity in products used in neurosurgery, instruments, burn, trauma and surgical reconstruction as markets gradually recovered. Areas such as capital equipment and our international indirect markets are still early in their recovery, but are reporting encouraging trends. We remain confident that the underlying markets in which the Company competes remain attractive over the long term. We also remain focused on managing the business for the long-term, including preserving full time jobs needed to support the rebound in surgical procedure volumes. The Company's adaptability and resiliency in the face of this unprecedented crisis is made possible in part by prior investments in technology infrastructure and operations, as well as our talented and committed global workforce.</w:t>
      </w:r>
    </w:p>
    <w:p>
      <w:pPr>
        <w:spacing w:after="0" w:line="6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Capital markets and worldwide economies have also been significantly impacted by the COVID-19 pandemic, and it is possible that it could cause a local and/or global economic recession. Any such economic recession could have a material adverse effect on the Company's long-term business as hospitals curtail and reduce capital as well as overall spending. The COVID-19 pandemic and local actions, such as “shelter-in-place” orders and restrictions on travel and access to our customers or temporary closures of our facilities or the facilities of our suppliers and their contract manufacturers, could further significantly impact our sales and our ability to ship our products and supply our customers. Any of these events could negatively impact the number of surgical and medical intervention procedures performed and have a material adverse effect on our business, financial condition, results of operations, or cash flows.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Matters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manufacture and distribute products derived from human tissue for which FDA has specific regulations governing human cells, tissues and cellular and tissue-based products, or HCT/Ps. An HCT/P is a product containing or consisting of human cells or tissue intended for transplantation into a human patient.</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22, 2015, the FDA issued an Untitled Letter (the "Untitled Letter") alleging that BioD's morselized amniotic membrane tissue-based products do not meet the criteria for regulation as HCT/Ps solely under Section 361 of the Public Health Services Act ("Section 361") and that, as a result, BioD would need a biologics license to lawfully market those morselized products. Since the issuance of the Untitled Letter, BioD and the Company have made known to the FDA their disagreement with the FDA’s assertion that certain products are more than minimally manipulated. The FDA has not changed its position that certain of the BioD acquired products are not eligible for marketing solely under Section 361. In July, 2020, the FDA issued the final guidance document related to human tissue titled, “Regulatory Considerations for Human Cells, Tissues, and Cellular and Tissue-Based Products: Minimal Manipulation and Homologous Use” (the “HCT/P Final Guidance”). This Guidance document supersedes the November 2017 guidance by the same 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HCT/P Final Guidance maintains the FDA’s position that products such as the Company’s morselized amniotic membrane tissue-based products do not meet the criteria for regulation solely as HCT/Ps. In addition, in the November 2017 guidance, the FDA articulated a risk-based approach to enforcement and, while some uses for amniotic membrane tissue-based products would have as much as thirty-six months of enforcement discretion, other high risk uses could be subject to immediate enforcement action. The revised final guidance of July 2020 maintained this approach and extended the discretionary enforcement period to May 31, 2021.</w:t>
      </w:r>
    </w:p>
    <w:p>
      <w:pPr>
        <w:spacing w:after="0" w:line="6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Rather than the risk of enforcement action, the Company discontinued manufacturing all morselized amniotic membrane tissue-based products prior to May 31, 2021. We no longer distribute these products. As of June 30, 2021, the Company has not received any further notice of enforcement action from the FDA regarding its morselized amniotic membrane tissue-based products.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from the now discontinued BioD morselized amniotic membrane-based products for the six months ended June 30, 2021 were less than 1.0% of consolidated revenues.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7, 2019, TEI Biosciences, Inc. a subsidiary of the Company received a Warning Letter (the “Warning Letter”), dated March 6, 2019, from the FDA. The warning letter relates to quality systems issues at our manufacturing facility located in Boston, Massachusetts. The letter resulted from an inspection held at that facility in October and November 2018 and did not identify any new observations that were not already provided in the Form 483 that followed the inspection. The Company submitted its initial response to the FDA Warning Letter on March 28, 2019 and provides regular progress reports to the FDA as to its corrective actions and, since the conclusion of the inspection, has undertaken significant efforts to remediate the observations and continues to do so. The warning letter does not restrict the Company’s ability to manufacture or ship products or require the recall of any products. Nor does it restrict our ability to seek FDA 510(k) clearance of products. The letter states that requests for Certificates to Foreign Governments would not be granted. However, due to our progress reports, the FDA agreed to resume issuing Certificates to Foreign Governments to TEI due to substantial progress and the length of time it takes to resolve the Warning Letter. Additionally, premarket approval applications for Class III devices to which the Quality System regulation violations are reasonably related will not be approved until the violations have been corrected. The TEI Boston facility manufactures extracellular bovine matrix (EBM) products. The Company does not expect to incur material incremental expense for remediation activities. We cannot, however, give any assurances that the FDA will be satisfied with our response to the Warning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Revenues of products manufactured in the TEI Boston facility for the six months ended June 30, 2021 were approximately 4.5% of consolidated revenues.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&amp;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January 4, 2021, the Company completed its previously announced sale of its Extremity Orthopedics business to Smith &amp; Nephew USD Limited. The transaction included the sale of the Company's upper and lower Extremity Orthopedics product portfolio, including ankle and shoulder arthroplasty and hand and wrist product lines. The Company received an aggregate purchase price of $240.0 million from Smith and Nephew and concurrently paid $41.5 million to the Consortium of Focused Orthopedists, LLC ("CFO") effectively terminating the licensing agreement between Integra and CFO relating to the development of shoulder arthroplasty products. The Company recognized a gain of $42.2 million in connection with the sale that is presented in Gain from the sale of business in the consolidated statement of operations for the year ended June 30, 2021. See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xml:space="preserve"> for details.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20, 2021, the Company acquired ACell Inc. for an acquisition purchase price of $306.9 million plus contingent consideration of up to $100 million, that may be payable upon achieving certain revenue-based performance milestones in 2022, 2023 and 2025</w:t>
      </w:r>
      <w:r>
        <w:rPr>
          <w:rFonts w:ascii="Arial" w:cs="Arial" w:eastAsia="Arial" w:hAnsi="Arial"/>
          <w:sz w:val="18"/>
          <w:szCs w:val="18"/>
          <w:i w:val="1"/>
          <w:iCs w:val="1"/>
          <w:color w:val="auto"/>
        </w:rPr>
        <w:t>.</w:t>
      </w:r>
      <w:r>
        <w:rPr>
          <w:rFonts w:ascii="Arial" w:cs="Arial" w:eastAsia="Arial" w:hAnsi="Arial"/>
          <w:sz w:val="18"/>
          <w:szCs w:val="18"/>
          <w:color w:val="auto"/>
        </w:rPr>
        <w:t xml:space="preserve"> ACell was a privately-held company that offered a portfolio of regenerative products for complex wound management, including developing and commercializing products based on MatriStem Urinary Bladder Matrix ("UBM"), a technology platform derived from porcine urinary bladder extracellular matrix. See Note 2-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Divestitures </w:t>
      </w:r>
      <w:r>
        <w:rPr>
          <w:rFonts w:ascii="Arial" w:cs="Arial" w:eastAsia="Arial" w:hAnsi="Arial"/>
          <w:sz w:val="18"/>
          <w:szCs w:val="18"/>
          <w:color w:val="auto"/>
        </w:rPr>
        <w:t>for details.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OPTIMIZATION AND INTEGRATION ACTIVITIES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a result of our ongoing acquisition strategy and significant growth in recent years, we have undertaken cost-saving initiatives to consolidate manufacturing operations, distribution facilities and transfer activities, implement a common ERP system,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8" w:lineRule="exact"/>
        <w:rPr>
          <w:sz w:val="20"/>
          <w:szCs w:val="20"/>
          <w:color w:val="auto"/>
        </w:rPr>
      </w:pPr>
    </w:p>
    <w:p>
      <w:pPr>
        <w:jc w:val="both"/>
        <w:ind w:right="280"/>
        <w:spacing w:after="0" w:line="276" w:lineRule="auto"/>
        <w:rPr>
          <w:sz w:val="20"/>
          <w:szCs w:val="20"/>
          <w:color w:val="auto"/>
        </w:rPr>
      </w:pPr>
      <w:r>
        <w:rPr>
          <w:rFonts w:ascii="Arial" w:cs="Arial" w:eastAsia="Arial" w:hAnsi="Arial"/>
          <w:sz w:val="16"/>
          <w:szCs w:val="16"/>
          <w:color w:val="auto"/>
        </w:rPr>
        <w:t>Net income for the three months ended June 30, 2021 was $35.1 million, or $0.41 per diluted share, as compared to $(0.4) million or $(0.00) per diluted share for the three months ended June 30, 2020. The net income for the three months ended June 30, 2021, was primarily driven by increase in revenues due to procedure recovery experienced in the current year as compared to the height of the COVID-19 pandemic in the first half of 2020.</w:t>
      </w:r>
    </w:p>
    <w:p>
      <w:pPr>
        <w:spacing w:after="0" w:line="4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Net income for the six months ended June 30, 2021 was $80.5 million, or $0.94 per diluted share, as compared to $8.8 million or $0.10 per diluted share for the six months ended June 30, 2020. The net income for the six months ended June 30, 2021 was primarily driven by higher revenue relating to surgical procedure recovery for the first half of 2021 and increase in non-operating income due to the gain of $42.2 million recognized in the first quarter of 2021 as a result of the sale of the Extremity Orthopedics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r>
        <w:rPr>
          <w:rFonts w:ascii="Arial" w:cs="Arial" w:eastAsia="Arial" w:hAnsi="Arial"/>
          <w:sz w:val="18"/>
          <w:szCs w:val="18"/>
          <w:b w:val="1"/>
          <w:bCs w:val="1"/>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r>
      <w:tr>
        <w:trPr>
          <w:trHeight w:val="211"/>
        </w:trPr>
        <w:tc>
          <w:tcPr>
            <w:tcW w:w="524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color w:val="auto"/>
              </w:rPr>
              <w:t>Acquisition, divestiture and integration-related charges</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12,708</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Structural optimization charges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8,355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4,471</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 medical device regulation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Discontinued product lines charges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4,487</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debt non-cash interest expense</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6,780</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Expenses related to debt refinancing</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2,740</w:t>
            </w:r>
          </w:p>
        </w:tc>
      </w:tr>
      <w:tr>
        <w:trPr>
          <w:trHeight w:val="219"/>
        </w:trPr>
        <w:tc>
          <w:tcPr>
            <w:tcW w:w="5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COVID-19 pandemic related charges</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w:t>
            </w:r>
          </w:p>
        </w:tc>
      </w:tr>
      <w:tr>
        <w:trPr>
          <w:trHeight w:val="206"/>
        </w:trPr>
        <w:tc>
          <w:tcPr>
            <w:tcW w:w="5240" w:type="dxa"/>
            <w:vAlign w:val="bottom"/>
          </w:tcPr>
          <w:p>
            <w:pPr>
              <w:ind w:left="14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18,903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13,339</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1,629</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38,093</w:t>
            </w:r>
          </w:p>
        </w:tc>
      </w:tr>
      <w:tr>
        <w:trPr>
          <w:trHeight w:val="24"/>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ind w:firstLine="8"/>
        <w:spacing w:after="0" w:line="246" w:lineRule="auto"/>
        <w:tabs>
          <w:tab w:leader="none" w:pos="163"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 xml:space="preserve">The Company completed its sale of its Extremity Orthopedics business and recognized a gain of $42.2 million for the six months ended June 30, 2021 which was partially offset by other acquisition, divestiture and integration-related charges. See Note 2. </w:t>
      </w:r>
      <w:r>
        <w:rPr>
          <w:rFonts w:ascii="Arial" w:cs="Arial" w:eastAsia="Arial" w:hAnsi="Arial"/>
          <w:sz w:val="15"/>
          <w:szCs w:val="15"/>
          <w:i w:val="1"/>
          <w:iCs w:val="1"/>
          <w:color w:val="auto"/>
        </w:rPr>
        <w:t>Acquisitions and Divestitures</w:t>
      </w:r>
      <w:r>
        <w:rPr>
          <w:rFonts w:ascii="Arial" w:cs="Arial" w:eastAsia="Arial" w:hAnsi="Arial"/>
          <w:sz w:val="15"/>
          <w:szCs w:val="15"/>
          <w:color w:val="auto"/>
        </w:rPr>
        <w:t xml:space="preserve"> for details.</w:t>
      </w:r>
    </w:p>
    <w:p>
      <w:pPr>
        <w:spacing w:after="0" w:line="58" w:lineRule="exact"/>
        <w:rPr>
          <w:rFonts w:ascii="Arial" w:cs="Arial" w:eastAsia="Arial" w:hAnsi="Arial"/>
          <w:sz w:val="19"/>
          <w:szCs w:val="19"/>
          <w:color w:val="auto"/>
          <w:vertAlign w:val="superscript"/>
        </w:rPr>
      </w:pPr>
    </w:p>
    <w:p>
      <w:pPr>
        <w:ind w:firstLine="8"/>
        <w:spacing w:after="0" w:line="223" w:lineRule="auto"/>
        <w:tabs>
          <w:tab w:leader="none" w:pos="19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Charges relate to business interruptions and costs associated with the COVID-19 pandemic which impacted the Company's operations globally, partially offset by Coronavirus government relief programs in the prior year.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r>
      <w:tr>
        <w:trPr>
          <w:trHeight w:val="211"/>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15,607</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2,108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7,623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13,394</w:t>
            </w:r>
          </w:p>
        </w:tc>
      </w:tr>
      <w:tr>
        <w:trPr>
          <w:trHeight w:val="216"/>
        </w:trPr>
        <w:tc>
          <w:tcPr>
            <w:tcW w:w="4420" w:type="dxa"/>
            <w:vAlign w:val="bottom"/>
          </w:tcPr>
          <w:p>
            <w:pPr>
              <w:ind w:left="20"/>
              <w:spacing w:after="0" w:line="216" w:lineRule="exact"/>
              <w:rPr>
                <w:sz w:val="20"/>
                <w:szCs w:val="20"/>
                <w:color w:val="auto"/>
              </w:rPr>
            </w:pPr>
            <w:r>
              <w:rPr>
                <w:rFonts w:ascii="Arial" w:cs="Arial" w:eastAsia="Arial" w:hAnsi="Arial"/>
                <w:sz w:val="16"/>
                <w:szCs w:val="16"/>
                <w:color w:val="auto"/>
              </w:rPr>
              <w:t>Interest expense</w:t>
            </w:r>
            <w:r>
              <w:rPr>
                <w:rFonts w:ascii="Arial" w:cs="Arial" w:eastAsia="Arial" w:hAnsi="Arial"/>
                <w:sz w:val="21"/>
                <w:szCs w:val="21"/>
                <w:color w:val="auto"/>
                <w:vertAlign w:val="superscript"/>
              </w:rPr>
              <w:t>(1)</w:t>
            </w: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9,519</w:t>
            </w: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from the sale of business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(42,197)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42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(1,171)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(2,757)</w:t>
            </w:r>
          </w:p>
        </w:tc>
        <w:tc>
          <w:tcPr>
            <w:tcW w:w="8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4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020" w:type="dxa"/>
            <w:vAlign w:val="bottom"/>
            <w:tcBorders>
              <w:top w:val="single" w:sz="8" w:color="auto"/>
              <w:bottom w:val="single" w:sz="8" w:color="auto"/>
            </w:tcBorders>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38,093</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firstLine="8"/>
        <w:spacing w:after="0" w:line="246" w:lineRule="auto"/>
        <w:tabs>
          <w:tab w:leader="none" w:pos="164"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Upon adoption of ASU No. 2020-06, the Company will no longer incur non-cash interest expense for the amortization of debt discount. See Note 1. Basis of Presentation, for details.</w:t>
      </w:r>
    </w:p>
    <w:p>
      <w:pPr>
        <w:spacing w:after="0" w:line="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typically define special charges as items for which the amounts and/or timing of such expenses may vary significantly from period to period, depending upon our acquisition, divestiture,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and gross margin on product revenues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6"/>
                <w:szCs w:val="16"/>
                <w:color w:val="auto"/>
              </w:rPr>
            </w:pPr>
          </w:p>
        </w:tc>
        <w:tc>
          <w:tcPr>
            <w:tcW w:w="31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Segment Net Sales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Codman Specialty Surgical</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256,837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169,778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498,078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401,218</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Tissue Technologies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133,155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88,887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251,985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211,771</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389,992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258,665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750,063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612,989</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151,267</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105,478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297,090</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238,954</w:t>
            </w:r>
          </w:p>
        </w:tc>
        <w:tc>
          <w:tcPr>
            <w:tcW w:w="0" w:type="dxa"/>
            <w:vAlign w:val="bottom"/>
          </w:tcPr>
          <w:p>
            <w:pPr>
              <w:spacing w:after="0"/>
              <w:rPr>
                <w:sz w:val="1"/>
                <w:szCs w:val="1"/>
                <w:color w:val="auto"/>
              </w:rPr>
            </w:pPr>
          </w:p>
        </w:tc>
      </w:tr>
      <w:tr>
        <w:trPr>
          <w:trHeight w:val="23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 on total revenues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238,725</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153,187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452,973</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374,035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margin as a percentage of total revenues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61.2 %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59.2 %</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60.4 %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61.0 %</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right="4480"/>
        <w:spacing w:after="0" w:line="378" w:lineRule="auto"/>
        <w:rPr>
          <w:sz w:val="20"/>
          <w:szCs w:val="20"/>
          <w:color w:val="auto"/>
        </w:rPr>
      </w:pPr>
      <w:r>
        <w:rPr>
          <w:rFonts w:ascii="Arial" w:cs="Arial" w:eastAsia="Arial" w:hAnsi="Arial"/>
          <w:sz w:val="18"/>
          <w:szCs w:val="18"/>
          <w:b w:val="1"/>
          <w:bCs w:val="1"/>
          <w:color w:val="auto"/>
        </w:rPr>
        <w:t>Three Months Ended June 30, 2021 as Compared to Three Months Ended June 30, 2020 Revenues</w:t>
      </w:r>
    </w:p>
    <w:p>
      <w:pPr>
        <w:jc w:val="both"/>
        <w:spacing w:after="0" w:line="273" w:lineRule="auto"/>
        <w:rPr>
          <w:sz w:val="20"/>
          <w:szCs w:val="20"/>
          <w:color w:val="auto"/>
        </w:rPr>
      </w:pPr>
      <w:r>
        <w:rPr>
          <w:rFonts w:ascii="Arial" w:cs="Arial" w:eastAsia="Arial" w:hAnsi="Arial"/>
          <w:sz w:val="17"/>
          <w:szCs w:val="17"/>
          <w:color w:val="auto"/>
        </w:rPr>
        <w:t>For the three months ended June 30, 2021, total revenues increased by $131.3 million to $390.0 million from $258.7 million for the same period in 2020. Domestic revenues increased by $96.3 million, or 53.0%, to $278.2 million and were 71.3% of total revenues for the three months ended June 30, 2021 compared to $181.9 million during the same period in the prior year. International revenues increased by $35.0 million or 45.6% to $111.8 million for the three months ended June 30, 2021 compared to $76.8 million during the same period in the prior year. The increase in revenues globally were primarily as a result of the recovery experienced from the COVID-19 pandemic across all franchises compared to the prior year due to rebound in surgical procedure volumes. Foreign exchange fluctuations had a favorable impact of $6.0 million on revenues for the quarter.</w:t>
      </w:r>
    </w:p>
    <w:p>
      <w:pPr>
        <w:spacing w:after="0" w:line="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Codman Specialty Surgical segment ("CSS"), revenues were $256.8 million which was an increase of $87.1 million, or 51.3% as compared to the prior-year period. The Neurosurgery and Instrument portfolios increased high-double digits as a result of the recovery experienced from the COVID-19 pandemic.</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auto"/>
        </w:rPr>
        <w:t>In the Tissue Technologies ("TT") segment, revenues were $133.2 million which was an increase of $44.3 million, or 49.8% from the prior-year period. The Wound Reconstruction and Private Label portfolios increased high-double digits as a result of the recovery experienced from the COVID-19 pandemic. Additionally, our TT segment revenue reflect the acquisition of ACell Inc. which was completed on January 20, 2021 and the sale of the Company's Extremity Orthopedics product portfolio which occurred on January 4, 2021.</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closely monitor local, regional, and global COVID-19 surges as well as new variants of the virus for an impact on procedures during Q2 2021 and beyond. The reallocation of hospital resources to treat COVID-19 may continue to cause a financial strain on healthcare systems and reduce procedural volumes. Additionally, the Company does not expect all markets and product lines to improve at the same rate based on the level of recurrence of COVID-19 and its associated impact on the pace of procedure recovery and economic normalization.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increased to $238.7 million for the three months ended June 30, 2021, an increase of $85.5 from $153.2 million for the same period in 2020. Gross margin as a percentage of revenues increased to 61.2% for the second quarter of 2021 from 59.2% in the same period last year. This increase was mainly attributable to our strong revenue recovery from the disruption caused by the COVID-19 pandemic during the same period in the prior year, as well as due to favorable U.S. product mix and improved manufacturing utilization.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17"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Three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4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86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2020</w:t>
            </w:r>
          </w:p>
        </w:tc>
      </w:tr>
      <w:tr>
        <w:trPr>
          <w:trHeight w:val="211"/>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r>
      <w:tr>
        <w:trPr>
          <w:trHeight w:val="213"/>
        </w:trPr>
        <w:tc>
          <w:tcPr>
            <w:tcW w:w="864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640" w:type="dxa"/>
            <w:vAlign w:val="bottom"/>
          </w:tcPr>
          <w:p>
            <w:pPr>
              <w:jc w:val="right"/>
              <w:spacing w:after="0"/>
              <w:rPr>
                <w:sz w:val="20"/>
                <w:szCs w:val="20"/>
                <w:color w:val="auto"/>
              </w:rPr>
            </w:pPr>
            <w:r>
              <w:rPr>
                <w:rFonts w:ascii="Arial" w:cs="Arial" w:eastAsia="Arial" w:hAnsi="Arial"/>
                <w:sz w:val="16"/>
                <w:szCs w:val="16"/>
                <w:color w:val="auto"/>
              </w:rPr>
              <w:t>41.7 %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44.9 %</w:t>
            </w:r>
          </w:p>
        </w:tc>
      </w:tr>
      <w:tr>
        <w:trPr>
          <w:trHeight w:val="219"/>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07"/>
        </w:trPr>
        <w:tc>
          <w:tcPr>
            <w:tcW w:w="744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48.0 %</w:t>
            </w:r>
          </w:p>
        </w:tc>
        <w:tc>
          <w:tcPr>
            <w:tcW w:w="10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53.8 %</w:t>
            </w:r>
          </w:p>
        </w:tc>
      </w:tr>
      <w:tr>
        <w:trPr>
          <w:trHeight w:val="23"/>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Total operating expenses, which consist of research and development, selling, general and administrative, and amortization expenses, increased by $47.8 million, or 34.4% to $186.9 million in the three months ended June 30, 2021, compared to $139.1 million in the same period in 2020. The increase in operating expenses compared to the prior year was primarily due to an increase in research and development, selling, general and administrative costs partially offset by a decrease in amortization expense. The Company continues to manage and prioritize it operating costs closely given the continued uncertainty of COVID-19. We also benefited from cost synergies as a result of the ACell Inc. acquisition the sale of the Extremity Orthopedic business.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for the three months ended June 30, 2021 increased by $5.2 million as compared to the same period in the prior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costs increased by $46.4 million as compared to the same period in the prior year driven primarily due to costs associated with higher employee related costs, higher incentive and stock-based compensation, increased variable selling costs, as well as increased outside spending as revenue recovered.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expense (excluding amounts reported in cost of product revenues for technology-based intangible assets) for the three months ended June 30, 2021 was $4.2 million compared to $8.1 million for the same period in prior year primarily due to a reduction in amortization expense associated with intangible assets sold in conjunction with the sale of the Extremity and Orthopedics business during the current year.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Three Months Ended June 30,</w:t>
            </w:r>
          </w:p>
        </w:tc>
      </w:tr>
      <w:tr>
        <w:trPr>
          <w:trHeight w:val="18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r>
      <w:tr>
        <w:trPr>
          <w:trHeight w:val="211"/>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(13,149)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(15,682)</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from the sale of business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r>
      <w:tr>
        <w:trPr>
          <w:trHeight w:val="234"/>
        </w:trPr>
        <w:tc>
          <w:tcPr>
            <w:tcW w:w="7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non-operating income and expense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(12,429)</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the three months ended June 30, 2021 decreased by $0.5 million as compared to the same period last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Interest expense for the three months ended June 30, 2021 decreased by $2.5 million as compared to the same period in the prior year primarily due to the elimination of the non-cash interest expense as the result of the adoption ASU 2020-06 and the expenses associated with Amended and Restated Senior Credit Agreement which occurred in the prior period. </w:t>
      </w:r>
      <w:r>
        <w:rPr>
          <w:rFonts w:ascii="Arial" w:cs="Arial" w:eastAsia="Arial" w:hAnsi="Arial"/>
          <w:sz w:val="14"/>
          <w:szCs w:val="14"/>
          <w:color w:val="auto"/>
        </w:rPr>
        <w:t>See Note 1.</w:t>
      </w:r>
      <w:r>
        <w:rPr>
          <w:rFonts w:ascii="Arial" w:cs="Arial" w:eastAsia="Arial" w:hAnsi="Arial"/>
          <w:sz w:val="16"/>
          <w:szCs w:val="16"/>
          <w:color w:val="auto"/>
        </w:rPr>
        <w:t xml:space="preserve"> </w:t>
      </w:r>
      <w:r>
        <w:rPr>
          <w:rFonts w:ascii="Arial" w:cs="Arial" w:eastAsia="Arial" w:hAnsi="Arial"/>
          <w:sz w:val="14"/>
          <w:szCs w:val="14"/>
          <w:i w:val="1"/>
          <w:iCs w:val="1"/>
          <w:color w:val="auto"/>
        </w:rPr>
        <w:t>Basis of Presentation</w:t>
      </w:r>
      <w:r>
        <w:rPr>
          <w:rFonts w:ascii="Arial" w:cs="Arial" w:eastAsia="Arial" w:hAnsi="Arial"/>
          <w:sz w:val="16"/>
          <w:szCs w:val="16"/>
          <w:color w:val="auto"/>
        </w:rPr>
        <w:t xml:space="preserve"> for details in relation to the adoption of ASU 2020-06.</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Other income, net for the three months ended June 30, 2021 increased by $4.1 million compared to the same period in the prior year primarily due to income associated with the transition services agreement from the divestiture of the Extremity Orthopedics business and and higher income from additional cross currency swaps that were entered into during Q4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941"/>
              <w:spacing w:after="0"/>
              <w:rPr>
                <w:sz w:val="20"/>
                <w:szCs w:val="20"/>
                <w:color w:val="auto"/>
              </w:rPr>
            </w:pPr>
            <w:r>
              <w:rPr>
                <w:rFonts w:ascii="Arial" w:cs="Arial" w:eastAsia="Arial" w:hAnsi="Arial"/>
                <w:sz w:val="14"/>
                <w:szCs w:val="14"/>
                <w:b w:val="1"/>
                <w:bCs w:val="1"/>
                <w:color w:val="auto"/>
              </w:rPr>
              <w:t>Three Months Ended June 30,</w:t>
            </w:r>
          </w:p>
        </w:tc>
      </w:tr>
      <w:tr>
        <w:trPr>
          <w:trHeight w:val="18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4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2020</w:t>
            </w:r>
          </w:p>
        </w:tc>
      </w:tr>
      <w:tr>
        <w:trPr>
          <w:trHeight w:val="211"/>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44,824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ind w:left="880"/>
              <w:spacing w:after="0"/>
              <w:rPr>
                <w:sz w:val="20"/>
                <w:szCs w:val="20"/>
                <w:color w:val="auto"/>
              </w:rPr>
            </w:pPr>
            <w:r>
              <w:rPr>
                <w:rFonts w:ascii="Arial" w:cs="Arial" w:eastAsia="Arial" w:hAnsi="Arial"/>
                <w:sz w:val="16"/>
                <w:szCs w:val="16"/>
                <w:color w:val="auto"/>
              </w:rPr>
              <w:t>1,651</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440" w:type="dxa"/>
            <w:vAlign w:val="bottom"/>
          </w:tcPr>
          <w:p>
            <w:pPr>
              <w:spacing w:after="0"/>
              <w:rPr>
                <w:sz w:val="18"/>
                <w:szCs w:val="18"/>
                <w:color w:val="auto"/>
              </w:rPr>
            </w:pPr>
          </w:p>
        </w:tc>
        <w:tc>
          <w:tcPr>
            <w:tcW w:w="1460" w:type="dxa"/>
            <w:vAlign w:val="bottom"/>
          </w:tcPr>
          <w:p>
            <w:pPr>
              <w:jc w:val="right"/>
              <w:ind w:right="123"/>
              <w:spacing w:after="0"/>
              <w:rPr>
                <w:sz w:val="20"/>
                <w:szCs w:val="20"/>
                <w:color w:val="auto"/>
              </w:rPr>
            </w:pPr>
            <w:r>
              <w:rPr>
                <w:rFonts w:ascii="Arial" w:cs="Arial" w:eastAsia="Arial" w:hAnsi="Arial"/>
                <w:sz w:val="16"/>
                <w:szCs w:val="16"/>
                <w:color w:val="auto"/>
              </w:rPr>
              <w:t>9,756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ind w:left="880"/>
              <w:spacing w:after="0"/>
              <w:rPr>
                <w:sz w:val="20"/>
                <w:szCs w:val="20"/>
                <w:color w:val="auto"/>
              </w:rPr>
            </w:pPr>
            <w:r>
              <w:rPr>
                <w:rFonts w:ascii="Arial" w:cs="Arial" w:eastAsia="Arial" w:hAnsi="Arial"/>
                <w:sz w:val="16"/>
                <w:szCs w:val="16"/>
                <w:color w:val="auto"/>
              </w:rPr>
              <w:t>2,020</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ind w:left="880"/>
              <w:spacing w:after="0"/>
              <w:rPr>
                <w:sz w:val="20"/>
                <w:szCs w:val="20"/>
                <w:color w:val="auto"/>
              </w:rPr>
            </w:pPr>
            <w:r>
              <w:rPr>
                <w:rFonts w:ascii="Arial" w:cs="Arial" w:eastAsia="Arial" w:hAnsi="Arial"/>
                <w:sz w:val="16"/>
                <w:szCs w:val="16"/>
                <w:color w:val="auto"/>
                <w:w w:val="91"/>
              </w:rPr>
              <w:t>122.4 %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three months ended June 30, 2021 and 2020 were 21.8% and 122.4%,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June 30, 2021, the primary driver of the lower tax rate is due to mix of income impacted by the COVID-19 pandemic.</w:t>
      </w:r>
    </w:p>
    <w:p>
      <w:pPr>
        <w:spacing w:after="0" w:line="1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June 30, 2020, the primary drivers of the higher tax rate were lower income impacted by the COVID-19 pandemic, in addition to a $3.4 million valuation allowance on certain foreign deferred tax assets.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A favorable resolution would be recognized as a reduction to our annual effective tax rate in the year of resolution. The Company's tax reserves are presented in the balance sheet within other liabilities, except for amounts relating to items that we expect to pay in the coming year, which would be classified as current income taxes payable.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900"/>
        <w:spacing w:after="0" w:line="377" w:lineRule="auto"/>
        <w:rPr>
          <w:sz w:val="20"/>
          <w:szCs w:val="20"/>
          <w:color w:val="auto"/>
        </w:rPr>
      </w:pPr>
      <w:r>
        <w:rPr>
          <w:rFonts w:ascii="Arial" w:cs="Arial" w:eastAsia="Arial" w:hAnsi="Arial"/>
          <w:sz w:val="18"/>
          <w:szCs w:val="18"/>
          <w:b w:val="1"/>
          <w:bCs w:val="1"/>
          <w:color w:val="auto"/>
        </w:rPr>
        <w:t>Six Months Ended June 30, 2021 as Compared to Six Months Ended June 30, 2020 Revenues and Gross Margin</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2021, total revenues increased by $137.1 million to $750.1 million from $613.0 million for the same period in 2020. Domestic revenues increased by $97.3 million, or 23%, to $526.0 million and were 70% of total revenues for the six months ended June 30, 2021. International revenues increased by $39.8 million, or 22% to $224.1 million for the six months ended June 30, 2021 compared to $184.3 million during the same period in the prior year. The net increase of $137.1 million was a result of the recovery experienced from the COVID-19 pandemic across all franchises compared to the prior year due to rebound in surgical procedure volumes. Foreign exchange fluctuations had a favorable impact of $11.9 million on revenues for the year.</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Codman Specialty Surgical revenues were $498.1 million, an increase of $96.9 million, or 24.1% from the prior-year period. The Neurosurgery and Instrument portfolios increased high-double digits as a result of the recovery experienced from the COVID-19 pandemic.</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Tissue Technologies revenues were $252.0 million, an increase of $40.2 million, or 19.0% from the prior-year period. The Wound Reconstruction and Private Label portfolios increased high-double digits as a result of the recovery experienced from the COVID-19 pandemic. Additionally, our TT segment revenue reflect the acquisition of ACell Inc. which was completed on January 20, 2021 and the sale of the Company's Extremity Orthopedics product portfolio which occurred on January 4,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was $453.0 million for the six-month period ended June 30, 2021, an increase of $78.9 million from $374.0 million for the same period last year. Gross margin as a percentage of total revenue decreased to 60.4% for the six months ended June 30, 2021 from 61.0% in the same period last year. The decrease in gross margin percentage was due to increased amortization associated with technology-based intangible assets and inventory step-up amortization in connection with the ACell Inc. acquisition.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17"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Six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4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86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2020</w:t>
            </w:r>
          </w:p>
        </w:tc>
      </w:tr>
      <w:tr>
        <w:trPr>
          <w:trHeight w:val="211"/>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r>
      <w:tr>
        <w:trPr>
          <w:trHeight w:val="213"/>
        </w:trPr>
        <w:tc>
          <w:tcPr>
            <w:tcW w:w="864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640" w:type="dxa"/>
            <w:vAlign w:val="bottom"/>
          </w:tcPr>
          <w:p>
            <w:pPr>
              <w:jc w:val="right"/>
              <w:spacing w:after="0"/>
              <w:rPr>
                <w:sz w:val="20"/>
                <w:szCs w:val="20"/>
                <w:color w:val="auto"/>
              </w:rPr>
            </w:pPr>
            <w:r>
              <w:rPr>
                <w:rFonts w:ascii="Arial" w:cs="Arial" w:eastAsia="Arial" w:hAnsi="Arial"/>
                <w:sz w:val="16"/>
                <w:szCs w:val="16"/>
                <w:color w:val="auto"/>
              </w:rPr>
              <w:t>42.6 %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46.0 %</w:t>
            </w:r>
          </w:p>
        </w:tc>
      </w:tr>
      <w:tr>
        <w:trPr>
          <w:trHeight w:val="219"/>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06"/>
        </w:trPr>
        <w:tc>
          <w:tcPr>
            <w:tcW w:w="744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49.5 %</w:t>
            </w:r>
          </w:p>
        </w:tc>
        <w:tc>
          <w:tcPr>
            <w:tcW w:w="10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54.3 %</w:t>
            </w:r>
          </w:p>
        </w:tc>
      </w:tr>
      <w:tr>
        <w:trPr>
          <w:trHeight w:val="24"/>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operating expenses, which consist of selling, general and administrative expenses, research and development expenses, IPR&amp;D expense and amortization expenses, increased by $37.6 million, or 11.3% to $370.4 million in the six months ended June 30, 2021, compared to $332.9 million in the same period in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costs increased by $37.1 million as compared to the same period in the prior year driven primarily due to costs associated with higher employee related costs, higher incentive and stock-based compensation, increased variable selling costs, as well as increased outside spending as revenue recovered.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(excluding amounts reported in cost of product revenues for technology-based intangible assets) for the six months ended June 30, 2021 was $8.7 million compared to $15.1 million for the same period in prior year primarily due to a reduction in amortization expense associated with intangible assets sold in conjunction with the sale of the Extremity and Orthopedics business during the current year and accelerated amortization expense associated with an intangible asset recorded in the prior year.</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total annual amortization expense to be approximately $40.6 million for the remainder of 2021, $79.1 million in 2022, $78.4 million in 2023, $77.7 million in 2024, $77.7 million in 2025, $77.5 million in 2026 and $585.7 million thereafter.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921"/>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756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420" w:type="dxa"/>
            <w:vAlign w:val="bottom"/>
          </w:tcPr>
          <w:p>
            <w:pPr>
              <w:spacing w:after="0"/>
              <w:rPr>
                <w:sz w:val="16"/>
                <w:szCs w:val="16"/>
                <w:color w:val="auto"/>
              </w:rPr>
            </w:pPr>
          </w:p>
        </w:tc>
        <w:tc>
          <w:tcPr>
            <w:tcW w:w="1360" w:type="dxa"/>
            <w:vAlign w:val="bottom"/>
          </w:tcPr>
          <w:p>
            <w:pPr>
              <w:jc w:val="right"/>
              <w:ind w:right="6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ind w:right="681"/>
              <w:spacing w:after="0"/>
              <w:rPr>
                <w:sz w:val="20"/>
                <w:szCs w:val="20"/>
                <w:color w:val="auto"/>
              </w:rPr>
            </w:pPr>
            <w:r>
              <w:rPr>
                <w:rFonts w:ascii="Arial" w:cs="Arial" w:eastAsia="Arial" w:hAnsi="Arial"/>
                <w:sz w:val="14"/>
                <w:szCs w:val="14"/>
                <w:b w:val="1"/>
                <w:bCs w:val="1"/>
                <w:color w:val="auto"/>
              </w:rPr>
              <w:t>2020</w:t>
            </w:r>
          </w:p>
        </w:tc>
      </w:tr>
      <w:tr>
        <w:trPr>
          <w:trHeight w:val="217"/>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(26,078)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(33,434)</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from the sale of business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r>
      <w:tr>
        <w:trPr>
          <w:trHeight w:val="234"/>
        </w:trPr>
        <w:tc>
          <w:tcPr>
            <w:tcW w:w="7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non-operating income and expense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29,534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(28,090)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for the six months ended June 30, 2021 decreased by $1.3 million as compared to the same period last year primarily due to the settlement of cross-currency swaps designated as net investment hedges during Q4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Interest expense for the six months ended June 30, 2021 decreased by $7.4 million as compared to the same period last year primarily due to the elimination of the non-cash interest expense as the result of the adoption ASU 2020-06 and the expenses associated with Amended and Restated Senior Credit Agreement which occurred in the prior period. </w:t>
      </w:r>
      <w:r>
        <w:rPr>
          <w:rFonts w:ascii="Arial" w:cs="Arial" w:eastAsia="Arial" w:hAnsi="Arial"/>
          <w:sz w:val="15"/>
          <w:szCs w:val="15"/>
          <w:color w:val="auto"/>
        </w:rPr>
        <w:t>See Note 1.</w:t>
      </w:r>
      <w:r>
        <w:rPr>
          <w:rFonts w:ascii="Arial" w:cs="Arial" w:eastAsia="Arial" w:hAnsi="Arial"/>
          <w:sz w:val="17"/>
          <w:szCs w:val="17"/>
          <w:color w:val="auto"/>
        </w:rPr>
        <w:t xml:space="preserve"> </w:t>
      </w:r>
      <w:r>
        <w:rPr>
          <w:rFonts w:ascii="Arial" w:cs="Arial" w:eastAsia="Arial" w:hAnsi="Arial"/>
          <w:sz w:val="15"/>
          <w:szCs w:val="15"/>
          <w:i w:val="1"/>
          <w:iCs w:val="1"/>
          <w:color w:val="auto"/>
        </w:rPr>
        <w:t>Basis of Presentation</w:t>
      </w:r>
      <w:r>
        <w:rPr>
          <w:rFonts w:ascii="Arial" w:cs="Arial" w:eastAsia="Arial" w:hAnsi="Arial"/>
          <w:sz w:val="17"/>
          <w:szCs w:val="17"/>
          <w:color w:val="auto"/>
        </w:rPr>
        <w:t xml:space="preserve"> for details in relation to the adoption of ASU 2020-06.</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from the sale of business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4, 2021, the Company completed its sale of its Extremity Orthopedics business and recognized a gain of $42.2 million in the first quarter of the current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for the six months ended June 30, 2021, increased by $9.4 million primarily due to income associated with the transition services agreement with Smith and Nephew and higher income from additional cross currency swaps that were entered into during Q4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Borders>
              <w:bottom w:val="single" w:sz="8" w:color="auto"/>
            </w:tcBorders>
          </w:tcPr>
          <w:p>
            <w:pPr>
              <w:spacing w:after="0"/>
              <w:rPr>
                <w:sz w:val="16"/>
                <w:szCs w:val="16"/>
                <w:color w:val="auto"/>
              </w:rPr>
            </w:pPr>
          </w:p>
        </w:tc>
      </w:tr>
      <w:tr>
        <w:trPr>
          <w:trHeight w:val="188"/>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w w:val="89"/>
              </w:rPr>
              <w:t>2020</w:t>
            </w:r>
          </w:p>
        </w:tc>
      </w:tr>
      <w:tr>
        <w:trPr>
          <w:trHeight w:val="211"/>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112,102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13,093</w:t>
            </w: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460" w:type="dxa"/>
            <w:vAlign w:val="bottom"/>
          </w:tcPr>
          <w:p>
            <w:pPr>
              <w:spacing w:after="0"/>
              <w:rPr>
                <w:sz w:val="18"/>
                <w:szCs w:val="18"/>
                <w:color w:val="auto"/>
              </w:rPr>
            </w:pPr>
          </w:p>
        </w:tc>
        <w:tc>
          <w:tcPr>
            <w:tcW w:w="1440" w:type="dxa"/>
            <w:vAlign w:val="bottom"/>
          </w:tcPr>
          <w:p>
            <w:pPr>
              <w:jc w:val="right"/>
              <w:ind w:right="123"/>
              <w:spacing w:after="0"/>
              <w:rPr>
                <w:sz w:val="20"/>
                <w:szCs w:val="20"/>
                <w:color w:val="auto"/>
              </w:rPr>
            </w:pPr>
            <w:r>
              <w:rPr>
                <w:rFonts w:ascii="Arial" w:cs="Arial" w:eastAsia="Arial" w:hAnsi="Arial"/>
                <w:sz w:val="16"/>
                <w:szCs w:val="16"/>
                <w:color w:val="auto"/>
              </w:rPr>
              <w:t>31,640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4,282</w:t>
            </w: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32.7 %</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six months ended June 30, 2021 and 2020 were 28.2% and 32.7%, respectively.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six months ended June 30, 2021, the primary drivers of the lower tax rate was mix of income in lower-taxed jurisdictions, offset by the tax impact of the gain on sale of its Extremity Orthopedics business which was completed during the first quarter of 2021. For the six months ended June 30, 2020, the primary drivers of the higher tax rate were lower book income in lower-taxed jurisdictions and a $3.4 million valuation allowance on certain foreign deferred tax assets, as the Company determined that it is no longer more likely than not that these foreign deferred tax assets would be realized due to the adverse impact of the COVID-19 pandemic in certain jurisdictions.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its effective income tax rate for the full year to be approximately 24.8%, driven primarily by the jurisdictional mix of income and the tax impact of the gain from the sale of its Extremity Orthopedic business, which closed during the first quarter.</w:t>
      </w:r>
    </w:p>
    <w:p>
      <w:pPr>
        <w:spacing w:after="0" w:line="6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we expect to pay in the coming year, which would be classified as current income taxes payable.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2020</w:t>
            </w:r>
          </w:p>
        </w:tc>
      </w:tr>
      <w:tr>
        <w:trPr>
          <w:trHeight w:val="211"/>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278,186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181,850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525,979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428,702</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Europe</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48,437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32,026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94,256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77,922</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73,461</w:t>
            </w:r>
          </w:p>
        </w:tc>
      </w:tr>
      <w:tr>
        <w:trPr>
          <w:trHeight w:val="21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 of World</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11,288</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32,904</w:t>
            </w:r>
          </w:p>
        </w:tc>
      </w:tr>
      <w:tr>
        <w:trPr>
          <w:trHeight w:val="23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389,992</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258,665</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750,063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612,989</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generates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the Company's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Domestic revenues increased by $96.3 million for the three months ended June 30, 2021 compared to the same period last year. European sales increased by $16.4 million for the three months ended June 30, 2021 compared to the same period last year. Sales to customers in Asia Pacific increased by $10.8 million for the three months ended June 30, 2021. The Rest of the World for the three months ended June 30, 2021 increased by $7.8 million compared to the same period last year. The increase in revenues globally were primarily as a result of the recovery experienced from the COVID-19 pandemic across all franchises compared to the prior year due to rebound in surgical procedure volumes.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Domestic revenues increased by $97.3 million for the six months ended June 30, 2021 compared to the same period last year. European sales increased by $16.3 million for the six months ended June 30, 2021 compared to the same period last year. Sales to customers in Asia Pacific increased by $18.1 million for the six months ended June 30, 2021. The Rest of the World for the six months ended June 30, 2021 increased by $5.3 million compared to the same period last year. The increase in revenues globally were primarily as a result of the recovery experienced from the COVID-19 pandemic across all franchises compared to the prior year due to rebound in surgical procedure volumes.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working capital as of June 30, 2021 and December 31, 2020 was $713.6 million and $836.2 million, respectively. Working capital consists of total current assets less total current liabilities as presented in the consolidated balance sheets.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had cash and cash equivalents totaling approximately $397.4 million and $470.2 million at June 30, 2021 and December 31, 2020 respectively, which are valued based on Level 1 measurements in the fair value hierarchy. At June 30, 2021, our non-U.S. subsidiaries held approximately $290.8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 The Company does not anticipate the need to repatriate earnings from foreign subsidiaries as a result of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921"/>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r>
      <w:tr>
        <w:trPr>
          <w:trHeight w:val="211"/>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160,371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53,931</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(125,483)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(25,434)</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provided by financing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133,452</w:t>
            </w:r>
          </w:p>
        </w:tc>
      </w:tr>
      <w:tr>
        <w:trPr>
          <w:trHeight w:val="210"/>
        </w:trPr>
        <w:tc>
          <w:tcPr>
            <w:tcW w:w="7560" w:type="dxa"/>
            <w:vAlign w:val="bottom"/>
          </w:tcPr>
          <w:p>
            <w:pPr>
              <w:ind w:left="20"/>
              <w:spacing w:after="0"/>
              <w:rPr>
                <w:sz w:val="20"/>
                <w:szCs w:val="20"/>
                <w:color w:val="auto"/>
              </w:rPr>
            </w:pPr>
            <w:r>
              <w:rPr>
                <w:rFonts w:ascii="Arial" w:cs="Arial" w:eastAsia="Arial" w:hAnsi="Arial"/>
                <w:sz w:val="16"/>
                <w:szCs w:val="16"/>
                <w:color w:val="auto"/>
              </w:rPr>
              <w:t>Effect of exchange rate fluctuations on cash</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cash flows for the six months ended June 30, 2021 increased by $106.4 million compared to the same period in 2020. Net income after removing the impact of the gain on sale of business and non-cash adjustments increased for the six months ended June 30, 2021 by approximately $32.9 million as compared to the same period in 2020 primarily due to the revenue recovery in the current year as compared to the height of the COVID-19 pandemic in the first half of the 2020. The changes in assets and liabilities, net of business acquisitions, increased cash flows by $37.5 million as compared to the decrease of $36.1 million for the same period in 2020. The increase in 2021 is attributable to a reduction in inventories mainly driven by higher revenues in the first half of 2021, an increase in accounts payables, accrued expenses and other current liabilities partially offset by an increase in accounts receivable due to continued collection efforts.</w:t>
      </w:r>
    </w:p>
    <w:p>
      <w:pPr>
        <w:spacing w:after="0" w:line="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cash flows for the six months ended June 30, 2020 decreased compared to the same period in 2019. Net income after non-cash adjustments decreased for the six months ended June 30, 2020 by approximately $37.7 million compared to the same period in 2019 primarily due to adverse effects of the COVID-19 pandemic. The changes in assets and liabilities, net of business acquisitions, decreased cash flows from operating activities by $36.1 million for the six months ended June 30, 2020 compared to a decrease of $49.8 million for the same period in 2019. The decrease in 2020 is attributable to an increase in inventory to ensure an adequate safety stock of select products as surgical procedures continue to recover from levels experienced in the second quarter. In addition, decreases were also driven by reduced payables offset by decreases in accounts receivable due to lower revenue and continued collection efforts.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June 30, 2021, we paid a net cash amount of $303.9 million in relation to the acquisition of ACell Inc. and received net proceeds of $191.7 million for the sale of the Extremity Orthopedics business. The Company also paid for $13.3 million capital expenditures to support operations improvement initiatives at a number of our manufacturing facilities and other information technology investments.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the Company paid $23.7 million for capital expenditures, most of which were directed to our facilities located in Mansfield, MA, Boston, MA, Memphis, TN, and Princeton, NJ.</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Uses of cash from financing activities in the six months ended June 30, 2021 were repayments of $102.2 million under our Senior Credit Facility and Securitization Facility. In addition, the Company had $3.8 million in cash taxes paid in net equity settlement. These uses were offset by $3.6 million proceeds from the exercise of stock options and $2.2 million borrowings under our Securitization Facility.</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Sources of cash from financing activities in the six months ended June 30, 2020 were $515.3 million proceeds from the issuance of Convertible Senior Notes including the call and warrant transactions, $127.7 million borrowing under our Senior Credit Facility and Securitization Facility. These were offset by repayments of $388.5 million on the revolving portion of our Senior Credit Facility and Securitization Facility, $20.3 million debt issuance costs related to the Amended and Restated Senior Credit Agreement and the issuance of Convertible Senior Notes and $100.0 million purchases of treasury stock.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Convertible Senior Notes, Securitization and Related Hedging Activities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current period’s condensed consolidated financial statements for a discussion of our Amended and Restated Senior Credit Agreement, Convertible Senior Notes and Securitization Facility and Note 7,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discussion of our hedging activities. We are forecasting that for the next twelve months, sales and earnings will be sufficient to remain in compliance with our financial covenants under the terms of the February 2020 Amendment and July 2020 Amendment to the Senior Credit Facility.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7, 2020, the Board of Directors authorized the Company to repurchase up to $225 million of the Company’s common stock. The program allows the Company to repurchase its shares opportunistically from time to time. The repurchase authorization expires in December 2022. The Company has $225 million remaining under the share repurchase of its Common Stock.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2020, the Company repurchased 2.1 million shares of Integra’s common stock as a part of our previous share repurchase authorization. The Company utilized $100.0 million of net proceeds from the offering of the Convertible Senior Notes to execute the share repurchase transactions. This included $7.6 million from certain purchasers of the convertible notes in conjunction with the closing of the offering. On February 5, 2020, the Company entered into a $92.4 million accelerated share repurchase ("ASR") to complete the remaining $100.0 million of share repurchase. The Company received 1.3 million shares through the ASR, which represented approximately 80% of the expected total shares. Upon settlement of the ASR in June 2020, the Company received an additional 0.6 million shares determined using the volume-weighted average price of the Company's common stock during the term of the transaction.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paid any cash dividends on our common stock since our formation. Our Senior Credit Facility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have any off–balance sheet financing arrangements during the six months ended June 30, 2021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Company is obligated to pay the following amounts under various agreements: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Payments Due by Calendar Year</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8"/>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millions</w:t>
            </w:r>
          </w:p>
        </w:tc>
        <w:tc>
          <w:tcPr>
            <w:tcW w:w="3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7"/>
              </w:rPr>
              <w:t>Remaining 2021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2022-2023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2024-2025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Thereafter</w:t>
            </w:r>
          </w:p>
        </w:tc>
      </w:tr>
      <w:tr>
        <w:trPr>
          <w:trHeight w:val="211"/>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Revolving Credit Facility (1)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Term Loan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Securitization Facility (1)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Convertible Debt (4)</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Employment Agreements (3)</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Purchase Obligations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760" w:type="dxa"/>
            <w:vAlign w:val="bottom"/>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1,469.4</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w:t>
            </w:r>
          </w:p>
        </w:tc>
      </w:tr>
      <w:tr>
        <w:trPr>
          <w:trHeight w:val="21"/>
        </w:trPr>
        <w:tc>
          <w:tcPr>
            <w:tcW w:w="3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firstLine="8"/>
        <w:spacing w:after="0" w:line="246" w:lineRule="auto"/>
        <w:tabs>
          <w:tab w:leader="none" w:pos="163"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The Company may borrow and make payments against the revolving credit portion of its Senior Credit Facility and Securitization Facility from time to time and considers all of the outstanding amounts to be long term based on its current intent and ability to repay the borrowing outside of the next twelve-month period.</w:t>
      </w:r>
    </w:p>
    <w:p>
      <w:pPr>
        <w:spacing w:after="0" w:line="58" w:lineRule="exact"/>
        <w:rPr>
          <w:rFonts w:ascii="Arial" w:cs="Arial" w:eastAsia="Arial" w:hAnsi="Arial"/>
          <w:sz w:val="19"/>
          <w:szCs w:val="19"/>
          <w:color w:val="auto"/>
          <w:vertAlign w:val="superscript"/>
        </w:rPr>
      </w:pPr>
    </w:p>
    <w:p>
      <w:pPr>
        <w:ind w:firstLine="8"/>
        <w:spacing w:after="0" w:line="235" w:lineRule="auto"/>
        <w:tabs>
          <w:tab w:leader="none" w:pos="175"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Interest is calculated on the term loan portion of the Senior Credit Facility based on LIBOR plus the spread paid by the Company. As the revolving credit facility and Securitization Facility can be repaid at any time, no interest has been included in the calculation.</w:t>
      </w:r>
    </w:p>
    <w:p>
      <w:pPr>
        <w:spacing w:after="0" w:line="43"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Amounts shown under Employment Agreements do not include compensation resulting from a change in control.</w:t>
      </w:r>
    </w:p>
    <w:p>
      <w:pPr>
        <w:spacing w:after="0" w:line="77" w:lineRule="exact"/>
        <w:rPr>
          <w:rFonts w:ascii="Arial" w:cs="Arial" w:eastAsia="Arial" w:hAnsi="Arial"/>
          <w:sz w:val="21"/>
          <w:szCs w:val="21"/>
          <w:color w:val="auto"/>
          <w:vertAlign w:val="superscript"/>
        </w:rPr>
      </w:pPr>
    </w:p>
    <w:p>
      <w:pPr>
        <w:jc w:val="both"/>
        <w:ind w:right="20" w:firstLine="8"/>
        <w:spacing w:after="0" w:line="245" w:lineRule="auto"/>
        <w:tabs>
          <w:tab w:leader="none" w:pos="174"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 xml:space="preserve">On February 4, 2020, the Company issued $575.0 million aggregate principal amount of its of 0.5% Convertible Senior Notes due 2025 (the "2025 Notes"). The 2025 Notes will mature on August 15, 2025 and bear interest at a rate of 0.5% per annum payable semi-annually in arrears, unless earlier converted, repurchased or redeemed in accordance with the terms of the Notes. See Note 6, </w:t>
      </w:r>
      <w:r>
        <w:rPr>
          <w:rFonts w:ascii="Arial" w:cs="Arial" w:eastAsia="Arial" w:hAnsi="Arial"/>
          <w:sz w:val="15"/>
          <w:szCs w:val="15"/>
          <w:i w:val="1"/>
          <w:iCs w:val="1"/>
          <w:color w:val="auto"/>
        </w:rPr>
        <w:t>Debt</w:t>
      </w:r>
      <w:r>
        <w:rPr>
          <w:rFonts w:ascii="Arial" w:cs="Arial" w:eastAsia="Arial" w:hAnsi="Arial"/>
          <w:sz w:val="15"/>
          <w:szCs w:val="15"/>
          <w:color w:val="auto"/>
        </w:rPr>
        <w:t>, for the details on the 2025 Notes.</w:t>
      </w:r>
    </w:p>
    <w:p>
      <w:pPr>
        <w:spacing w:after="0" w:line="15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has excluded its contingent consideration obligation related to prior and current year acquisitions from the contractual obligations table above; this liability had a total estimated fair value of $38.5 million at June 30, 2021. This liability has been excluded because the amount to be paid or the potential payment date is not fixed.</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has excluded its future pension contribution obligations from the table above. This has been excluded because the future amounts to be paid and the potential payment dates are not fixed.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excluded the liability for uncertain tax benefits from the contractual obligations table above, including interest and penalties, totaling</w:t>
      </w:r>
    </w:p>
    <w:p>
      <w:pPr>
        <w:spacing w:after="0" w:line="4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$0.8 million at June 30, 2021. This liability for uncertain tax benefits has been excluded because we cannot make a reliable estimate of the period in which the uncertain tax benefits may be realized.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critical accounting estimates included in the Company's Annual Report on Form 10-K for the fiscal year ended December 31, 2020 have not materially changed.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1 </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("EUR"), British pounds ("GBP"), Swiss francs ("CHF"),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7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7,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for further information.</w:t>
      </w:r>
    </w:p>
    <w:p>
      <w:pPr>
        <w:spacing w:after="0" w:line="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points movement in interest rates applicable to our cash and cash equivalents outstanding at June 30, 2021 would increase interest income by approximately $4.0 million on an annual basis. No significant decrease in interest income would be expected as our cash balances are earning interest at rates of approximately one basis point. We are subject to foreign currency exchange risk with respect to cash balances maintained in foreign currencies.</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Debt</w:t>
      </w:r>
      <w:r>
        <w:rPr>
          <w:rFonts w:ascii="Arial" w:cs="Arial" w:eastAsia="Arial" w:hAnsi="Arial"/>
          <w:sz w:val="17"/>
          <w:szCs w:val="17"/>
          <w:i w:val="1"/>
          <w:iCs w:val="1"/>
          <w:color w:val="auto"/>
        </w:rPr>
        <w:t xml:space="preserve"> </w:t>
      </w:r>
      <w:r>
        <w:rPr>
          <w:rFonts w:ascii="Arial" w:cs="Arial" w:eastAsia="Arial" w:hAnsi="Arial"/>
          <w:sz w:val="17"/>
          <w:szCs w:val="17"/>
          <w:color w:val="auto"/>
        </w:rPr>
        <w:t>- Our interest rate risk relates primarily to U.S. dollar LIBOR-indexed borrowings. We use interest rate swap derivative instruments to manage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earnings and cash flow exposure to changes in interest rates. These interest rate swaps fix the interest rate on a portion of our expected LIBOR-indexed floating-rate borrowings. These interest rate swaps were designated as cash flow hedges as of March 31, 2021. The total notional amounts related to the Company’s interest rate swaps were $1.8 billion with $875.0 million effective as of June 30, 2021. Based on our outstanding borrowings at June 30, 2021, a 100 basis points change in interest rates would have impacted interest expense on the unhedged portion of the debt by $1.1 million on an annualized basis.See Note 7, </w:t>
      </w:r>
      <w:r>
        <w:rPr>
          <w:rFonts w:ascii="Arial" w:cs="Arial" w:eastAsia="Arial" w:hAnsi="Arial"/>
          <w:sz w:val="17"/>
          <w:szCs w:val="17"/>
          <w:i w:val="1"/>
          <w:iCs w:val="1"/>
          <w:color w:val="auto"/>
        </w:rPr>
        <w:t>Derivative Instruments</w:t>
      </w:r>
      <w:r>
        <w:rPr>
          <w:rFonts w:ascii="Arial" w:cs="Arial" w:eastAsia="Arial" w:hAnsi="Arial"/>
          <w:sz w:val="17"/>
          <w:szCs w:val="17"/>
          <w:color w:val="auto"/>
        </w:rPr>
        <w:t>, for the details of interest rate swaps.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maintains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the Company has carried out an evaluation, under the supervision and with the participation of our management, including our principal executive officer and principal financial officer, of the effectiveness of the design and operation of our disclosure controls and procedures as of June 30, 2021. Based upon this evaluation, our principal executive officer and principal financial officer concluded that our disclosure controls and procedures were effective as of June 30, 2021 to provide such reasonable assurance.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June 30, 2021 that have materially affected, or are reasonably likely to materially affect, our internal control over financial reporting.</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response to business integration activities, the Company has and will continue to further align and streamline the design and operation of the financial control environment to be responsive to the changing business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pertaining to legal proceedings can be found in Note 16. </w:t>
      </w:r>
      <w:r>
        <w:rPr>
          <w:rFonts w:ascii="Arial" w:cs="Arial" w:eastAsia="Arial" w:hAnsi="Arial"/>
          <w:sz w:val="18"/>
          <w:szCs w:val="18"/>
          <w:i w:val="1"/>
          <w:iCs w:val="1"/>
          <w:color w:val="auto"/>
        </w:rPr>
        <w:t>Commitment and Contingencies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jc w:val="both"/>
        <w:ind w:right="260"/>
        <w:spacing w:after="0" w:line="307" w:lineRule="auto"/>
        <w:rPr>
          <w:sz w:val="20"/>
          <w:szCs w:val="20"/>
          <w:color w:val="auto"/>
        </w:rPr>
      </w:pPr>
      <w:r>
        <w:rPr>
          <w:rFonts w:ascii="Arial" w:cs="Arial" w:eastAsia="Arial" w:hAnsi="Arial"/>
          <w:sz w:val="16"/>
          <w:szCs w:val="16"/>
          <w:color w:val="212529"/>
        </w:rPr>
        <w:t xml:space="preserve">There have been no material changes in the Company's risk factors included in our Annual Report on Form 10-K for the fiscal year ended December 31, 2020 </w:t>
      </w:r>
      <w:r>
        <w:rPr>
          <w:rFonts w:ascii="Arial" w:cs="Arial" w:eastAsia="Arial" w:hAnsi="Arial"/>
          <w:sz w:val="16"/>
          <w:szCs w:val="16"/>
          <w:color w:val="000000"/>
        </w:rPr>
        <w:t>and subsequent periodic reports filed with the Securities and Exchange Commission pursuant to the Securities Exchange Act of 1934, as amended.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pertaining to our common stock under the repurchase program can be found in Note 11. </w:t>
      </w:r>
      <w:r>
        <w:rPr>
          <w:rFonts w:ascii="Arial" w:cs="Arial" w:eastAsia="Arial" w:hAnsi="Arial"/>
          <w:sz w:val="18"/>
          <w:szCs w:val="18"/>
          <w:i w:val="1"/>
          <w:iCs w:val="1"/>
          <w:color w:val="auto"/>
        </w:rPr>
        <w:t>Treasury Stock</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2"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Reference is hereby made to the Exhibit Index on page </w:t>
      </w:r>
      <w:hyperlink w:anchor="page48">
        <w:r>
          <w:rPr>
            <w:rFonts w:ascii="Arial" w:cs="Arial" w:eastAsia="Arial" w:hAnsi="Arial"/>
            <w:sz w:val="18"/>
            <w:szCs w:val="18"/>
            <w:color w:val="auto"/>
          </w:rPr>
          <w:t>49.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49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120"/>
              <w:spacing w:after="0"/>
              <w:rPr>
                <w:sz w:val="20"/>
                <w:szCs w:val="20"/>
                <w:color w:val="auto"/>
              </w:rPr>
            </w:pPr>
            <w:r>
              <w:rPr>
                <w:rFonts w:ascii="Arial" w:cs="Arial" w:eastAsia="Arial" w:hAnsi="Arial"/>
                <w:sz w:val="18"/>
                <w:szCs w:val="18"/>
                <w:color w:val="auto"/>
              </w:rPr>
              <w:t>July 29, 2021</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J. Arduini</w:t>
            </w:r>
          </w:p>
        </w:tc>
      </w:tr>
      <w:tr>
        <w:trPr>
          <w:trHeight w:val="222"/>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Peter J. Arduini</w:t>
            </w:r>
          </w:p>
        </w:tc>
      </w:tr>
      <w:tr>
        <w:trPr>
          <w:trHeight w:val="229"/>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120"/>
              <w:spacing w:after="0"/>
              <w:rPr>
                <w:sz w:val="20"/>
                <w:szCs w:val="20"/>
                <w:color w:val="auto"/>
              </w:rPr>
            </w:pPr>
            <w:r>
              <w:rPr>
                <w:rFonts w:ascii="Arial" w:cs="Arial" w:eastAsia="Arial" w:hAnsi="Arial"/>
                <w:sz w:val="18"/>
                <w:szCs w:val="18"/>
                <w:color w:val="auto"/>
              </w:rPr>
              <w:t>July 29, 2021</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Carrie L. Anderson</w:t>
            </w:r>
          </w:p>
        </w:tc>
      </w:tr>
      <w:tr>
        <w:trPr>
          <w:trHeight w:val="222"/>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Carrie L. Anderson</w:t>
            </w:r>
          </w:p>
        </w:tc>
      </w:tr>
      <w:tr>
        <w:trPr>
          <w:trHeight w:val="230"/>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9"/>
              </w:rPr>
              <w:t>Executive Vice President, Chief Financial Officer, and Treasurer</w:t>
            </w:r>
          </w:p>
        </w:tc>
      </w:tr>
      <w:tr>
        <w:trPr>
          <w:trHeight w:val="230"/>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9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120"/>
              <w:spacing w:after="0"/>
              <w:rPr>
                <w:sz w:val="20"/>
                <w:szCs w:val="20"/>
                <w:color w:val="auto"/>
              </w:rPr>
            </w:pPr>
            <w:r>
              <w:rPr>
                <w:rFonts w:ascii="Arial" w:cs="Arial" w:eastAsia="Arial" w:hAnsi="Arial"/>
                <w:sz w:val="18"/>
                <w:szCs w:val="18"/>
                <w:color w:val="auto"/>
              </w:rPr>
              <w:t>July 29, 2021</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Mosebrook</w:t>
            </w:r>
          </w:p>
        </w:tc>
      </w:tr>
      <w:tr>
        <w:trPr>
          <w:trHeight w:val="222"/>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Jeffrey A. Mosebrook</w:t>
            </w:r>
          </w:p>
        </w:tc>
      </w:tr>
      <w:tr>
        <w:trPr>
          <w:trHeight w:val="229"/>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Senior Vice President, Finance</w:t>
            </w:r>
          </w:p>
        </w:tc>
      </w:tr>
      <w:tr>
        <w:trPr>
          <w:trHeight w:val="230"/>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rPr>
              <w:t>Exhibits</w:t>
            </w:r>
          </w:p>
        </w:tc>
        <w:tc>
          <w:tcPr>
            <w:tcW w:w="47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18"/>
                <w:szCs w:val="18"/>
                <w:color w:val="auto"/>
              </w:rPr>
            </w:pPr>
          </w:p>
        </w:tc>
        <w:tc>
          <w:tcPr>
            <w:tcW w:w="9600" w:type="dxa"/>
            <w:vAlign w:val="bottom"/>
            <w:gridSpan w:val="12"/>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Amendment No. 3 to Receivables Financing Agreement and Reaffirmation of Performance Guaranty, dated as of May 28, 2021, by</w:t>
              </w:r>
            </w:hyperlink>
          </w:p>
        </w:tc>
      </w:tr>
      <w:tr>
        <w:trPr>
          <w:trHeight w:val="156"/>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60" w:type="dxa"/>
            <w:vAlign w:val="bottom"/>
            <w:tcBorders>
              <w:top w:val="single" w:sz="8" w:color="0000FF"/>
            </w:tcBorders>
            <w:gridSpan w:val="9"/>
          </w:tcPr>
          <w:p>
            <w:pPr>
              <w:spacing w:after="0" w:line="156" w:lineRule="exact"/>
              <w:rPr>
                <w:rFonts w:ascii="Arial" w:cs="Arial" w:eastAsia="Arial" w:hAnsi="Arial"/>
                <w:sz w:val="18"/>
                <w:szCs w:val="18"/>
                <w:color w:val="0000FF"/>
                <w:w w:val="97"/>
              </w:rPr>
            </w:pPr>
            <w:hyperlink w:anchor="page50">
              <w:r>
                <w:rPr>
                  <w:rFonts w:ascii="Arial" w:cs="Arial" w:eastAsia="Arial" w:hAnsi="Arial"/>
                  <w:sz w:val="18"/>
                  <w:szCs w:val="18"/>
                  <w:color w:val="0000FF"/>
                  <w:w w:val="97"/>
                </w:rPr>
                <w:t>and among, Integra Receivables LLC, Integra LifeSciences Sales LLC, as Servicer, PNC Bank, National Associations, as</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720" w:type="dxa"/>
            <w:vAlign w:val="bottom"/>
            <w:tcBorders>
              <w:top w:val="single" w:sz="8" w:color="0000FF"/>
            </w:tcBorders>
            <w:gridSpan w:val="5"/>
          </w:tcPr>
          <w:p>
            <w:pPr>
              <w:spacing w:after="0" w:line="156" w:lineRule="exact"/>
              <w:rPr>
                <w:rFonts w:ascii="Arial" w:cs="Arial" w:eastAsia="Arial" w:hAnsi="Arial"/>
                <w:sz w:val="18"/>
                <w:szCs w:val="18"/>
                <w:color w:val="0000FF"/>
                <w:w w:val="91"/>
              </w:rPr>
            </w:pPr>
            <w:hyperlink w:anchor="page50">
              <w:r>
                <w:rPr>
                  <w:rFonts w:ascii="Arial" w:cs="Arial" w:eastAsia="Arial" w:hAnsi="Arial"/>
                  <w:sz w:val="18"/>
                  <w:szCs w:val="18"/>
                  <w:color w:val="0000FF"/>
                  <w:w w:val="91"/>
                </w:rPr>
                <w:t>Administrative Agent, PNC Capital Markets LLC, as Structuring Agent, Committed Lender and Group Agent, and certain</w:t>
              </w:r>
            </w:hyperlink>
          </w:p>
        </w:tc>
        <w:tc>
          <w:tcPr>
            <w:tcW w:w="880" w:type="dxa"/>
            <w:vAlign w:val="bottom"/>
            <w:gridSpan w:val="7"/>
          </w:tcPr>
          <w:p>
            <w:pPr>
              <w:ind w:left="120"/>
              <w:spacing w:after="0" w:line="156" w:lineRule="exact"/>
              <w:rPr>
                <w:rFonts w:ascii="Arial" w:cs="Arial" w:eastAsia="Arial" w:hAnsi="Arial"/>
                <w:sz w:val="18"/>
                <w:szCs w:val="18"/>
                <w:color w:val="0000FF"/>
              </w:rPr>
            </w:pPr>
            <w:hyperlink w:anchor="page50">
              <w:r>
                <w:rPr>
                  <w:rFonts w:ascii="Arial" w:cs="Arial" w:eastAsia="Arial" w:hAnsi="Arial"/>
                  <w:sz w:val="18"/>
                  <w:szCs w:val="18"/>
                  <w:color w:val="0000FF"/>
                </w:rPr>
                <w:t>lenders</w:t>
              </w:r>
            </w:hyperlink>
          </w:p>
        </w:tc>
      </w:tr>
      <w:tr>
        <w:trPr>
          <w:trHeight w:val="155"/>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60" w:type="dxa"/>
            <w:vAlign w:val="bottom"/>
            <w:tcBorders>
              <w:top w:val="single" w:sz="8" w:color="0000FF"/>
            </w:tcBorders>
            <w:gridSpan w:val="7"/>
          </w:tcPr>
          <w:p>
            <w:pPr>
              <w:spacing w:after="0" w:line="156" w:lineRule="exact"/>
              <w:rPr>
                <w:rFonts w:ascii="Arial" w:cs="Arial" w:eastAsia="Arial" w:hAnsi="Arial"/>
                <w:sz w:val="18"/>
                <w:szCs w:val="18"/>
                <w:color w:val="0000FF"/>
                <w:w w:val="97"/>
              </w:rPr>
            </w:pPr>
            <w:hyperlink w:anchor="page50">
              <w:r>
                <w:rPr>
                  <w:rFonts w:ascii="Arial" w:cs="Arial" w:eastAsia="Arial" w:hAnsi="Arial"/>
                  <w:sz w:val="18"/>
                  <w:szCs w:val="18"/>
                  <w:color w:val="0000FF"/>
                  <w:w w:val="97"/>
                </w:rPr>
                <w:t>and group agents that are parties thereto from time to time; Amendment No. 2 to Receivables Financing Agreement and</w:t>
              </w:r>
            </w:hyperlink>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0" w:type="dxa"/>
            <w:vAlign w:val="bottom"/>
            <w:gridSpan w:val="12"/>
          </w:tcPr>
          <w:p>
            <w:pPr>
              <w:spacing w:after="0" w:line="156" w:lineRule="exact"/>
              <w:rPr>
                <w:rFonts w:ascii="Arial" w:cs="Arial" w:eastAsia="Arial" w:hAnsi="Arial"/>
                <w:sz w:val="18"/>
                <w:szCs w:val="18"/>
                <w:color w:val="0000FF"/>
                <w:w w:val="91"/>
              </w:rPr>
            </w:pPr>
            <w:hyperlink w:anchor="page50">
              <w:r>
                <w:rPr>
                  <w:rFonts w:ascii="Arial" w:cs="Arial" w:eastAsia="Arial" w:hAnsi="Arial"/>
                  <w:sz w:val="18"/>
                  <w:szCs w:val="18"/>
                  <w:color w:val="0000FF"/>
                  <w:w w:val="91"/>
                </w:rPr>
                <w:t>Reaffirmation of Performance Guaranty, dated as of July 17, 2020, and Amendment No. 1 to Receivables Financing Agreement and</w:t>
              </w:r>
            </w:hyperlink>
          </w:p>
        </w:tc>
      </w:tr>
      <w:tr>
        <w:trPr>
          <w:trHeight w:val="156"/>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00" w:type="dxa"/>
            <w:vAlign w:val="bottom"/>
            <w:tcBorders>
              <w:top w:val="single" w:sz="8" w:color="0000FF"/>
            </w:tcBorders>
            <w:gridSpan w:val="10"/>
          </w:tcPr>
          <w:p>
            <w:pPr>
              <w:spacing w:after="0" w:line="156"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Reaffirmation of Performance Guaranty, dated as of March 29, 2019, in each case by and among, Integra Receivables LLC, Integra</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w:anchor="page50">
              <w:r>
                <w:rPr>
                  <w:rFonts w:ascii="Arial" w:cs="Arial" w:eastAsia="Arial" w:hAnsi="Arial"/>
                  <w:sz w:val="18"/>
                  <w:szCs w:val="18"/>
                  <w:color w:val="0000FF"/>
                  <w:w w:val="91"/>
                </w:rPr>
                <w:t>LifeSciences Sales LLC, as Servicer, PNC Bank, National Associations, as Administrative Agent, Committed Lender and Group</w:t>
              </w:r>
            </w:hyperlink>
          </w:p>
        </w:tc>
        <w:tc>
          <w:tcPr>
            <w:tcW w:w="180" w:type="dxa"/>
            <w:vAlign w:val="bottom"/>
            <w:tcBorders>
              <w:top w:val="single" w:sz="8" w:color="0000FF"/>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0" w:type="dxa"/>
            <w:vAlign w:val="bottom"/>
            <w:gridSpan w:val="12"/>
          </w:tcPr>
          <w:p>
            <w:pPr>
              <w:spacing w:after="0" w:line="156" w:lineRule="exact"/>
              <w:rPr>
                <w:rFonts w:ascii="Arial" w:cs="Arial" w:eastAsia="Arial" w:hAnsi="Arial"/>
                <w:sz w:val="18"/>
                <w:szCs w:val="18"/>
                <w:color w:val="0000FF"/>
                <w:w w:val="91"/>
              </w:rPr>
            </w:pPr>
            <w:hyperlink w:anchor="page50">
              <w:r>
                <w:rPr>
                  <w:rFonts w:ascii="Arial" w:cs="Arial" w:eastAsia="Arial" w:hAnsi="Arial"/>
                  <w:sz w:val="18"/>
                  <w:szCs w:val="18"/>
                  <w:color w:val="0000FF"/>
                  <w:w w:val="91"/>
                </w:rPr>
                <w:t>Agent, Mizuho Bank, Ltd., as Committed Lender and Group Agent and PNC Capital Markets LLC, as Structuring Agent, and certain</w:t>
              </w:r>
            </w:hyperlink>
          </w:p>
        </w:tc>
      </w:tr>
      <w:tr>
        <w:trPr>
          <w:trHeight w:val="155"/>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50">
              <w:r>
                <w:rPr>
                  <w:rFonts w:ascii="Arial" w:cs="Arial" w:eastAsia="Arial" w:hAnsi="Arial"/>
                  <w:sz w:val="18"/>
                  <w:szCs w:val="18"/>
                  <w:color w:val="0000FF"/>
                </w:rPr>
                <w:t>lenders and group agents that are parties thereto from time to time.</w:t>
              </w:r>
            </w:hyperlink>
          </w:p>
        </w:tc>
        <w:tc>
          <w:tcPr>
            <w:tcW w:w="20" w:type="dxa"/>
            <w:vAlign w:val="bottom"/>
          </w:tcPr>
          <w:p>
            <w:pPr>
              <w:spacing w:after="0"/>
              <w:rPr>
                <w:sz w:val="13"/>
                <w:szCs w:val="13"/>
                <w:color w:val="auto"/>
              </w:rPr>
            </w:pPr>
          </w:p>
        </w:tc>
      </w:tr>
      <w:tr>
        <w:trPr>
          <w:trHeight w:val="20"/>
        </w:trPr>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74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91">
              <w:r>
                <w:rPr>
                  <w:rFonts w:ascii="Arial" w:cs="Arial" w:eastAsia="Arial" w:hAnsi="Arial"/>
                  <w:sz w:val="18"/>
                  <w:szCs w:val="18"/>
                  <w:color w:val="0000FF"/>
                  <w:w w:val="91"/>
                </w:rPr>
                <w:t>Certification of Principal Executive Officer Pursuant to Section 302 of the Sarbanes-Oxley Act of 2002</w:t>
              </w:r>
            </w:hyperlink>
          </w:p>
        </w:tc>
        <w:tc>
          <w:tcPr>
            <w:tcW w:w="2160" w:type="dxa"/>
            <w:vAlign w:val="bottom"/>
            <w:gridSpan w:val="9"/>
          </w:tcPr>
          <w:p>
            <w:pPr>
              <w:spacing w:after="0"/>
              <w:rPr>
                <w:sz w:val="24"/>
                <w:szCs w:val="24"/>
                <w:color w:val="auto"/>
              </w:rPr>
            </w:pP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9600" w:type="dxa"/>
            <w:vAlign w:val="bottom"/>
            <w:gridSpan w:val="12"/>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Certification of Principal Financial Officer Pursuant to Section 302 of the Sarbanes-Oxley Act of 2002</w:t>
              </w:r>
            </w:hyperlink>
          </w:p>
        </w:tc>
      </w:tr>
      <w:tr>
        <w:trPr>
          <w:trHeight w:val="20"/>
        </w:trPr>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80" w:type="dxa"/>
            <w:vAlign w:val="bottom"/>
            <w:gridSpan w:val="2"/>
            <w:shd w:val="clear" w:color="auto" w:fill="0000FF"/>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74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93">
              <w:r>
                <w:rPr>
                  <w:rFonts w:ascii="Arial" w:cs="Arial" w:eastAsia="Arial" w:hAnsi="Arial"/>
                  <w:sz w:val="18"/>
                  <w:szCs w:val="18"/>
                  <w:color w:val="0000FF"/>
                  <w:w w:val="91"/>
                </w:rPr>
                <w:t>Certification of Principal Executive Officer Pursuant to Section 906 of the Sarbanes-Oxley Act of 2002</w:t>
              </w:r>
            </w:hyperlink>
          </w:p>
        </w:tc>
        <w:tc>
          <w:tcPr>
            <w:tcW w:w="2160" w:type="dxa"/>
            <w:vAlign w:val="bottom"/>
            <w:gridSpan w:val="9"/>
          </w:tcPr>
          <w:p>
            <w:pPr>
              <w:spacing w:after="0"/>
              <w:rPr>
                <w:sz w:val="24"/>
                <w:szCs w:val="24"/>
                <w:color w:val="auto"/>
              </w:rPr>
            </w:pP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24"/>
                <w:szCs w:val="24"/>
                <w:color w:val="auto"/>
              </w:rPr>
            </w:pPr>
          </w:p>
        </w:tc>
        <w:tc>
          <w:tcPr>
            <w:tcW w:w="9600" w:type="dxa"/>
            <w:vAlign w:val="bottom"/>
            <w:gridSpan w:val="12"/>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Certification of Principal Financial Officer Pursuant to Section 906 of the Sarbanes-Oxley Act of 2002</w:t>
              </w:r>
            </w:hyperlink>
          </w:p>
        </w:tc>
      </w:tr>
      <w:tr>
        <w:trPr>
          <w:trHeight w:val="20"/>
        </w:trPr>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380" w:type="dxa"/>
            <w:vAlign w:val="bottom"/>
            <w:gridSpan w:val="2"/>
            <w:shd w:val="clear" w:color="auto" w:fill="0000FF"/>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*†101.INS</w:t>
            </w:r>
          </w:p>
        </w:tc>
        <w:tc>
          <w:tcPr>
            <w:tcW w:w="9600" w:type="dxa"/>
            <w:vAlign w:val="bottom"/>
            <w:gridSpan w:val="12"/>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r>
      <w:tr>
        <w:trPr>
          <w:trHeight w:val="230"/>
        </w:trPr>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0" w:type="dxa"/>
            <w:vAlign w:val="bottom"/>
            <w:gridSpan w:val="12"/>
          </w:tcPr>
          <w:p>
            <w:pPr>
              <w:spacing w:after="0"/>
              <w:rPr>
                <w:sz w:val="20"/>
                <w:szCs w:val="20"/>
                <w:color w:val="auto"/>
              </w:rPr>
            </w:pPr>
            <w:r>
              <w:rPr>
                <w:rFonts w:ascii="Arial" w:cs="Arial" w:eastAsia="Arial" w:hAnsi="Arial"/>
                <w:sz w:val="18"/>
                <w:szCs w:val="18"/>
                <w:color w:val="auto"/>
              </w:rPr>
              <w:t>within the Inline XBRL document.</w:t>
            </w:r>
          </w:p>
        </w:tc>
      </w:tr>
      <w:tr>
        <w:trPr>
          <w:trHeight w:val="337"/>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*†101.SCH</w:t>
            </w:r>
          </w:p>
        </w:tc>
        <w:tc>
          <w:tcPr>
            <w:tcW w:w="96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6"/>
              </w:rPr>
              <w:t>*†101.CAL</w:t>
            </w:r>
          </w:p>
        </w:tc>
        <w:tc>
          <w:tcPr>
            <w:tcW w:w="960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*†101.DEF</w:t>
            </w:r>
          </w:p>
        </w:tc>
        <w:tc>
          <w:tcPr>
            <w:tcW w:w="9600" w:type="dxa"/>
            <w:vAlign w:val="bottom"/>
            <w:gridSpan w:val="12"/>
          </w:tcPr>
          <w:p>
            <w:pPr>
              <w:spacing w:after="0"/>
              <w:rPr>
                <w:sz w:val="20"/>
                <w:szCs w:val="20"/>
                <w:color w:val="auto"/>
              </w:rPr>
            </w:pPr>
            <w:r>
              <w:rPr>
                <w:rFonts w:ascii="Arial" w:cs="Arial" w:eastAsia="Arial" w:hAnsi="Arial"/>
                <w:sz w:val="18"/>
                <w:szCs w:val="18"/>
                <w:color w:val="auto"/>
              </w:rPr>
              <w:t>XBRL Definition Linkbase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*†101.LAB</w:t>
            </w:r>
          </w:p>
        </w:tc>
        <w:tc>
          <w:tcPr>
            <w:tcW w:w="9600" w:type="dxa"/>
            <w:vAlign w:val="bottom"/>
            <w:gridSpan w:val="12"/>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*†101.PRE</w:t>
            </w:r>
          </w:p>
        </w:tc>
        <w:tc>
          <w:tcPr>
            <w:tcW w:w="960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7" w:lineRule="exact"/>
        <w:rPr>
          <w:sz w:val="20"/>
          <w:szCs w:val="20"/>
          <w:color w:val="auto"/>
        </w:rPr>
      </w:pPr>
    </w:p>
    <w:p>
      <w:pPr>
        <w:ind w:left="700" w:hanging="63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00" w:hanging="634"/>
        <w:spacing w:after="0"/>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345" w:lineRule="exact"/>
        <w:rPr>
          <w:rFonts w:ascii="Arial" w:cs="Arial" w:eastAsia="Arial" w:hAnsi="Arial"/>
          <w:sz w:val="18"/>
          <w:szCs w:val="18"/>
          <w:color w:val="auto"/>
        </w:rPr>
      </w:pPr>
    </w:p>
    <w:p>
      <w:pPr>
        <w:jc w:val="right"/>
        <w:ind w:left="500" w:hanging="492"/>
        <w:spacing w:after="0" w:line="287" w:lineRule="auto"/>
        <w:tabs>
          <w:tab w:leader="none" w:pos="1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financial information of Integra LifeSciences Holdings Corporation Quarterly Report on Form 10-Q for the quarter ended June 30, 2021 filed on July 29, 2021 formatted in XBRL (Extensible Business Reporting Language): (i) the Condensed Consolidated Statements of Operations and Comprehensive Income, (ii) the Condensed Consolidated Balance Sheets, (iii) Parenthetical Data to the Condensed Consolidated Balance Sheets,</w:t>
      </w:r>
    </w:p>
    <w:p>
      <w:pPr>
        <w:spacing w:after="0" w:line="2" w:lineRule="exact"/>
        <w:rPr>
          <w:rFonts w:ascii="Arial" w:cs="Arial" w:eastAsia="Arial" w:hAnsi="Arial"/>
          <w:sz w:val="16"/>
          <w:szCs w:val="16"/>
          <w:color w:val="auto"/>
        </w:rPr>
      </w:pPr>
    </w:p>
    <w:p>
      <w:pPr>
        <w:ind w:left="500" w:hanging="6"/>
        <w:spacing w:after="0" w:line="260" w:lineRule="auto"/>
        <w:tabs>
          <w:tab w:leader="none" w:pos="85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49" w:name="page50"/>
    <w:bookmarkEnd w:id="49"/>
    <w:p>
      <w:pPr>
        <w:ind w:left="1030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 RECEIVABLES FINANCING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REAFFIRMATION OF PERFORMANCE GUARANTY</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AMENDMENT NO. 3 TO RECEIVABLES FINANCING AGREEMENT AND REAFFIRMATION OF PERFORMANCE GUARANTY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May 28, 2021 is entered into by and among INTEGRA RECEIVABLES LLC (“</w:t>
      </w:r>
      <w:r>
        <w:rPr>
          <w:rFonts w:ascii="Arial" w:cs="Arial" w:eastAsia="Arial" w:hAnsi="Arial"/>
          <w:sz w:val="17"/>
          <w:szCs w:val="17"/>
          <w:u w:val="single" w:color="auto"/>
          <w:color w:val="auto"/>
        </w:rPr>
        <w:t>Integra</w:t>
      </w:r>
      <w:r>
        <w:rPr>
          <w:rFonts w:ascii="Arial" w:cs="Arial" w:eastAsia="Arial" w:hAnsi="Arial"/>
          <w:sz w:val="17"/>
          <w:szCs w:val="17"/>
          <w:color w:val="auto"/>
        </w:rPr>
        <w:t>”), as borrower under the Receivables Financing Agreement (as defined below) (in such capacity, together with its successors and permitted assigns in such capacity, the “</w:t>
      </w:r>
      <w:r>
        <w:rPr>
          <w:rFonts w:ascii="Arial" w:cs="Arial" w:eastAsia="Arial" w:hAnsi="Arial"/>
          <w:sz w:val="17"/>
          <w:szCs w:val="17"/>
          <w:u w:val="single" w:color="auto"/>
          <w:color w:val="auto"/>
        </w:rPr>
        <w:t>Borrower</w:t>
      </w:r>
      <w:r>
        <w:rPr>
          <w:rFonts w:ascii="Arial" w:cs="Arial" w:eastAsia="Arial" w:hAnsi="Arial"/>
          <w:sz w:val="17"/>
          <w:szCs w:val="17"/>
          <w:color w:val="auto"/>
        </w:rPr>
        <w:t>”), INTEGRA LIFESCIENCES SALES LLC (“</w:t>
      </w:r>
      <w:r>
        <w:rPr>
          <w:rFonts w:ascii="Arial" w:cs="Arial" w:eastAsia="Arial" w:hAnsi="Arial"/>
          <w:sz w:val="17"/>
          <w:szCs w:val="17"/>
          <w:u w:val="single" w:color="auto"/>
          <w:color w:val="auto"/>
        </w:rPr>
        <w:t>Integra Sales</w:t>
      </w:r>
      <w:r>
        <w:rPr>
          <w:rFonts w:ascii="Arial" w:cs="Arial" w:eastAsia="Arial" w:hAnsi="Arial"/>
          <w:sz w:val="17"/>
          <w:szCs w:val="17"/>
          <w:color w:val="auto"/>
        </w:rPr>
        <w:t>”), as initial servicer under the Receivables Financing Agreement (in such capacity, together with its successors and permitted assigns in such capacity, the “</w:t>
      </w:r>
      <w:r>
        <w:rPr>
          <w:rFonts w:ascii="Arial" w:cs="Arial" w:eastAsia="Arial" w:hAnsi="Arial"/>
          <w:sz w:val="17"/>
          <w:szCs w:val="17"/>
          <w:u w:val="single" w:color="auto"/>
          <w:color w:val="auto"/>
        </w:rPr>
        <w:t>Servicer</w:t>
      </w:r>
      <w:r>
        <w:rPr>
          <w:rFonts w:ascii="Arial" w:cs="Arial" w:eastAsia="Arial" w:hAnsi="Arial"/>
          <w:sz w:val="17"/>
          <w:szCs w:val="17"/>
          <w:color w:val="auto"/>
        </w:rPr>
        <w:t>”), PNC BANK, NATIONAL ASSOCIATION (“</w:t>
      </w:r>
      <w:r>
        <w:rPr>
          <w:rFonts w:ascii="Arial" w:cs="Arial" w:eastAsia="Arial" w:hAnsi="Arial"/>
          <w:sz w:val="17"/>
          <w:szCs w:val="17"/>
          <w:u w:val="single" w:color="auto"/>
          <w:color w:val="auto"/>
        </w:rPr>
        <w:t>PNC</w:t>
      </w:r>
      <w:r>
        <w:rPr>
          <w:rFonts w:ascii="Arial" w:cs="Arial" w:eastAsia="Arial" w:hAnsi="Arial"/>
          <w:sz w:val="17"/>
          <w:szCs w:val="17"/>
          <w:color w:val="auto"/>
        </w:rPr>
        <w:t>”), as administrative agent under the Receivables Financing Agreement (in such capacity, together with its successors and permitted assigns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as a committed lender under the Receivables Financing Agreement (in such capacity, together with its successors and permitted assigns in such capacity, a “</w:t>
      </w:r>
      <w:r>
        <w:rPr>
          <w:rFonts w:ascii="Arial" w:cs="Arial" w:eastAsia="Arial" w:hAnsi="Arial"/>
          <w:sz w:val="17"/>
          <w:szCs w:val="17"/>
          <w:u w:val="single" w:color="auto"/>
          <w:color w:val="auto"/>
        </w:rPr>
        <w:t>Committed Lender</w:t>
      </w:r>
      <w:r>
        <w:rPr>
          <w:rFonts w:ascii="Arial" w:cs="Arial" w:eastAsia="Arial" w:hAnsi="Arial"/>
          <w:sz w:val="17"/>
          <w:szCs w:val="17"/>
          <w:color w:val="auto"/>
        </w:rPr>
        <w:t>”), and as group agent for the PNC Group under the Receivables Financing Agreement (in such capacity, together with its successors and permitted assigns in such capacity, a “</w:t>
      </w:r>
      <w:r>
        <w:rPr>
          <w:rFonts w:ascii="Arial" w:cs="Arial" w:eastAsia="Arial" w:hAnsi="Arial"/>
          <w:sz w:val="17"/>
          <w:szCs w:val="17"/>
          <w:u w:val="single" w:color="auto"/>
          <w:color w:val="auto"/>
        </w:rPr>
        <w:t>Group Agent</w:t>
      </w:r>
      <w:r>
        <w:rPr>
          <w:rFonts w:ascii="Arial" w:cs="Arial" w:eastAsia="Arial" w:hAnsi="Arial"/>
          <w:sz w:val="17"/>
          <w:szCs w:val="17"/>
          <w:color w:val="auto"/>
        </w:rPr>
        <w:t>”), and the various other Lenders and Group Agents from time to time party to the Receivables Financing Agreement, and acknowledged and agreed to by PNC CAPITAL MARKETS LLC, as structuring agent (in such capacity, together with its successors and permitted assigns in such capacity, the “</w:t>
      </w:r>
      <w:r>
        <w:rPr>
          <w:rFonts w:ascii="Arial" w:cs="Arial" w:eastAsia="Arial" w:hAnsi="Arial"/>
          <w:sz w:val="17"/>
          <w:szCs w:val="17"/>
          <w:u w:val="single" w:color="auto"/>
          <w:color w:val="auto"/>
        </w:rPr>
        <w:t>Structuring Agent</w:t>
      </w:r>
      <w:r>
        <w:rPr>
          <w:rFonts w:ascii="Arial" w:cs="Arial" w:eastAsia="Arial" w:hAnsi="Arial"/>
          <w:sz w:val="17"/>
          <w:szCs w:val="17"/>
          <w:color w:val="auto"/>
        </w:rPr>
        <w:t xml:space="preserve">”), and is reaffirmed by, with respect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hereof, INTEGRA LIFESCIENCES HOLDINGS CORPORATION (“</w:t>
      </w:r>
      <w:r>
        <w:rPr>
          <w:rFonts w:ascii="Arial" w:cs="Arial" w:eastAsia="Arial" w:hAnsi="Arial"/>
          <w:sz w:val="17"/>
          <w:szCs w:val="17"/>
          <w:u w:val="single" w:color="auto"/>
          <w:color w:val="auto"/>
        </w:rPr>
        <w:t>Integra Holdings</w:t>
      </w:r>
      <w:r>
        <w:rPr>
          <w:rFonts w:ascii="Arial" w:cs="Arial" w:eastAsia="Arial" w:hAnsi="Arial"/>
          <w:sz w:val="17"/>
          <w:szCs w:val="17"/>
          <w:color w:val="auto"/>
        </w:rPr>
        <w:t>”), as performance guarantor (in such capacity, together with its successors and permitted assigns in such capacity, the “</w:t>
      </w:r>
      <w:r>
        <w:rPr>
          <w:rFonts w:ascii="Arial" w:cs="Arial" w:eastAsia="Arial" w:hAnsi="Arial"/>
          <w:sz w:val="17"/>
          <w:szCs w:val="17"/>
          <w:u w:val="single" w:color="auto"/>
          <w:color w:val="auto"/>
        </w:rPr>
        <w:t>Performance Guarantor</w:t>
      </w:r>
      <w:r>
        <w:rPr>
          <w:rFonts w:ascii="Arial" w:cs="Arial" w:eastAsia="Arial" w:hAnsi="Arial"/>
          <w:sz w:val="17"/>
          <w:szCs w:val="17"/>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the Borrower, the Servicer, the Persons from time to time party thereto as Lenders and as Group Agents, the Administrative Agent, and, solely with respect to Section 10.10 thereof, the Structuring Agent, entered into the Receivables Financing Agreement, dated as of December 21, 2018 (as amended, restated, supplemented or otherwise modified prior to the date hereof, the “</w:t>
      </w:r>
      <w:r>
        <w:rPr>
          <w:rFonts w:ascii="Arial" w:cs="Arial" w:eastAsia="Arial" w:hAnsi="Arial"/>
          <w:sz w:val="18"/>
          <w:szCs w:val="18"/>
          <w:u w:val="single" w:color="auto"/>
          <w:color w:val="auto"/>
        </w:rPr>
        <w:t>Original Receivables Financing Agreement</w:t>
      </w:r>
      <w:r>
        <w:rPr>
          <w:rFonts w:ascii="Arial" w:cs="Arial" w:eastAsia="Arial" w:hAnsi="Arial"/>
          <w:sz w:val="18"/>
          <w:szCs w:val="18"/>
          <w:color w:val="auto"/>
        </w:rPr>
        <w:t>”; and as amended by this Amendment and as may be further amended, restated, supplemented or otherwise modified from time to time, the “</w:t>
      </w:r>
      <w:r>
        <w:rPr>
          <w:rFonts w:ascii="Arial" w:cs="Arial" w:eastAsia="Arial" w:hAnsi="Arial"/>
          <w:sz w:val="18"/>
          <w:szCs w:val="18"/>
          <w:u w:val="single" w:color="auto"/>
          <w:color w:val="auto"/>
        </w:rPr>
        <w:t>Receivables Financing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WHEREAS, the Performance Guarantor entered into the Performance Guaranty as of December 21, 2018 (as may be further amended, restated, supplemented or otherwise modified from time to time, the “</w:t>
      </w:r>
      <w:r>
        <w:rPr>
          <w:rFonts w:ascii="Arial" w:cs="Arial" w:eastAsia="Arial" w:hAnsi="Arial"/>
          <w:sz w:val="16"/>
          <w:szCs w:val="16"/>
          <w:u w:val="single" w:color="auto"/>
          <w:color w:val="auto"/>
        </w:rPr>
        <w:t>Performance Guaranty</w:t>
      </w:r>
      <w:r>
        <w:rPr>
          <w:rFonts w:ascii="Arial" w:cs="Arial" w:eastAsia="Arial" w:hAnsi="Arial"/>
          <w:sz w:val="16"/>
          <w:szCs w:val="16"/>
          <w:color w:val="auto"/>
        </w:rPr>
        <w:t>”) in favor of, and as accepted by, the Administrative Agent; and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parties hereto wish to further amend the Original Receivables Financing Agreement pursuant to the terms and conditions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hereby agree as follows: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SECTION 1. Definitions</w:t>
      </w:r>
      <w:r>
        <w:rPr>
          <w:rFonts w:ascii="Arial" w:cs="Arial" w:eastAsia="Arial" w:hAnsi="Arial"/>
          <w:sz w:val="18"/>
          <w:szCs w:val="18"/>
          <w:color w:val="auto"/>
        </w:rPr>
        <w:t>. Capitalized terms used but not defined in this Amendment shall have the meanings assigned to them in the Receivables Financing Agreement.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SECTION 2. Amendments to Original Receivables Financing Agreement</w:t>
      </w:r>
      <w:r>
        <w:rPr>
          <w:rFonts w:ascii="Arial" w:cs="Arial" w:eastAsia="Arial" w:hAnsi="Arial"/>
          <w:sz w:val="17"/>
          <w:szCs w:val="17"/>
          <w:color w:val="auto"/>
        </w:rPr>
        <w:t xml:space="preserve">. Effective as of the date hereof and subject to the satisfaction of the conditions precedent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Original Receivables Financing Agreement is hereby amended as follows:</w:t>
      </w:r>
    </w:p>
    <w:p>
      <w:pPr>
        <w:spacing w:after="0" w:line="146" w:lineRule="exact"/>
        <w:rPr>
          <w:sz w:val="20"/>
          <w:szCs w:val="20"/>
          <w:color w:val="auto"/>
        </w:rPr>
      </w:pPr>
    </w:p>
    <w:p>
      <w:pPr>
        <w:ind w:right="20" w:firstLine="656"/>
        <w:spacing w:after="0" w:line="261" w:lineRule="auto"/>
        <w:tabs>
          <w:tab w:leader="none" w:pos="129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Receivables Financing Agreement is hereby amended by adding the following definitions of “</w:t>
      </w:r>
      <w:r>
        <w:rPr>
          <w:rFonts w:ascii="Arial" w:cs="Arial" w:eastAsia="Arial" w:hAnsi="Arial"/>
          <w:sz w:val="18"/>
          <w:szCs w:val="18"/>
          <w:u w:val="single" w:color="auto"/>
          <w:color w:val="auto"/>
        </w:rPr>
        <w:t>Erroneous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w:t>
      </w:r>
      <w:r>
        <w:rPr>
          <w:rFonts w:ascii="Arial" w:cs="Arial" w:eastAsia="Arial" w:hAnsi="Arial"/>
          <w:sz w:val="18"/>
          <w:szCs w:val="18"/>
          <w:color w:val="auto"/>
        </w:rPr>
        <w:t>” and “</w:t>
      </w:r>
      <w:r>
        <w:rPr>
          <w:rFonts w:ascii="Arial" w:cs="Arial" w:eastAsia="Arial" w:hAnsi="Arial"/>
          <w:sz w:val="18"/>
          <w:szCs w:val="18"/>
          <w:u w:val="single" w:color="auto"/>
          <w:color w:val="auto"/>
        </w:rPr>
        <w:t>Erroneous Payment Notice</w:t>
      </w:r>
      <w:r>
        <w:rPr>
          <w:rFonts w:ascii="Arial" w:cs="Arial" w:eastAsia="Arial" w:hAnsi="Arial"/>
          <w:sz w:val="18"/>
          <w:szCs w:val="18"/>
          <w:color w:val="auto"/>
        </w:rPr>
        <w:t>” in their entirety in the appropriate alphabetical order:</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10.11(a)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83" w:right="339" w:bottom="1440" w:gutter="0" w:footer="0" w:header="0"/>
        </w:sectPr>
      </w:pPr>
    </w:p>
    <w:bookmarkStart w:id="50" w:name="page51"/>
    <w:bookmarkEnd w:id="5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10.11(b)</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12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Clause (b) of the definition of “Excess Concentration”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Receivables Financing Agreement is hereby deleted and replaced in its entirety with the following:</w:t>
      </w:r>
    </w:p>
    <w:p>
      <w:pPr>
        <w:spacing w:after="0" w:line="170" w:lineRule="exact"/>
        <w:rPr>
          <w:rFonts w:ascii="Arial" w:cs="Arial" w:eastAsia="Arial" w:hAnsi="Arial"/>
          <w:sz w:val="18"/>
          <w:szCs w:val="18"/>
          <w:color w:val="auto"/>
        </w:rPr>
      </w:pPr>
    </w:p>
    <w:p>
      <w:pPr>
        <w:jc w:val="both"/>
        <w:ind w:left="1300" w:firstLine="638"/>
        <w:spacing w:after="0" w:line="269" w:lineRule="auto"/>
        <w:tabs>
          <w:tab w:leader="none" w:pos="2216"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the excess (if any) of (i) the aggregate Outstanding Balance of all Eligible Receivables, the Obligors of which are Eligible Foreign Obligors,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(ii) the product of (x) thirty percent (30.00%),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(y) the aggregate Outstanding Balance of all Eligible Receivables then in the Receivables Pool;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aggregate Outstanding Balance of all Eligible Receivables, the Obligors of which are Eligible Foreign Obligors (A) organized in, and whose principal place of business is in, a country that has a long-term sovereign foreign-currency rating from and including “A” to and including “BBB” by S&amp;P or from and including “A2” to and including “Baa3” by Moody’s, shall not exceed twenty percent (20.00%) of the aggregate Outstanding Balance of all Eligible Receivables, (B) organized in, and whose principal place of business is in, a country that has a long-term sovereign foreign-currency rating equal to or less than “BB+” by S&amp;P or “Ba1” by Moody’s, shall not exceed five percent (5.00%) of the aggregate Outstanding Balance of all Eligible Receivables, (C) organized in, and whose principal place of business is in, the People’s Republic of China, shall not exceed seven and one half percent (7.50%) of the aggregate Outstanding Balance of all Eligible Receivables and (D) organized in, and whose principal place of business is in, a country other than the People’s Republic of China, shall not exceed five percent (5.00%) of the aggregate Outstanding Balance of all Eligible Receivables; </w:t>
      </w:r>
      <w:r>
        <w:rPr>
          <w:rFonts w:ascii="Arial" w:cs="Arial" w:eastAsia="Arial" w:hAnsi="Arial"/>
          <w:sz w:val="17"/>
          <w:szCs w:val="17"/>
          <w:u w:val="single" w:color="auto"/>
          <w:color w:val="auto"/>
        </w:rPr>
        <w:t>plus</w:t>
      </w:r>
    </w:p>
    <w:p>
      <w:pPr>
        <w:spacing w:after="0" w:line="178" w:lineRule="exact"/>
        <w:rPr>
          <w:rFonts w:ascii="Arial" w:cs="Arial" w:eastAsia="Arial" w:hAnsi="Arial"/>
          <w:sz w:val="17"/>
          <w:szCs w:val="17"/>
          <w:color w:val="auto"/>
        </w:rPr>
      </w:pPr>
    </w:p>
    <w:p>
      <w:pPr>
        <w:ind w:firstLine="656"/>
        <w:spacing w:after="0" w:line="277" w:lineRule="auto"/>
        <w:tabs>
          <w:tab w:leader="none" w:pos="129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Receivables Financing Agreement is hereby amended by deleting the definition of “</w:t>
      </w:r>
      <w:r>
        <w:rPr>
          <w:rFonts w:ascii="Arial" w:cs="Arial" w:eastAsia="Arial" w:hAnsi="Arial"/>
          <w:sz w:val="18"/>
          <w:szCs w:val="18"/>
          <w:u w:val="single" w:color="auto"/>
          <w:color w:val="auto"/>
        </w:rPr>
        <w:t>Scheduled 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in its entirety and replacing it with the following: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Termination Date</w:t>
      </w:r>
      <w:r>
        <w:rPr>
          <w:rFonts w:ascii="Arial" w:cs="Arial" w:eastAsia="Arial" w:hAnsi="Arial"/>
          <w:sz w:val="18"/>
          <w:szCs w:val="18"/>
          <w:color w:val="auto"/>
        </w:rPr>
        <w:t>” means May 28, 2024.</w:t>
      </w:r>
    </w:p>
    <w:p>
      <w:pPr>
        <w:spacing w:after="0" w:line="225" w:lineRule="exact"/>
        <w:rPr>
          <w:sz w:val="20"/>
          <w:szCs w:val="20"/>
          <w:color w:val="auto"/>
        </w:rPr>
      </w:pPr>
    </w:p>
    <w:p>
      <w:pPr>
        <w:ind w:firstLine="656"/>
        <w:spacing w:after="0" w:line="277" w:lineRule="auto"/>
        <w:tabs>
          <w:tab w:leader="none" w:pos="129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Section 4.06</w:t>
      </w:r>
      <w:r>
        <w:rPr>
          <w:rFonts w:ascii="Arial" w:cs="Arial" w:eastAsia="Arial" w:hAnsi="Arial"/>
          <w:sz w:val="18"/>
          <w:szCs w:val="18"/>
          <w:color w:val="auto"/>
        </w:rPr>
        <w:t xml:space="preserve"> of the Original Receivables Financing Agreement is hereby amended by deleting such section in its entirety and replacing it with the following:</w:t>
      </w:r>
    </w:p>
    <w:p>
      <w:pPr>
        <w:spacing w:after="0" w:line="170" w:lineRule="exact"/>
        <w:rPr>
          <w:sz w:val="20"/>
          <w:szCs w:val="20"/>
          <w:color w:val="auto"/>
        </w:rPr>
      </w:pPr>
    </w:p>
    <w:p>
      <w:pPr>
        <w:ind w:left="180"/>
        <w:spacing w:after="0"/>
        <w:tabs>
          <w:tab w:leader="none" w:pos="156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u w:val="single" w:color="auto"/>
          <w:color w:val="auto"/>
        </w:rPr>
        <w:t>Benchmark Replacement Setting</w:t>
      </w:r>
      <w:r>
        <w:rPr>
          <w:rFonts w:ascii="Arial" w:cs="Arial" w:eastAsia="Arial" w:hAnsi="Arial"/>
          <w:sz w:val="16"/>
          <w:szCs w:val="16"/>
          <w:color w:val="auto"/>
        </w:rPr>
        <w:t>.</w:t>
      </w:r>
    </w:p>
    <w:p>
      <w:pPr>
        <w:spacing w:after="0" w:line="225" w:lineRule="exact"/>
        <w:rPr>
          <w:sz w:val="20"/>
          <w:szCs w:val="20"/>
          <w:color w:val="auto"/>
        </w:rPr>
      </w:pPr>
    </w:p>
    <w:p>
      <w:pPr>
        <w:jc w:val="both"/>
        <w:ind w:left="580" w:firstLine="1291"/>
        <w:spacing w:after="0" w:line="269" w:lineRule="auto"/>
        <w:tabs>
          <w:tab w:leader="none" w:pos="2602"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Benchmark Replacement</w:t>
      </w:r>
      <w:r>
        <w:rPr>
          <w:rFonts w:ascii="Arial" w:cs="Arial" w:eastAsia="Arial" w:hAnsi="Arial"/>
          <w:sz w:val="17"/>
          <w:szCs w:val="17"/>
          <w:color w:val="auto"/>
        </w:rPr>
        <w:t>. Notwithstanding anything to the contrary herein or in any other Transaction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w:t>
      </w:r>
      <w:r>
        <w:rPr>
          <w:rFonts w:ascii="Arial" w:cs="Arial" w:eastAsia="Arial" w:hAnsi="Arial"/>
          <w:sz w:val="17"/>
          <w:szCs w:val="17"/>
          <w:u w:val="single" w:color="auto"/>
          <w:color w:val="auto"/>
        </w:rPr>
        <w:t>Benchmark Replacement</w:t>
      </w:r>
      <w:r>
        <w:rPr>
          <w:rFonts w:ascii="Arial" w:cs="Arial" w:eastAsia="Arial" w:hAnsi="Arial"/>
          <w:sz w:val="17"/>
          <w:szCs w:val="17"/>
          <w:color w:val="auto"/>
        </w:rPr>
        <w: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(y) if a Benchmark Replacement is determined in accordance with clause (3) of the definition of “</w:t>
      </w:r>
      <w:r>
        <w:rPr>
          <w:rFonts w:ascii="Arial" w:cs="Arial" w:eastAsia="Arial" w:hAnsi="Arial"/>
          <w:sz w:val="17"/>
          <w:szCs w:val="17"/>
          <w:u w:val="single" w:color="auto"/>
          <w:color w:val="auto"/>
        </w:rPr>
        <w:t>Benchmark Replacement</w:t>
      </w:r>
      <w:r>
        <w:rPr>
          <w:rFonts w:ascii="Arial" w:cs="Arial" w:eastAsia="Arial" w:hAnsi="Arial"/>
          <w:sz w:val="17"/>
          <w:szCs w:val="17"/>
          <w:color w:val="auto"/>
        </w:rPr>
        <w:t>” for such Benchmark Replacement Date, such Benchmark Replacement will replace such Benchmark for all purposes hereunder and under any Transaction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Transaction Document so long as the Administrative Agent has not received, by such time, written notice of objection to such Benchmark Replacement from the Majority Group Agents.</w:t>
      </w:r>
    </w:p>
    <w:p>
      <w:pPr>
        <w:spacing w:after="0" w:line="178" w:lineRule="exact"/>
        <w:rPr>
          <w:rFonts w:ascii="Arial" w:cs="Arial" w:eastAsia="Arial" w:hAnsi="Arial"/>
          <w:sz w:val="17"/>
          <w:szCs w:val="17"/>
          <w:color w:val="auto"/>
        </w:rPr>
      </w:pPr>
    </w:p>
    <w:p>
      <w:pPr>
        <w:jc w:val="both"/>
        <w:ind w:left="580" w:firstLine="1291"/>
        <w:spacing w:after="0" w:line="301" w:lineRule="auto"/>
        <w:tabs>
          <w:tab w:leader="none" w:pos="2599"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In connection with the implementation of a Benchmark Replacement, the Administrative Agent will have the right to make Benchmark Replacement Conforming Changes from time to time and, notwithstanding anything to the contrary herein or in any other Transaction Document, any amendments implementing such Benchmark Replacement Conforming Changes will become effective without any further action or consent of any other party to this Agreement or any other Transaction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03" w:right="339" w:bottom="1440" w:gutter="0" w:footer="0" w:header="0"/>
        </w:sectPr>
      </w:pPr>
    </w:p>
    <w:bookmarkStart w:id="51" w:name="page52"/>
    <w:bookmarkEnd w:id="51"/>
    <w:p>
      <w:pPr>
        <w:jc w:val="both"/>
        <w:ind w:firstLine="1291"/>
        <w:spacing w:after="0" w:line="289" w:lineRule="auto"/>
        <w:tabs>
          <w:tab w:leader="none" w:pos="202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Notices; Standards for Decisions and Determinations</w:t>
      </w:r>
      <w:r>
        <w:rPr>
          <w:rFonts w:ascii="Arial" w:cs="Arial" w:eastAsia="Arial" w:hAnsi="Arial"/>
          <w:sz w:val="16"/>
          <w:szCs w:val="16"/>
          <w:color w:val="auto"/>
        </w:rPr>
        <w:t xml:space="preserve">. The Administrative Agent will promptly notify the Borrower and the Lenders of (i) any occurrence of a Benchmark Transition Event, a Term SOFR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w:t>
      </w:r>
      <w:r>
        <w:rPr>
          <w:rFonts w:ascii="Arial" w:cs="Arial" w:eastAsia="Arial" w:hAnsi="Arial"/>
          <w:sz w:val="16"/>
          <w:szCs w:val="16"/>
          <w:u w:val="single" w:color="auto"/>
          <w:color w:val="auto"/>
        </w:rPr>
        <w:t>Section 4.06(d)</w:t>
      </w:r>
      <w:r>
        <w:rPr>
          <w:rFonts w:ascii="Arial" w:cs="Arial" w:eastAsia="Arial" w:hAnsi="Arial"/>
          <w:sz w:val="16"/>
          <w:szCs w:val="16"/>
          <w:color w:val="auto"/>
        </w:rPr>
        <w:t xml:space="preserve"> below and (v) the commencement or conclusion of any Benchmark Unavailability Period. Any determination, decision or election that may be made by the Administrative Agent or the Majority Group Agents pursuant to this </w:t>
      </w:r>
      <w:r>
        <w:rPr>
          <w:rFonts w:ascii="Arial" w:cs="Arial" w:eastAsia="Arial" w:hAnsi="Arial"/>
          <w:sz w:val="16"/>
          <w:szCs w:val="16"/>
          <w:u w:val="single" w:color="auto"/>
          <w:color w:val="auto"/>
        </w:rPr>
        <w:t>Section 4.06</w:t>
      </w:r>
      <w:r>
        <w:rPr>
          <w:rFonts w:ascii="Arial" w:cs="Arial" w:eastAsia="Arial" w:hAnsi="Arial"/>
          <w:sz w:val="16"/>
          <w:szCs w:val="16"/>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Arial" w:cs="Arial" w:eastAsia="Arial" w:hAnsi="Arial"/>
          <w:sz w:val="16"/>
          <w:szCs w:val="16"/>
          <w:u w:val="single" w:color="auto"/>
          <w:color w:val="auto"/>
        </w:rPr>
        <w:t>Section 4.06</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firstLine="1291"/>
        <w:spacing w:after="0" w:line="269" w:lineRule="auto"/>
        <w:tabs>
          <w:tab w:leader="none" w:pos="2019"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Unavailability of Tenor of Benchmark</w:t>
      </w:r>
      <w:r>
        <w:rPr>
          <w:rFonts w:ascii="Arial" w:cs="Arial" w:eastAsia="Arial" w:hAnsi="Arial"/>
          <w:sz w:val="17"/>
          <w:szCs w:val="17"/>
          <w:color w:val="auto"/>
        </w:rPr>
        <w:t>. Notwithstanding anything to the contrary herein or in any other Transaction Document, at any time (including in connection with the implementation of a Benchmark Replacement), (i) if the then-current Benchmark is a term rate (including Term SOFR or USD LIBOR)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81" w:lineRule="exact"/>
        <w:rPr>
          <w:rFonts w:ascii="Arial" w:cs="Arial" w:eastAsia="Arial" w:hAnsi="Arial"/>
          <w:sz w:val="17"/>
          <w:szCs w:val="17"/>
          <w:color w:val="auto"/>
        </w:rPr>
      </w:pPr>
    </w:p>
    <w:p>
      <w:pPr>
        <w:jc w:val="both"/>
        <w:ind w:firstLine="1291"/>
        <w:spacing w:after="0" w:line="257" w:lineRule="auto"/>
        <w:tabs>
          <w:tab w:leader="none" w:pos="202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Upon the Borrower’s receipt of notice of the commencement of a Benchmark Unavailability Period, the Borrower may revoke any request for a Loan bearing interest based on USD LIBOR, conversion to or continuation of Loans bearing interest based on USD LIBOR to be made, converted or continued during any Benchmark Unavailability Period and, failing that, the Borrower will be deemed to have converted any such request into a request for a Loan of or conversion to Loans bearing interest under the Base Rate Option. During any Benchmark</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84" w:lineRule="exact"/>
        <w:rPr>
          <w:sz w:val="20"/>
          <w:szCs w:val="20"/>
          <w:color w:val="auto"/>
        </w:rPr>
      </w:pPr>
    </w:p>
    <w:p>
      <w:pPr>
        <w:jc w:val="both"/>
        <w:ind w:firstLine="1291"/>
        <w:spacing w:after="0" w:line="289" w:lineRule="auto"/>
        <w:tabs>
          <w:tab w:leader="none" w:pos="201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Secondary Term SOFR Conversion</w:t>
      </w:r>
      <w:r>
        <w:rPr>
          <w:rFonts w:ascii="Arial" w:cs="Arial" w:eastAsia="Arial" w:hAnsi="Arial"/>
          <w:sz w:val="16"/>
          <w:szCs w:val="16"/>
          <w:color w:val="auto"/>
        </w:rPr>
        <w:t xml:space="preserve">. Notwithstanding anything to the contrary herein or in any other Transaction Document and subject to the proviso below in this </w:t>
      </w:r>
      <w:r>
        <w:rPr>
          <w:rFonts w:ascii="Arial" w:cs="Arial" w:eastAsia="Arial" w:hAnsi="Arial"/>
          <w:sz w:val="16"/>
          <w:szCs w:val="16"/>
          <w:u w:val="single" w:color="auto"/>
          <w:color w:val="auto"/>
        </w:rPr>
        <w:t>Section 4.06(f)</w:t>
      </w:r>
      <w:r>
        <w:rPr>
          <w:rFonts w:ascii="Arial" w:cs="Arial" w:eastAsia="Arial" w:hAnsi="Arial"/>
          <w:sz w:val="16"/>
          <w:szCs w:val="16"/>
          <w:color w:val="auto"/>
        </w:rPr>
        <w:t>, if a Term SOFR Transition Event and its related Benchmark Replacement Date have occurred prior to the Reference Time in respect of any setting of the then-current Benchmark, then (i) the applicable Benchmark Replacement will replace the then-current Benchmark for all purposes hereunder or under any Transaction Document in respect of such Benchmark setting (the “</w:t>
      </w:r>
      <w:r>
        <w:rPr>
          <w:rFonts w:ascii="Arial" w:cs="Arial" w:eastAsia="Arial" w:hAnsi="Arial"/>
          <w:sz w:val="16"/>
          <w:szCs w:val="16"/>
          <w:u w:val="single" w:color="auto"/>
          <w:color w:val="auto"/>
        </w:rPr>
        <w:t>Secondary Term SOFR Conversion Date</w:t>
      </w:r>
      <w:r>
        <w:rPr>
          <w:rFonts w:ascii="Arial" w:cs="Arial" w:eastAsia="Arial" w:hAnsi="Arial"/>
          <w:sz w:val="16"/>
          <w:szCs w:val="16"/>
          <w:color w:val="auto"/>
        </w:rPr>
        <w:t xml:space="preserve">”) and subsequent Benchmark settings, without any amendment to, or further action or consent of any other party to, this Agreement or any other Transaction Document; and (ii) Loans outstanding on the Secondary Term SOFR Conversion Date bearing interest based on the then-current Benchmark shall be deemed to have been converted to Loans bearing interest at the Benchmark Replacement with a tenor approximately the same length as the interest payment period of the then-current Benchmark;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4.06(f)</w:t>
      </w:r>
      <w:r>
        <w:rPr>
          <w:rFonts w:ascii="Arial" w:cs="Arial" w:eastAsia="Arial" w:hAnsi="Arial"/>
          <w:sz w:val="16"/>
          <w:szCs w:val="16"/>
          <w:color w:val="auto"/>
        </w:rPr>
        <w:t xml:space="preserve"> shall not be effective unless the Administrative Agent has delivered to the Lenders and the Borrower a Term SOFR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60"/>
          </w:cols>
          <w:pgMar w:left="900" w:top="1003" w:right="339" w:bottom="1440" w:gutter="0" w:footer="0" w:header="0"/>
        </w:sectPr>
      </w:pPr>
    </w:p>
    <w:bookmarkStart w:id="52" w:name="page53"/>
    <w:bookmarkEnd w:id="52"/>
    <w:p>
      <w:pPr>
        <w:ind w:left="1480" w:hanging="729"/>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Tenor</w:t>
      </w:r>
      <w:r>
        <w:rPr>
          <w:rFonts w:ascii="Arial" w:cs="Arial" w:eastAsia="Arial" w:hAnsi="Arial"/>
          <w:sz w:val="16"/>
          <w:szCs w:val="16"/>
          <w:color w:val="auto"/>
        </w:rPr>
        <w:t>” means, as of any date of determination and with respect to the then-current Benchmark, as applicable,</w:t>
      </w:r>
    </w:p>
    <w:p>
      <w:pPr>
        <w:spacing w:after="0" w:line="46" w:lineRule="exact"/>
        <w:rPr>
          <w:sz w:val="20"/>
          <w:szCs w:val="20"/>
          <w:color w:val="auto"/>
        </w:rPr>
      </w:pPr>
    </w:p>
    <w:p>
      <w:pPr>
        <w:jc w:val="both"/>
        <w:ind w:left="100" w:firstLine="3"/>
        <w:spacing w:after="0" w:line="253" w:lineRule="auto"/>
        <w:tabs>
          <w:tab w:leader="none" w:pos="3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if the then current Benchmark is a term rate or is based on a term rate, any tenor for such Benchmark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Arial" w:cs="Arial" w:eastAsia="Arial" w:hAnsi="Arial"/>
          <w:sz w:val="18"/>
          <w:szCs w:val="18"/>
          <w:u w:val="single" w:color="auto"/>
          <w:color w:val="auto"/>
        </w:rPr>
        <w:t>Section 4.06(d)</w:t>
      </w:r>
      <w:r>
        <w:rPr>
          <w:rFonts w:ascii="Arial" w:cs="Arial" w:eastAsia="Arial" w:hAnsi="Arial"/>
          <w:sz w:val="18"/>
          <w:szCs w:val="18"/>
          <w:color w:val="auto"/>
        </w:rPr>
        <w:t>, or (y) if the then current Benchmark is not a term rate nor based on a term rate, any payment period for interest calculated with reference to such Benchmark pursuant to this Agreement as of such date.</w:t>
      </w:r>
    </w:p>
    <w:p>
      <w:pPr>
        <w:spacing w:after="0" w:line="191" w:lineRule="exact"/>
        <w:rPr>
          <w:sz w:val="20"/>
          <w:szCs w:val="20"/>
          <w:color w:val="auto"/>
        </w:rPr>
      </w:pPr>
    </w:p>
    <w:p>
      <w:pPr>
        <w:jc w:val="both"/>
        <w:ind w:left="10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USD LIBOR;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a Term SOFR Transition Event or an Early Opt-in Election, as applicable, and its related Benchmark Replacement Date have occurred with respect to USD LIBOR or the then-current Benchmark, then “Benchmark” means the applicable Benchmark Replacement to the extent that such Benchmark Replacement has replaced such prior benchmark rate pursuant to </w:t>
      </w:r>
      <w:r>
        <w:rPr>
          <w:rFonts w:ascii="Arial" w:cs="Arial" w:eastAsia="Arial" w:hAnsi="Arial"/>
          <w:sz w:val="18"/>
          <w:szCs w:val="18"/>
          <w:u w:val="single" w:color="auto"/>
          <w:color w:val="auto"/>
        </w:rPr>
        <w:t>Section 4.06(a)</w:t>
      </w:r>
      <w:r>
        <w:rPr>
          <w:rFonts w:ascii="Arial" w:cs="Arial" w:eastAsia="Arial" w:hAnsi="Arial"/>
          <w:sz w:val="18"/>
          <w:szCs w:val="18"/>
          <w:color w:val="auto"/>
        </w:rPr>
        <w:t>.</w:t>
      </w:r>
    </w:p>
    <w:p>
      <w:pPr>
        <w:spacing w:after="0" w:line="187" w:lineRule="exact"/>
        <w:rPr>
          <w:sz w:val="20"/>
          <w:szCs w:val="20"/>
          <w:color w:val="auto"/>
        </w:rPr>
      </w:pPr>
    </w:p>
    <w:p>
      <w:pPr>
        <w:jc w:val="both"/>
        <w:ind w:left="1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 for any Available Tenor, the first alternative set forth in the order below that can be determined by the Administrative Agent for the applicable Benchmark Replacement Date:</w:t>
      </w:r>
    </w:p>
    <w:p>
      <w:pPr>
        <w:spacing w:after="0" w:line="170" w:lineRule="exact"/>
        <w:rPr>
          <w:sz w:val="20"/>
          <w:szCs w:val="20"/>
          <w:color w:val="auto"/>
        </w:rPr>
      </w:pPr>
    </w:p>
    <w:p>
      <w:pPr>
        <w:ind w:left="2120" w:hanging="640"/>
        <w:spacing w:after="0"/>
        <w:tabs>
          <w:tab w:leader="none" w:pos="2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sum of: (a) Term SOFR and (b) the related Benchmark Replacement Adjustment;</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sum of: (a) Daily Simple SOFR and (b) the related Benchmark Replacement Adjustment; and</w:t>
      </w:r>
    </w:p>
    <w:p>
      <w:pPr>
        <w:spacing w:after="0" w:line="225" w:lineRule="exact"/>
        <w:rPr>
          <w:rFonts w:ascii="Arial" w:cs="Arial" w:eastAsia="Arial" w:hAnsi="Arial"/>
          <w:sz w:val="18"/>
          <w:szCs w:val="18"/>
          <w:color w:val="auto"/>
        </w:rPr>
      </w:pPr>
    </w:p>
    <w:p>
      <w:pPr>
        <w:jc w:val="both"/>
        <w:ind w:left="1480"/>
        <w:spacing w:after="0" w:line="273" w:lineRule="auto"/>
        <w:tabs>
          <w:tab w:leader="none" w:pos="211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78" w:lineRule="exact"/>
        <w:rPr>
          <w:sz w:val="20"/>
          <w:szCs w:val="20"/>
          <w:color w:val="auto"/>
        </w:rPr>
      </w:pPr>
    </w:p>
    <w:p>
      <w:pPr>
        <w:jc w:val="both"/>
        <w:ind w:left="820" w:hanging="8"/>
        <w:spacing w:after="0" w:line="293"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with respect to a Term SOFR Transition Event, on the applicable Benchmark Replacement Date, the “</w:t>
      </w:r>
      <w:r>
        <w:rPr>
          <w:rFonts w:ascii="Arial" w:cs="Arial" w:eastAsia="Arial" w:hAnsi="Arial"/>
          <w:sz w:val="16"/>
          <w:szCs w:val="16"/>
          <w:u w:val="single" w:color="auto"/>
          <w:color w:val="auto"/>
        </w:rPr>
        <w:t>Benchmark</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Replacement</w:t>
      </w:r>
      <w:r>
        <w:rPr>
          <w:rFonts w:ascii="Arial" w:cs="Arial" w:eastAsia="Arial" w:hAnsi="Arial"/>
          <w:sz w:val="16"/>
          <w:szCs w:val="16"/>
          <w:color w:val="auto"/>
        </w:rPr>
        <w:t>” shall revert to and shall be determined as set forth in clause (1) of this definition. If the Benchmark Replacement as determined pursuant to clause (1), (2) or (3) above would be less than the Floor, the Benchmark Replacement will be deemed to be the Floor for the purposes of this Agreement and the other Transaction Documents.</w:t>
      </w:r>
    </w:p>
    <w:p>
      <w:pPr>
        <w:spacing w:after="0" w:line="164" w:lineRule="exact"/>
        <w:rPr>
          <w:sz w:val="20"/>
          <w:szCs w:val="20"/>
          <w:color w:val="auto"/>
        </w:rPr>
      </w:pPr>
    </w:p>
    <w:p>
      <w:pPr>
        <w:jc w:val="both"/>
        <w:ind w:left="500" w:firstLine="97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Adjustment</w:t>
      </w:r>
      <w:r>
        <w:rPr>
          <w:rFonts w:ascii="Arial" w:cs="Arial" w:eastAsia="Arial" w:hAnsi="Arial"/>
          <w:sz w:val="18"/>
          <w:szCs w:val="18"/>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82" w:lineRule="exact"/>
        <w:rPr>
          <w:sz w:val="20"/>
          <w:szCs w:val="20"/>
          <w:color w:val="auto"/>
        </w:rPr>
      </w:pPr>
    </w:p>
    <w:p>
      <w:pPr>
        <w:ind w:left="1480" w:right="20"/>
        <w:spacing w:after="0" w:line="277" w:lineRule="auto"/>
        <w:tabs>
          <w:tab w:leader="none" w:pos="2113"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the first alternative set forth in the order below that can be determined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20"/>
          </w:cols>
          <w:pgMar w:left="1440" w:top="1003" w:right="339" w:bottom="1440" w:gutter="0" w:footer="0" w:header="0"/>
        </w:sectPr>
      </w:pPr>
    </w:p>
    <w:bookmarkStart w:id="53" w:name="page54"/>
    <w:bookmarkEnd w:id="53"/>
    <w:p>
      <w:pPr>
        <w:jc w:val="both"/>
        <w:ind w:left="2140" w:hanging="258"/>
        <w:spacing w:after="0" w:line="257" w:lineRule="auto"/>
        <w:tabs>
          <w:tab w:leader="none" w:pos="2186"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Available Tenor that has been selected or recommended by the Relevant Governmental Body for the replacement of such Benchmark with the applicable Unadjusted Benchmark Replacement for the applicable Corresponding Tenor;</w:t>
      </w:r>
    </w:p>
    <w:p>
      <w:pPr>
        <w:spacing w:after="0" w:line="187" w:lineRule="exact"/>
        <w:rPr>
          <w:rFonts w:ascii="Arial" w:cs="Arial" w:eastAsia="Arial" w:hAnsi="Arial"/>
          <w:sz w:val="18"/>
          <w:szCs w:val="18"/>
          <w:color w:val="auto"/>
        </w:rPr>
      </w:pPr>
    </w:p>
    <w:p>
      <w:pPr>
        <w:jc w:val="both"/>
        <w:ind w:left="2140" w:hanging="258"/>
        <w:spacing w:after="0" w:line="259" w:lineRule="auto"/>
        <w:tabs>
          <w:tab w:leader="none" w:pos="21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spread adjustment (which may be a positive or negative value or zero) as of the Reference Time such Benchmark Replacement is first set for such Available Tenor that would apply to the fallback rate for a derivative transaction referencing the ISDA Definitions to be effective upon an index cessation event with respect to such Benchmark for the applicable Corresponding Tenor; and</w:t>
      </w:r>
    </w:p>
    <w:p>
      <w:pPr>
        <w:spacing w:after="0" w:line="186" w:lineRule="exact"/>
        <w:rPr>
          <w:rFonts w:ascii="Arial" w:cs="Arial" w:eastAsia="Arial" w:hAnsi="Arial"/>
          <w:sz w:val="18"/>
          <w:szCs w:val="18"/>
          <w:color w:val="auto"/>
        </w:rPr>
      </w:pPr>
    </w:p>
    <w:p>
      <w:pPr>
        <w:jc w:val="both"/>
        <w:ind w:left="1480"/>
        <w:spacing w:after="0" w:line="270" w:lineRule="auto"/>
        <w:tabs>
          <w:tab w:leader="none" w:pos="2113"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purposes of clause (3) of the definition of “</w:t>
      </w:r>
      <w:r>
        <w:rPr>
          <w:rFonts w:ascii="Arial" w:cs="Arial" w:eastAsia="Arial" w:hAnsi="Arial"/>
          <w:sz w:val="17"/>
          <w:szCs w:val="17"/>
          <w:u w:val="single" w:color="auto"/>
          <w:color w:val="auto"/>
        </w:rPr>
        <w:t>Benchmark Replacement</w:t>
      </w:r>
      <w:r>
        <w:rPr>
          <w:rFonts w:ascii="Arial" w:cs="Arial" w:eastAsia="Arial" w:hAnsi="Arial"/>
          <w:sz w:val="17"/>
          <w:szCs w:val="17"/>
          <w:color w:val="auto"/>
        </w:rPr>
        <w: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181" w:lineRule="exact"/>
        <w:rPr>
          <w:sz w:val="20"/>
          <w:szCs w:val="20"/>
          <w:color w:val="auto"/>
        </w:rPr>
      </w:pPr>
    </w:p>
    <w:p>
      <w:pPr>
        <w:jc w:val="both"/>
        <w:ind w:left="820" w:hanging="8"/>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in the case of clause (1) above, such adjustment is displayed on a screen or other information service that publishes such Benchmark Replacement Adjustment from time to time as selected by the Administrative Agent in its reasonable discretion and (y) if the then-current Benchmark is a term rate, more than one tenor of such Benchmark is available as of the applicable Benchmark Replacement Date and the applicable Unadjusted Benchmark Replacement will not be a term rate, the Available Tenor of such Benchmark for purposes of this definition of “Benchmark Replacement Adjustment” shall be deemed to be the Available Tenor that has approximately the same length (disregarding business day adjustments) as the payment period for interest calculated with reference to such Unadjusted Benchmark Replacement.</w:t>
      </w:r>
    </w:p>
    <w:p>
      <w:pPr>
        <w:spacing w:after="0" w:line="177" w:lineRule="exact"/>
        <w:rPr>
          <w:sz w:val="20"/>
          <w:szCs w:val="20"/>
          <w:color w:val="auto"/>
        </w:rPr>
      </w:pPr>
    </w:p>
    <w:p>
      <w:pPr>
        <w:jc w:val="both"/>
        <w:ind w:left="82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w:t>
      </w:r>
      <w:r>
        <w:rPr>
          <w:rFonts w:ascii="Arial" w:cs="Arial" w:eastAsia="Arial" w:hAnsi="Arial"/>
          <w:sz w:val="17"/>
          <w:szCs w:val="17"/>
          <w:u w:val="single" w:color="auto"/>
          <w:color w:val="auto"/>
        </w:rPr>
        <w:t>Base Rate</w:t>
      </w:r>
      <w:r>
        <w:rPr>
          <w:rFonts w:ascii="Arial" w:cs="Arial" w:eastAsia="Arial" w:hAnsi="Arial"/>
          <w:sz w:val="17"/>
          <w:szCs w:val="17"/>
          <w:color w:val="auto"/>
        </w:rPr>
        <w:t>,” the definition of “</w:t>
      </w:r>
      <w:r>
        <w:rPr>
          <w:rFonts w:ascii="Arial" w:cs="Arial" w:eastAsia="Arial" w:hAnsi="Arial"/>
          <w:sz w:val="17"/>
          <w:szCs w:val="17"/>
          <w:u w:val="single" w:color="auto"/>
          <w:color w:val="auto"/>
        </w:rPr>
        <w:t>Business Day</w:t>
      </w:r>
      <w:r>
        <w:rPr>
          <w:rFonts w:ascii="Arial" w:cs="Arial" w:eastAsia="Arial" w:hAnsi="Arial"/>
          <w:sz w:val="17"/>
          <w:szCs w:val="17"/>
          <w:color w:val="auto"/>
        </w:rPr>
        <w:t>,” the definition of “</w:t>
      </w:r>
      <w:r>
        <w:rPr>
          <w:rFonts w:ascii="Arial" w:cs="Arial" w:eastAsia="Arial" w:hAnsi="Arial"/>
          <w:sz w:val="17"/>
          <w:szCs w:val="17"/>
          <w:u w:val="single" w:color="auto"/>
          <w:color w:val="auto"/>
        </w:rPr>
        <w:t>Interest Period</w:t>
      </w:r>
      <w:r>
        <w:rPr>
          <w:rFonts w:ascii="Arial" w:cs="Arial" w:eastAsia="Arial" w:hAnsi="Arial"/>
          <w:sz w:val="17"/>
          <w:szCs w:val="17"/>
          <w:color w:val="auto"/>
        </w:rPr>
        <w:t>,”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20"/>
          </w:cols>
          <w:pgMar w:left="1440" w:top="1003" w:right="339" w:bottom="1440" w:gutter="0" w:footer="0" w:header="0"/>
        </w:sectPr>
      </w:pPr>
    </w:p>
    <w:bookmarkStart w:id="54" w:name="page55"/>
    <w:bookmarkEnd w:id="54"/>
    <w:p>
      <w:pPr>
        <w:ind w:left="1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Date</w:t>
      </w:r>
      <w:r>
        <w:rPr>
          <w:rFonts w:ascii="Arial" w:cs="Arial" w:eastAsia="Arial" w:hAnsi="Arial"/>
          <w:sz w:val="17"/>
          <w:szCs w:val="17"/>
          <w:color w:val="auto"/>
        </w:rPr>
        <w:t>” means the earliest to occur of the following events with respect to the then-current</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Benchmark:</w:t>
      </w:r>
    </w:p>
    <w:p>
      <w:pPr>
        <w:spacing w:after="0" w:line="211" w:lineRule="exact"/>
        <w:rPr>
          <w:sz w:val="20"/>
          <w:szCs w:val="20"/>
          <w:color w:val="auto"/>
        </w:rPr>
      </w:pPr>
    </w:p>
    <w:p>
      <w:pPr>
        <w:jc w:val="both"/>
        <w:ind w:left="2120" w:hanging="640"/>
        <w:spacing w:after="0" w:line="301" w:lineRule="auto"/>
        <w:tabs>
          <w:tab w:leader="none" w:pos="2113"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clause (1) or (2) of the definition of “</w:t>
      </w:r>
      <w:r>
        <w:rPr>
          <w:rFonts w:ascii="Arial" w:cs="Arial" w:eastAsia="Arial" w:hAnsi="Arial"/>
          <w:sz w:val="16"/>
          <w:szCs w:val="16"/>
          <w:u w:val="single" w:color="auto"/>
          <w:color w:val="auto"/>
        </w:rPr>
        <w:t>Benchmark Transition Event</w:t>
      </w:r>
      <w:r>
        <w:rPr>
          <w:rFonts w:ascii="Arial" w:cs="Arial" w:eastAsia="Arial" w:hAnsi="Arial"/>
          <w:sz w:val="16"/>
          <w:szCs w:val="16"/>
          <w:color w:val="auto"/>
        </w:rPr>
        <w: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57" w:lineRule="exact"/>
        <w:rPr>
          <w:rFonts w:ascii="Arial" w:cs="Arial" w:eastAsia="Arial" w:hAnsi="Arial"/>
          <w:sz w:val="16"/>
          <w:szCs w:val="16"/>
          <w:color w:val="auto"/>
        </w:rPr>
      </w:pPr>
    </w:p>
    <w:p>
      <w:pPr>
        <w:ind w:left="2120" w:hanging="640"/>
        <w:spacing w:after="0" w:line="277" w:lineRule="auto"/>
        <w:tabs>
          <w:tab w:leader="none" w:pos="21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clause (3) of the definition of “</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the date of the public statement or publication of information referenced therein;</w:t>
      </w:r>
    </w:p>
    <w:p>
      <w:pPr>
        <w:spacing w:after="0" w:line="170" w:lineRule="exact"/>
        <w:rPr>
          <w:rFonts w:ascii="Arial" w:cs="Arial" w:eastAsia="Arial" w:hAnsi="Arial"/>
          <w:sz w:val="18"/>
          <w:szCs w:val="18"/>
          <w:color w:val="auto"/>
        </w:rPr>
      </w:pPr>
    </w:p>
    <w:p>
      <w:pPr>
        <w:jc w:val="both"/>
        <w:ind w:left="2120" w:hanging="640"/>
        <w:spacing w:after="0" w:line="263" w:lineRule="auto"/>
        <w:tabs>
          <w:tab w:leader="none" w:pos="21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 the case of a Term SOFR Transition Event, the date that is set forth in the Term SOFR Notice provided to the Lenders and the Borrower pursuant to this </w:t>
      </w:r>
      <w:r>
        <w:rPr>
          <w:rFonts w:ascii="Arial" w:cs="Arial" w:eastAsia="Arial" w:hAnsi="Arial"/>
          <w:sz w:val="18"/>
          <w:szCs w:val="18"/>
          <w:u w:val="single" w:color="auto"/>
          <w:color w:val="auto"/>
        </w:rPr>
        <w:t>Section 4.06</w:t>
      </w:r>
      <w:r>
        <w:rPr>
          <w:rFonts w:ascii="Arial" w:cs="Arial" w:eastAsia="Arial" w:hAnsi="Arial"/>
          <w:sz w:val="18"/>
          <w:szCs w:val="18"/>
          <w:color w:val="auto"/>
        </w:rPr>
        <w:t>, which date shall be at least thirty (30) days from the date of the Term SOFR Notice; or</w:t>
      </w:r>
    </w:p>
    <w:p>
      <w:pPr>
        <w:spacing w:after="0" w:line="183" w:lineRule="exact"/>
        <w:rPr>
          <w:rFonts w:ascii="Arial" w:cs="Arial" w:eastAsia="Arial" w:hAnsi="Arial"/>
          <w:sz w:val="18"/>
          <w:szCs w:val="18"/>
          <w:color w:val="auto"/>
        </w:rPr>
      </w:pPr>
    </w:p>
    <w:p>
      <w:pPr>
        <w:jc w:val="both"/>
        <w:ind w:left="2120" w:hanging="640"/>
        <w:spacing w:after="0" w:line="257" w:lineRule="auto"/>
        <w:tabs>
          <w:tab w:leader="none" w:pos="21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an Early Opt-in Election, the sixth (6th) Business Day after the date notice of such Early Opt-in Election is provided to the Group Agents, so long as the Administrative Agent has not received, by 5:00 p.m. (New York City time) on the fifth (5th) Business Day after the date notice of such Early Opt-in Election is provided to the Lenders, written notice of objection to such Early Opt-in Election from the Majority Group Agents.</w:t>
      </w:r>
    </w:p>
    <w:p>
      <w:pPr>
        <w:spacing w:after="0" w:line="188" w:lineRule="exact"/>
        <w:rPr>
          <w:sz w:val="20"/>
          <w:szCs w:val="20"/>
          <w:color w:val="auto"/>
        </w:rPr>
      </w:pPr>
    </w:p>
    <w:p>
      <w:pPr>
        <w:jc w:val="both"/>
        <w:ind w:left="820" w:hanging="8"/>
        <w:spacing w:after="0" w:line="255"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92" w:lineRule="exact"/>
        <w:rPr>
          <w:sz w:val="20"/>
          <w:szCs w:val="20"/>
          <w:color w:val="auto"/>
        </w:rPr>
      </w:pPr>
    </w:p>
    <w:p>
      <w:pPr>
        <w:jc w:val="both"/>
        <w:ind w:left="8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the occurrence of one or more of the following events with respect to the then-current Benchmark:</w:t>
      </w:r>
    </w:p>
    <w:p>
      <w:pPr>
        <w:spacing w:after="0" w:line="170" w:lineRule="exact"/>
        <w:rPr>
          <w:sz w:val="20"/>
          <w:szCs w:val="20"/>
          <w:color w:val="auto"/>
        </w:rPr>
      </w:pPr>
    </w:p>
    <w:p>
      <w:pPr>
        <w:jc w:val="both"/>
        <w:ind w:left="1480"/>
        <w:spacing w:after="0" w:line="275" w:lineRule="auto"/>
        <w:tabs>
          <w:tab w:leader="none" w:pos="2113"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20"/>
          </w:cols>
          <w:pgMar w:left="1440" w:top="1003" w:right="339" w:bottom="1440" w:gutter="0" w:footer="0" w:header="0"/>
        </w:sectPr>
      </w:pPr>
    </w:p>
    <w:bookmarkStart w:id="55" w:name="page56"/>
    <w:bookmarkEnd w:id="55"/>
    <w:p>
      <w:pPr>
        <w:jc w:val="both"/>
        <w:ind w:left="1480"/>
        <w:spacing w:after="0" w:line="270" w:lineRule="auto"/>
        <w:tabs>
          <w:tab w:leader="none" w:pos="2113"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0" w:lineRule="exact"/>
        <w:rPr>
          <w:rFonts w:ascii="Arial" w:cs="Arial" w:eastAsia="Arial" w:hAnsi="Arial"/>
          <w:sz w:val="17"/>
          <w:szCs w:val="17"/>
          <w:color w:val="auto"/>
        </w:rPr>
      </w:pPr>
    </w:p>
    <w:p>
      <w:pPr>
        <w:jc w:val="both"/>
        <w:ind w:left="1480"/>
        <w:spacing w:after="0" w:line="263" w:lineRule="auto"/>
        <w:tabs>
          <w:tab w:leader="none" w:pos="21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4" w:lineRule="exact"/>
        <w:rPr>
          <w:sz w:val="20"/>
          <w:szCs w:val="20"/>
          <w:color w:val="auto"/>
        </w:rPr>
      </w:pPr>
    </w:p>
    <w:p>
      <w:pPr>
        <w:jc w:val="both"/>
        <w:ind w:left="820" w:hanging="8"/>
        <w:spacing w:after="0" w:line="263" w:lineRule="auto"/>
        <w:rPr>
          <w:sz w:val="20"/>
          <w:szCs w:val="20"/>
          <w:color w:val="auto"/>
        </w:rPr>
      </w:pPr>
      <w:r>
        <w:rPr>
          <w:rFonts w:ascii="Arial" w:cs="Arial" w:eastAsia="Arial" w:hAnsi="Arial"/>
          <w:sz w:val="18"/>
          <w:szCs w:val="18"/>
          <w:color w:val="auto"/>
        </w:rPr>
        <w:t>For the avoidance of doubt, a “</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jc w:val="both"/>
        <w:ind w:left="82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Unavailability Period</w:t>
      </w:r>
      <w:r>
        <w:rPr>
          <w:rFonts w:ascii="Arial" w:cs="Arial" w:eastAsia="Arial" w:hAnsi="Arial"/>
          <w:sz w:val="17"/>
          <w:szCs w:val="17"/>
          <w:color w:val="auto"/>
        </w:rPr>
        <w:t xml:space="preserve">” means the period (if any) (x) beginning at the time that a Benchmark Replacement Date pursuant to clauses (1) or (2) of that definition has occurred if, at such time, no Benchmark Replacement has replaced the then-current Benchmark for all purposes hereunder and under any Transaction Document in accordance with this </w:t>
      </w:r>
      <w:r>
        <w:rPr>
          <w:rFonts w:ascii="Arial" w:cs="Arial" w:eastAsia="Arial" w:hAnsi="Arial"/>
          <w:sz w:val="17"/>
          <w:szCs w:val="17"/>
          <w:u w:val="single" w:color="auto"/>
          <w:color w:val="auto"/>
        </w:rPr>
        <w:t>Section 4.06</w:t>
      </w:r>
      <w:r>
        <w:rPr>
          <w:rFonts w:ascii="Arial" w:cs="Arial" w:eastAsia="Arial" w:hAnsi="Arial"/>
          <w:sz w:val="17"/>
          <w:szCs w:val="17"/>
          <w:color w:val="auto"/>
        </w:rPr>
        <w:t xml:space="preserve"> and (y) ending at the time that a Benchmark Replacement has replaced the then-current Benchmark for all purposes hereunder and under any other Transaction Document in accordance with this </w:t>
      </w:r>
      <w:r>
        <w:rPr>
          <w:rFonts w:ascii="Arial" w:cs="Arial" w:eastAsia="Arial" w:hAnsi="Arial"/>
          <w:sz w:val="17"/>
          <w:szCs w:val="17"/>
          <w:u w:val="single" w:color="auto"/>
          <w:color w:val="auto"/>
        </w:rPr>
        <w:t>Section 4.06</w:t>
      </w:r>
      <w:r>
        <w:rPr>
          <w:rFonts w:ascii="Arial" w:cs="Arial" w:eastAsia="Arial" w:hAnsi="Arial"/>
          <w:sz w:val="17"/>
          <w:szCs w:val="17"/>
          <w:color w:val="auto"/>
        </w:rPr>
        <w:t>.</w:t>
      </w:r>
    </w:p>
    <w:p>
      <w:pPr>
        <w:spacing w:after="0" w:line="176" w:lineRule="exact"/>
        <w:rPr>
          <w:sz w:val="20"/>
          <w:szCs w:val="20"/>
          <w:color w:val="auto"/>
        </w:rPr>
      </w:pPr>
    </w:p>
    <w:p>
      <w:pPr>
        <w:jc w:val="both"/>
        <w:ind w:left="8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84" w:lineRule="exact"/>
        <w:rPr>
          <w:sz w:val="20"/>
          <w:szCs w:val="20"/>
          <w:color w:val="auto"/>
        </w:rPr>
      </w:pPr>
    </w:p>
    <w:p>
      <w:pPr>
        <w:jc w:val="both"/>
        <w:ind w:left="8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w:t>
      </w:r>
      <w:r>
        <w:rPr>
          <w:rFonts w:ascii="Arial" w:cs="Arial" w:eastAsia="Arial" w:hAnsi="Arial"/>
          <w:sz w:val="18"/>
          <w:szCs w:val="18"/>
          <w:u w:val="single" w:color="auto"/>
          <w:color w:val="auto"/>
        </w:rPr>
        <w:t>Daily Simple SOFR</w:t>
      </w:r>
      <w:r>
        <w:rPr>
          <w:rFonts w:ascii="Arial" w:cs="Arial" w:eastAsia="Arial" w:hAnsi="Arial"/>
          <w:sz w:val="18"/>
          <w:szCs w:val="18"/>
          <w:color w:val="auto"/>
        </w:rPr>
        <w:t xml:space="preserve">” for business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8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if the then-current Benchmark is USD LIBOR, the occurrence of:</w:t>
      </w:r>
    </w:p>
    <w:p>
      <w:pPr>
        <w:spacing w:after="0" w:line="225" w:lineRule="exact"/>
        <w:rPr>
          <w:sz w:val="20"/>
          <w:szCs w:val="20"/>
          <w:color w:val="auto"/>
        </w:rPr>
      </w:pPr>
    </w:p>
    <w:p>
      <w:pPr>
        <w:jc w:val="both"/>
        <w:ind w:left="1480"/>
        <w:spacing w:after="0" w:line="275" w:lineRule="auto"/>
        <w:tabs>
          <w:tab w:leader="none" w:pos="2113"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20"/>
          </w:cols>
          <w:pgMar w:left="1440" w:top="1003" w:right="339" w:bottom="1440" w:gutter="0" w:footer="0" w:header="0"/>
        </w:sectPr>
      </w:pPr>
    </w:p>
    <w:bookmarkStart w:id="56" w:name="page57"/>
    <w:bookmarkEnd w:id="56"/>
    <w:p>
      <w:pPr>
        <w:ind w:left="1480"/>
        <w:spacing w:after="0" w:line="277" w:lineRule="auto"/>
        <w:tabs>
          <w:tab w:leader="none" w:pos="21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Borrower to trigger a fallback from USD LIBOR and the provision by the Administrative Agent of written notice of such election to the Lenders.</w:t>
      </w:r>
    </w:p>
    <w:p>
      <w:pPr>
        <w:spacing w:after="0" w:line="170" w:lineRule="exact"/>
        <w:rPr>
          <w:sz w:val="20"/>
          <w:szCs w:val="20"/>
          <w:color w:val="auto"/>
        </w:rPr>
      </w:pPr>
    </w:p>
    <w:p>
      <w:pPr>
        <w:jc w:val="both"/>
        <w:ind w:left="840" w:firstLine="315"/>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 with respect to USD LIBOR or, if no floor is specified, zero.</w:t>
      </w:r>
    </w:p>
    <w:p>
      <w:pPr>
        <w:spacing w:after="0" w:line="184" w:lineRule="exact"/>
        <w:rPr>
          <w:sz w:val="20"/>
          <w:szCs w:val="20"/>
          <w:color w:val="auto"/>
        </w:rPr>
      </w:pPr>
    </w:p>
    <w:p>
      <w:pPr>
        <w:jc w:val="both"/>
        <w:ind w:left="8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7" w:lineRule="exact"/>
        <w:rPr>
          <w:sz w:val="20"/>
          <w:szCs w:val="20"/>
          <w:color w:val="auto"/>
        </w:rPr>
      </w:pPr>
    </w:p>
    <w:p>
      <w:pPr>
        <w:jc w:val="both"/>
        <w:ind w:left="8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Reference Time</w:t>
      </w:r>
      <w:r>
        <w:rPr>
          <w:rFonts w:ascii="Arial" w:cs="Arial" w:eastAsia="Arial" w:hAnsi="Arial"/>
          <w:sz w:val="17"/>
          <w:szCs w:val="17"/>
          <w:color w:val="auto"/>
        </w:rPr>
        <w:t>” with respect to any setting of the then-current Benchmark means (1) if such Benchmark is USD LIBOR, 11:00 a.m. (London time) on the day that is two London banking days preceding the date of such setting, and (2) if such Benchmark is not USD LIBOR, the time determined by the Administrative Agent in its reasonable discretion.</w:t>
      </w:r>
    </w:p>
    <w:p>
      <w:pPr>
        <w:spacing w:after="0" w:line="165" w:lineRule="exact"/>
        <w:rPr>
          <w:sz w:val="20"/>
          <w:szCs w:val="20"/>
          <w:color w:val="auto"/>
        </w:rPr>
      </w:pPr>
    </w:p>
    <w:p>
      <w:pPr>
        <w:jc w:val="both"/>
        <w:ind w:left="8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Federal Reserve Board or the Federal Reserve Bank of New York, or a committee officially endorsed or convened by the Federal Reserve Board or the Federal Reserve Bank of New York, or any successor thereto.</w:t>
      </w:r>
    </w:p>
    <w:p>
      <w:pPr>
        <w:spacing w:after="0" w:line="184" w:lineRule="exact"/>
        <w:rPr>
          <w:sz w:val="20"/>
          <w:szCs w:val="20"/>
          <w:color w:val="auto"/>
        </w:rPr>
      </w:pPr>
    </w:p>
    <w:p>
      <w:pPr>
        <w:jc w:val="both"/>
        <w:ind w:left="8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184" w:lineRule="exact"/>
        <w:rPr>
          <w:sz w:val="20"/>
          <w:szCs w:val="20"/>
          <w:color w:val="auto"/>
        </w:rPr>
      </w:pPr>
    </w:p>
    <w:p>
      <w:pPr>
        <w:jc w:val="both"/>
        <w:ind w:left="8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Federal Reserve Bank of New York (or a successor administrator of the secured overnight financing rate).</w:t>
      </w:r>
    </w:p>
    <w:p>
      <w:pPr>
        <w:spacing w:after="0" w:line="170" w:lineRule="exact"/>
        <w:rPr>
          <w:sz w:val="20"/>
          <w:szCs w:val="20"/>
          <w:color w:val="auto"/>
        </w:rPr>
      </w:pPr>
    </w:p>
    <w:p>
      <w:pPr>
        <w:jc w:val="both"/>
        <w:ind w:left="8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84" w:lineRule="exact"/>
        <w:rPr>
          <w:sz w:val="20"/>
          <w:szCs w:val="20"/>
          <w:color w:val="auto"/>
        </w:rPr>
      </w:pPr>
    </w:p>
    <w:p>
      <w:pPr>
        <w:jc w:val="both"/>
        <w:ind w:left="820"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w:t>
      </w:r>
      <w:r>
        <w:rPr>
          <w:rFonts w:ascii="Arial" w:cs="Arial" w:eastAsia="Arial" w:hAnsi="Arial"/>
          <w:sz w:val="17"/>
          <w:szCs w:val="17"/>
          <w:color w:val="auto"/>
        </w:rPr>
        <w:t>” means, for the applicable Corresponding Tenor as of the applicable Reference Time, the forward-looking term rate based on SOFR that has been selected or recommended by the Relevant Governmental Body.</w:t>
      </w:r>
    </w:p>
    <w:p>
      <w:pPr>
        <w:spacing w:after="0" w:line="146" w:lineRule="exact"/>
        <w:rPr>
          <w:sz w:val="20"/>
          <w:szCs w:val="20"/>
          <w:color w:val="auto"/>
        </w:rPr>
      </w:pPr>
    </w:p>
    <w:p>
      <w:pPr>
        <w:jc w:val="both"/>
        <w:ind w:left="8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Notice</w:t>
      </w:r>
      <w:r>
        <w:rPr>
          <w:rFonts w:ascii="Arial" w:cs="Arial" w:eastAsia="Arial" w:hAnsi="Arial"/>
          <w:sz w:val="18"/>
          <w:szCs w:val="18"/>
          <w:color w:val="auto"/>
        </w:rPr>
        <w:t>” means a notification by the Administrative Agent to the Lenders and the Borrower of the occurrence of a Term SOFR Transition Event.</w:t>
      </w:r>
    </w:p>
    <w:p>
      <w:pPr>
        <w:spacing w:after="0" w:line="170" w:lineRule="exact"/>
        <w:rPr>
          <w:sz w:val="20"/>
          <w:szCs w:val="20"/>
          <w:color w:val="auto"/>
        </w:rPr>
      </w:pPr>
    </w:p>
    <w:p>
      <w:pPr>
        <w:jc w:val="both"/>
        <w:ind w:left="8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Transition Event</w:t>
      </w:r>
      <w:r>
        <w:rPr>
          <w:rFonts w:ascii="Arial" w:cs="Arial" w:eastAsia="Arial" w:hAnsi="Arial"/>
          <w:sz w:val="18"/>
          <w:szCs w:val="18"/>
          <w:color w:val="auto"/>
        </w:rPr>
        <w:t xml:space="preserve">” means the determination by the Administrative Agent that (a) Term SOFR has been recommended for use by the Relevant Governmental Body, and is determinable for each Available Tenor, (b) the administration of Term SOFR is administratively feasible for the Administrative Agent and (c) a Benchmark Transition Event has previously occurred resulting in a Benchmark Replacement in accordance with this </w:t>
      </w:r>
      <w:r>
        <w:rPr>
          <w:rFonts w:ascii="Arial" w:cs="Arial" w:eastAsia="Arial" w:hAnsi="Arial"/>
          <w:sz w:val="18"/>
          <w:szCs w:val="18"/>
          <w:u w:val="single" w:color="auto"/>
          <w:color w:val="auto"/>
        </w:rPr>
        <w:t>Section 4.06</w:t>
      </w:r>
      <w:r>
        <w:rPr>
          <w:rFonts w:ascii="Arial" w:cs="Arial" w:eastAsia="Arial" w:hAnsi="Arial"/>
          <w:sz w:val="18"/>
          <w:szCs w:val="18"/>
          <w:color w:val="auto"/>
        </w:rPr>
        <w:t xml:space="preserve"> that is not Term SOFR. “</w:t>
      </w:r>
      <w:r>
        <w:rPr>
          <w:rFonts w:ascii="Arial" w:cs="Arial" w:eastAsia="Arial" w:hAnsi="Arial"/>
          <w:sz w:val="18"/>
          <w:szCs w:val="18"/>
          <w:u w:val="single" w:color="auto"/>
          <w:color w:val="auto"/>
        </w:rPr>
        <w:t>Unadjusted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 the applicable Benchmark Replacement excluding the related Benchmark Replacement Adjustment.</w:t>
      </w:r>
    </w:p>
    <w:p>
      <w:pPr>
        <w:spacing w:after="0" w:line="192" w:lineRule="exact"/>
        <w:rPr>
          <w:sz w:val="20"/>
          <w:szCs w:val="20"/>
          <w:color w:val="auto"/>
        </w:rPr>
      </w:pPr>
    </w:p>
    <w:p>
      <w:pPr>
        <w:jc w:val="both"/>
        <w:ind w:left="8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LIBOR</w:t>
      </w:r>
      <w:r>
        <w:rPr>
          <w:rFonts w:ascii="Arial" w:cs="Arial" w:eastAsia="Arial" w:hAnsi="Arial"/>
          <w:sz w:val="18"/>
          <w:szCs w:val="18"/>
          <w:color w:val="auto"/>
        </w:rPr>
        <w:t>” means any London interbank offered rate for U.S. dollars, including Adjusted LIBOR and LMIR,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120"/>
          </w:cols>
          <w:pgMar w:left="1440" w:top="1003" w:right="339" w:bottom="1440" w:gutter="0" w:footer="0" w:header="0"/>
        </w:sectPr>
      </w:pPr>
    </w:p>
    <w:bookmarkStart w:id="57" w:name="page58"/>
    <w:bookmarkEnd w:id="57"/>
    <w:p>
      <w:pPr>
        <w:ind w:right="20" w:firstLine="656"/>
        <w:spacing w:after="0" w:line="277" w:lineRule="auto"/>
        <w:tabs>
          <w:tab w:leader="none" w:pos="129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Original Receivables Financing Agreement is hereby amended by adding the following as a new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immediately following the existing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thereof:</w:t>
      </w:r>
    </w:p>
    <w:p>
      <w:pPr>
        <w:spacing w:after="0" w:line="170" w:lineRule="exact"/>
        <w:rPr>
          <w:sz w:val="20"/>
          <w:szCs w:val="20"/>
          <w:color w:val="auto"/>
        </w:rPr>
      </w:pPr>
    </w:p>
    <w:p>
      <w:pPr>
        <w:ind w:left="180"/>
        <w:spacing w:after="0"/>
        <w:tabs>
          <w:tab w:leader="none" w:pos="164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Erroneous Payment</w:t>
      </w:r>
      <w:r>
        <w:rPr>
          <w:rFonts w:ascii="Arial" w:cs="Arial" w:eastAsia="Arial" w:hAnsi="Arial"/>
          <w:sz w:val="16"/>
          <w:szCs w:val="16"/>
          <w:color w:val="auto"/>
        </w:rPr>
        <w:t>.</w:t>
      </w:r>
    </w:p>
    <w:p>
      <w:pPr>
        <w:spacing w:after="0" w:line="225" w:lineRule="exact"/>
        <w:rPr>
          <w:sz w:val="20"/>
          <w:szCs w:val="20"/>
          <w:color w:val="auto"/>
        </w:rPr>
      </w:pPr>
    </w:p>
    <w:p>
      <w:pPr>
        <w:jc w:val="both"/>
        <w:ind w:left="660" w:firstLine="1292"/>
        <w:spacing w:after="0" w:line="286" w:lineRule="auto"/>
        <w:tabs>
          <w:tab w:leader="none" w:pos="2601" w:val="left"/>
        </w:tabs>
        <w:numPr>
          <w:ilvl w:val="0"/>
          <w:numId w:val="31"/>
        </w:numPr>
        <w:rPr>
          <w:rFonts w:ascii="Arial" w:cs="Arial" w:eastAsia="Arial" w:hAnsi="Arial"/>
          <w:sz w:val="16"/>
          <w:szCs w:val="16"/>
          <w:color w:val="auto"/>
        </w:rPr>
      </w:pPr>
      <w:r>
        <w:rPr>
          <w:rFonts w:ascii="Arial" w:cs="Arial" w:eastAsia="Arial" w:hAnsi="Arial"/>
          <w:sz w:val="16"/>
          <w:szCs w:val="16"/>
          <w:color w:val="auto"/>
        </w:rPr>
        <w:t>Each Lender hereby agrees that (i) if the Administrative Agent notifies such Lender that the Administrative Agent has determined in its sole discretion that any funds received by such Lender from the Administrative Agent or any of its Affiliates were erroneously transmitted to, or otherwise erroneously or mistakenly received by, such Lender (whether or not known to such Lender (whether as a payment, prepayment or repayment of principal, interest, fees or otherwise), individually and collectively, an “</w:t>
      </w:r>
      <w:r>
        <w:rPr>
          <w:rFonts w:ascii="Arial" w:cs="Arial" w:eastAsia="Arial" w:hAnsi="Arial"/>
          <w:sz w:val="16"/>
          <w:szCs w:val="16"/>
          <w:u w:val="single" w:color="auto"/>
          <w:color w:val="auto"/>
        </w:rPr>
        <w:t>Erroneous Payment</w:t>
      </w:r>
      <w:r>
        <w:rPr>
          <w:rFonts w:ascii="Arial" w:cs="Arial" w:eastAsia="Arial" w:hAnsi="Arial"/>
          <w:sz w:val="16"/>
          <w:szCs w:val="16"/>
          <w:color w:val="auto"/>
        </w:rPr>
        <w:t>”) and demands the return of such Erroneous Payment (or a portion thereof), such Lender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Overnight Bank Funding Rate and a rate determined by the Administrative Agent in accordance with banking industry rules on interbank compensation from time to time in effect, and (ii)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under this clause (a) shall be conclusive, absent manifest error.</w:t>
      </w:r>
    </w:p>
    <w:p>
      <w:pPr>
        <w:spacing w:after="0" w:line="173" w:lineRule="exact"/>
        <w:rPr>
          <w:rFonts w:ascii="Arial" w:cs="Arial" w:eastAsia="Arial" w:hAnsi="Arial"/>
          <w:sz w:val="16"/>
          <w:szCs w:val="16"/>
          <w:color w:val="auto"/>
        </w:rPr>
      </w:pPr>
    </w:p>
    <w:p>
      <w:pPr>
        <w:jc w:val="both"/>
        <w:ind w:left="660" w:firstLine="1292"/>
        <w:spacing w:after="0" w:line="269" w:lineRule="auto"/>
        <w:tabs>
          <w:tab w:leader="none" w:pos="2598" w:val="left"/>
        </w:tabs>
        <w:numPr>
          <w:ilvl w:val="0"/>
          <w:numId w:val="31"/>
        </w:numPr>
        <w:rPr>
          <w:rFonts w:ascii="Arial" w:cs="Arial" w:eastAsia="Arial" w:hAnsi="Arial"/>
          <w:sz w:val="17"/>
          <w:szCs w:val="17"/>
          <w:color w:val="auto"/>
        </w:rPr>
      </w:pPr>
      <w:r>
        <w:rPr>
          <w:rFonts w:ascii="Arial" w:cs="Arial" w:eastAsia="Arial" w:hAnsi="Arial"/>
          <w:sz w:val="17"/>
          <w:szCs w:val="17"/>
          <w:color w:val="auto"/>
        </w:rPr>
        <w:t>Without limiting immediately preceding clause (a), each Lender hereby further agrees that if it receives an Erroneous Payment from the Administrative Agent (or any of its Affiliates) (i) that is in an amount different than (other than a de minimis difference), or on a different date from, that specified in a notice of payment sent by the Administrative Agent (or any of its Affiliates) with respect to such Erroneous Payment (an “</w:t>
      </w:r>
      <w:r>
        <w:rPr>
          <w:rFonts w:ascii="Arial" w:cs="Arial" w:eastAsia="Arial" w:hAnsi="Arial"/>
          <w:sz w:val="17"/>
          <w:szCs w:val="17"/>
          <w:u w:val="single" w:color="auto"/>
          <w:color w:val="auto"/>
        </w:rPr>
        <w:t>Erroneous Payment Notice</w:t>
      </w:r>
      <w:r>
        <w:rPr>
          <w:rFonts w:ascii="Arial" w:cs="Arial" w:eastAsia="Arial" w:hAnsi="Arial"/>
          <w:sz w:val="17"/>
          <w:szCs w:val="17"/>
          <w:color w:val="auto"/>
        </w:rPr>
        <w:t>”), or (ii) that was not preceded or accompanied by an Erroneous Payment Notice, it shall be on notice that, in each such case, an error has been made with respect to such Erroneous Payment. Each Lender further agrees that, in each such case, or if it otherwise becomes aware an Erroneous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Erroneous Payment (or portion thereof) that was received by such Lender to the date such amount is repaid to the Administrative Agent in same day funds at the greater of the Overnight Bank Funding Rate and a rate determined by the Administrative Agent in accordance with banking industry rules on interbank compensation from time to time in effect.</w:t>
      </w:r>
    </w:p>
    <w:p>
      <w:pPr>
        <w:spacing w:after="0" w:line="181" w:lineRule="exact"/>
        <w:rPr>
          <w:rFonts w:ascii="Arial" w:cs="Arial" w:eastAsia="Arial" w:hAnsi="Arial"/>
          <w:sz w:val="17"/>
          <w:szCs w:val="17"/>
          <w:color w:val="auto"/>
        </w:rPr>
      </w:pPr>
    </w:p>
    <w:p>
      <w:pPr>
        <w:jc w:val="both"/>
        <w:ind w:left="660" w:firstLine="1292"/>
        <w:spacing w:after="0" w:line="259" w:lineRule="auto"/>
        <w:tabs>
          <w:tab w:leader="none" w:pos="26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Borrower and the Servicer hereby agree that (i) in the event an Erroneous Payment (or portion thereof) is not recovered from any Lender that has received such Erroneous Payment (or portion thereof) for any reason, the Administrative Agent shall be subrogated to all the rights of such Lender with respect to such amount and (ii) an Erroneous Payment shall not pay, prepay, repay, discharge or otherwise satisfy any Obligations owed by the Borrower or the Servicer.</w:t>
      </w:r>
    </w:p>
    <w:p>
      <w:pPr>
        <w:spacing w:after="0" w:line="186" w:lineRule="exact"/>
        <w:rPr>
          <w:rFonts w:ascii="Arial" w:cs="Arial" w:eastAsia="Arial" w:hAnsi="Arial"/>
          <w:sz w:val="18"/>
          <w:szCs w:val="18"/>
          <w:color w:val="auto"/>
        </w:rPr>
      </w:pPr>
    </w:p>
    <w:p>
      <w:pPr>
        <w:ind w:left="2600" w:hanging="648"/>
        <w:spacing w:after="0"/>
        <w:tabs>
          <w:tab w:leader="none" w:pos="2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shall survive the</w:t>
      </w:r>
    </w:p>
    <w:p>
      <w:pPr>
        <w:spacing w:after="0" w:line="225" w:lineRule="exact"/>
        <w:rPr>
          <w:sz w:val="20"/>
          <w:szCs w:val="20"/>
          <w:color w:val="auto"/>
        </w:rPr>
      </w:pPr>
    </w:p>
    <w:p>
      <w:pPr>
        <w:jc w:val="both"/>
        <w:ind w:left="660" w:hanging="8"/>
        <w:spacing w:after="0" w:line="263" w:lineRule="auto"/>
        <w:rPr>
          <w:sz w:val="20"/>
          <w:szCs w:val="20"/>
          <w:color w:val="auto"/>
        </w:rPr>
      </w:pPr>
      <w:r>
        <w:rPr>
          <w:rFonts w:ascii="Arial" w:cs="Arial" w:eastAsia="Arial" w:hAnsi="Arial"/>
          <w:sz w:val="18"/>
          <w:szCs w:val="18"/>
          <w:color w:val="auto"/>
        </w:rPr>
        <w:t>resignation or replacement of the Administrative Agent or any transfer of rights or obligations by, or the replacement of, a Lender, the termination of the Commitments or the repayment, satisfaction or discharge of all Borrower Obligations (or any portion thereof) and the Servicer’s obligations (or any portion thereof) under any Transaction Document.</w:t>
      </w:r>
    </w:p>
    <w:p>
      <w:pPr>
        <w:spacing w:after="0" w:line="184" w:lineRule="exact"/>
        <w:rPr>
          <w:sz w:val="20"/>
          <w:szCs w:val="20"/>
          <w:color w:val="auto"/>
        </w:rPr>
      </w:pPr>
    </w:p>
    <w:p>
      <w:pPr>
        <w:ind w:firstLine="656"/>
        <w:spacing w:after="0" w:line="277" w:lineRule="auto"/>
        <w:tabs>
          <w:tab w:leader="none" w:pos="128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the Original Receivables Financing Agreement is hereby deleted and replaced in its entirety with the schedule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03" w:right="339" w:bottom="1440" w:gutter="0" w:footer="0" w:header="0"/>
        </w:sectPr>
      </w:pPr>
    </w:p>
    <w:bookmarkStart w:id="58" w:name="page59"/>
    <w:bookmarkEnd w:id="58"/>
    <w:p>
      <w:pPr>
        <w:ind w:firstLine="656"/>
        <w:spacing w:after="0" w:line="277" w:lineRule="auto"/>
        <w:tabs>
          <w:tab w:leader="none" w:pos="129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to the Original Receivables Financing Agreement is hereby deleted and replaced in its entirety with the schedule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u w:val="single" w:color="auto"/>
          <w:color w:val="auto"/>
        </w:rPr>
        <w:t>SECTION 3. Representations, Warranties and Enforceability</w:t>
      </w:r>
      <w:r>
        <w:rPr>
          <w:rFonts w:ascii="Arial" w:cs="Arial" w:eastAsia="Arial" w:hAnsi="Arial"/>
          <w:sz w:val="17"/>
          <w:szCs w:val="17"/>
          <w:color w:val="auto"/>
        </w:rPr>
        <w:t>. Each of the Borrower and the Servicer hereby represents and warrants to the Administrative Agent, the Group Agents and the Lenders, as applicable, as of the date hereof with respect to itself, as follows:the representations and warranties of it contained in Section 6.01 and Section 6.02, as applicable, of the Receivables Financing Agreement are true and correct in all material respects (unless such representations and warranties contain a materiality qualification, in which case, such representations and warranties shall be true and correct as made) on and as of the date hereof as though made on and as of such date unless such representations and warranties by their terms refer to an earlier date, in which case they shall be true and correct in all material respects (unless such representations and warranties contain a materiality qualification, in which case such representations and warranties shall be true and correct as made) on and as of such earlier date; and</w:t>
      </w:r>
    </w:p>
    <w:p>
      <w:pPr>
        <w:spacing w:after="0" w:line="177" w:lineRule="exact"/>
        <w:rPr>
          <w:sz w:val="20"/>
          <w:szCs w:val="20"/>
          <w:color w:val="auto"/>
        </w:rPr>
      </w:pPr>
    </w:p>
    <w:p>
      <w:pPr>
        <w:jc w:val="both"/>
        <w:ind w:firstLine="656"/>
        <w:spacing w:after="0" w:line="259" w:lineRule="auto"/>
        <w:tabs>
          <w:tab w:leader="none" w:pos="92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the execution and delivery by it of this Amendment, and the performance of its obligations under this Amendment and the Receivables Financing Agreement, as amended hereby, are within its organizational powers and have been duly authorized by all necessary action on its part and (ii) this Amendment and the Receivables Financing Agreement, as amended hereby, are its valid and legally binding obligations, enforceable in accordance with their respective terms.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SECTION 4. Conditions Precedent</w:t>
      </w:r>
      <w:r>
        <w:rPr>
          <w:rFonts w:ascii="Arial" w:cs="Arial" w:eastAsia="Arial" w:hAnsi="Arial"/>
          <w:sz w:val="16"/>
          <w:szCs w:val="16"/>
          <w:color w:val="auto"/>
        </w:rPr>
        <w:t>. The effectiveness of this Amendment is subject to the satisfaction of all of the following conditions precedent:</w:t>
      </w:r>
    </w:p>
    <w:p>
      <w:pPr>
        <w:spacing w:after="0" w:line="248" w:lineRule="exact"/>
        <w:rPr>
          <w:sz w:val="20"/>
          <w:szCs w:val="20"/>
          <w:color w:val="auto"/>
        </w:rPr>
      </w:pPr>
    </w:p>
    <w:p>
      <w:pPr>
        <w:jc w:val="both"/>
        <w:ind w:firstLine="656"/>
        <w:spacing w:after="0" w:line="263" w:lineRule="auto"/>
        <w:tabs>
          <w:tab w:leader="none" w:pos="12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Administrative Agent shall have received a fully executed counterpart of (i) this Amendment and (ii) the Amendment Fee Letter, dated as of the date hereof, by and among PNC, as the Administrative Agent, as a Committed Lender and as a Group Agent, and acknowledged and agreed to by the Structuring Agent and the Borrower (together, the “</w:t>
      </w:r>
      <w:r>
        <w:rPr>
          <w:rFonts w:ascii="Arial" w:cs="Arial" w:eastAsia="Arial" w:hAnsi="Arial"/>
          <w:sz w:val="18"/>
          <w:szCs w:val="18"/>
          <w:u w:val="single" w:color="auto"/>
          <w:color w:val="auto"/>
        </w:rPr>
        <w:t>Amendment Documents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2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PNC, as the Administrative Agent, as a Committed Lender and as the Group Agent for the PNC Group under the Receivables Financing Agreement, as applicable, shall have received all fees and other amounts due and payable to it under the Transaction Documents and in connection with the Amendment Documents on or prior to the date hereof, including, to the extent invoiced, payment or reimbursement of all fees and expenses (including reasonable and documented out-of-pocket fees, charges and disbursements of counsel) required to be paid or reimbursed on or prior to the date hereof. To the extent such fees and other amounts have not yet been invoiced, the Borrower agrees to remit payment to the applicable party promptly upon receipt of such invoice.</w:t>
      </w:r>
    </w:p>
    <w:p>
      <w:pPr>
        <w:spacing w:after="0" w:line="192" w:lineRule="exact"/>
        <w:rPr>
          <w:rFonts w:ascii="Arial" w:cs="Arial" w:eastAsia="Arial" w:hAnsi="Arial"/>
          <w:sz w:val="18"/>
          <w:szCs w:val="18"/>
          <w:color w:val="auto"/>
        </w:rPr>
      </w:pPr>
    </w:p>
    <w:p>
      <w:pPr>
        <w:ind w:right="20" w:firstLine="656"/>
        <w:spacing w:after="0" w:line="277" w:lineRule="auto"/>
        <w:tabs>
          <w:tab w:leader="none" w:pos="12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Event of Default or Unmatured Event of Default, as set forth in Section 9.01 of the Receivables Financing Agreement, shall have occurred and be continuing.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SECTION 5. Amendment</w:t>
      </w:r>
      <w:r>
        <w:rPr>
          <w:rFonts w:ascii="Arial" w:cs="Arial" w:eastAsia="Arial" w:hAnsi="Arial"/>
          <w:sz w:val="18"/>
          <w:szCs w:val="18"/>
          <w:color w:val="auto"/>
        </w:rPr>
        <w:t xml:space="preserve">. The Borrower, the Servicer, the Administrative Agent, the Group Agents, the Lenders, and, with respect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the Performance Guarantor, hereby agree that the provisions and effectiveness of this Amendment shall apply to the Receivables Financing Agreement as of the date hereof. Except as amended by this Amendment, the Receivables Financing Agreement remains unchanged and in full force and effect. This Amendment is a Transaction Document.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SECTION 6. Counterparts</w:t>
      </w:r>
      <w:r>
        <w:rPr>
          <w:rFonts w:ascii="Arial" w:cs="Arial" w:eastAsia="Arial" w:hAnsi="Arial"/>
          <w:sz w:val="18"/>
          <w:szCs w:val="18"/>
          <w:color w:val="auto"/>
        </w:rPr>
        <w:t>. This Amendment may be executed in any number of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SECTION 7. Captions</w:t>
      </w:r>
      <w:r>
        <w:rPr>
          <w:rFonts w:ascii="Arial" w:cs="Arial" w:eastAsia="Arial" w:hAnsi="Arial"/>
          <w:sz w:val="18"/>
          <w:szCs w:val="18"/>
          <w:color w:val="auto"/>
        </w:rPr>
        <w:t>. The headings of the Sections of this Amendment are provided solely for convenience of reference and shall not modify, define, expand or limit any of the terms or provisions of this Amendment.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SECTION 8. Successors and permitted assigns</w:t>
      </w:r>
      <w:r>
        <w:rPr>
          <w:rFonts w:ascii="Arial" w:cs="Arial" w:eastAsia="Arial" w:hAnsi="Arial"/>
          <w:sz w:val="18"/>
          <w:szCs w:val="18"/>
          <w:color w:val="auto"/>
        </w:rPr>
        <w:t xml:space="preserve">. The terms of this Amendment shall be binding upon, and shall inure to the benefit of, the Borrower, the Servicer, the Administrative Agent, the Group Agents, the Lenders, and, with respect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the Performance Guarantor and their respective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03" w:right="339" w:bottom="1440" w:gutter="0" w:footer="0" w:header="0"/>
        </w:sectPr>
      </w:pPr>
    </w:p>
    <w:bookmarkStart w:id="59" w:name="page60"/>
    <w:bookmarkEnd w:id="59"/>
    <w:p>
      <w:pPr>
        <w:jc w:val="both"/>
        <w:ind w:firstLine="648"/>
        <w:spacing w:after="0" w:line="263" w:lineRule="auto"/>
        <w:rPr>
          <w:sz w:val="20"/>
          <w:szCs w:val="20"/>
          <w:color w:val="auto"/>
        </w:rPr>
      </w:pPr>
      <w:r>
        <w:rPr>
          <w:rFonts w:ascii="Arial" w:cs="Arial" w:eastAsia="Arial" w:hAnsi="Arial"/>
          <w:sz w:val="18"/>
          <w:szCs w:val="18"/>
          <w:u w:val="single" w:color="auto"/>
          <w:color w:val="auto"/>
        </w:rPr>
        <w:t>SECTION 9. Severability</w:t>
      </w:r>
      <w:r>
        <w:rPr>
          <w:rFonts w:ascii="Arial" w:cs="Arial" w:eastAsia="Arial" w:hAnsi="Arial"/>
          <w:sz w:val="18"/>
          <w:szCs w:val="18"/>
          <w:color w:val="auto"/>
        </w:rPr>
        <w:t>.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u w:val="single" w:color="auto"/>
          <w:color w:val="auto"/>
        </w:rPr>
        <w:t>SECTION 10. Governing Law and Jurisdiction</w:t>
      </w:r>
      <w:r>
        <w:rPr>
          <w:rFonts w:ascii="Arial" w:cs="Arial" w:eastAsia="Arial" w:hAnsi="Arial"/>
          <w:sz w:val="17"/>
          <w:szCs w:val="17"/>
          <w:color w:val="auto"/>
        </w:rPr>
        <w:t>. The provisions of the Receivables Financing Agreement with respect to governing law, jurisdiction, and agent for service of process are incorporated in this Amendment by reference as if such provisions were set forth herein.</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u w:val="single" w:color="auto"/>
          <w:color w:val="auto"/>
        </w:rPr>
        <w:t>SECTION 11. Ratification of Performance Guarantee</w:t>
      </w:r>
      <w:r>
        <w:rPr>
          <w:rFonts w:ascii="Arial" w:cs="Arial" w:eastAsia="Arial" w:hAnsi="Arial"/>
          <w:sz w:val="17"/>
          <w:szCs w:val="17"/>
          <w:color w:val="auto"/>
        </w:rPr>
        <w:t>. After giving effect to the Amendment Documents, all of the provisions of the Performance Guaranty shall remain in full force and effect and the Performance Guarantor hereby ratifies and affirms the Performance Guaranty and acknowledges that the Performance Guaranty has continued and shall continue in full force and effect in accordance with its terms.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03" w:right="339" w:bottom="1440" w:gutter="0" w:footer="0" w:header="0"/>
        </w:sectPr>
      </w:pPr>
    </w:p>
    <w:bookmarkStart w:id="60" w:name="page61"/>
    <w:bookmarkEnd w:id="60"/>
    <w:p>
      <w:pPr>
        <w:ind w:left="640"/>
        <w:spacing w:after="0"/>
        <w:rPr>
          <w:sz w:val="20"/>
          <w:szCs w:val="20"/>
          <w:color w:val="auto"/>
        </w:rPr>
      </w:pPr>
      <w:r>
        <w:rPr>
          <w:rFonts w:ascii="Arial" w:cs="Arial" w:eastAsia="Arial" w:hAnsi="Arial"/>
          <w:sz w:val="16"/>
          <w:szCs w:val="16"/>
          <w:color w:val="auto"/>
        </w:rPr>
        <w:t>IN WITNESS WHEREOF, the parties hereto have executed this Amendment by their duly authorized officers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 RECEIVABLES LLC,</w:t>
      </w:r>
    </w:p>
    <w:p>
      <w:pPr>
        <w:spacing w:after="0"/>
        <w:rPr>
          <w:sz w:val="20"/>
          <w:szCs w:val="20"/>
          <w:color w:val="auto"/>
        </w:rPr>
      </w:pPr>
      <w:r>
        <w:rPr>
          <w:rFonts w:ascii="Arial" w:cs="Arial" w:eastAsia="Arial" w:hAnsi="Arial"/>
          <w:sz w:val="18"/>
          <w:szCs w:val="18"/>
          <w:color w:val="auto"/>
        </w:rPr>
        <w:t>as the Borrower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Carrie L. Anderson</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560" w:type="dxa"/>
            <w:vAlign w:val="bottom"/>
          </w:tcPr>
          <w:p>
            <w:pPr>
              <w:ind w:left="20"/>
              <w:spacing w:after="0"/>
              <w:rPr>
                <w:sz w:val="20"/>
                <w:szCs w:val="20"/>
                <w:color w:val="auto"/>
              </w:rPr>
            </w:pPr>
            <w:r>
              <w:rPr>
                <w:rFonts w:ascii="Arial" w:cs="Arial" w:eastAsia="Arial" w:hAnsi="Arial"/>
                <w:sz w:val="18"/>
                <w:szCs w:val="18"/>
                <w:color w:val="auto"/>
              </w:rPr>
              <w:t>Carrie L. Anderson</w:t>
            </w:r>
          </w:p>
        </w:tc>
      </w:t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56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30"/>
        </w:trPr>
        <w:tc>
          <w:tcPr>
            <w:tcW w:w="78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 LIFESCIENCES SALES LLC,</w:t>
      </w:r>
    </w:p>
    <w:p>
      <w:pPr>
        <w:spacing w:after="0" w:line="203" w:lineRule="auto"/>
        <w:rPr>
          <w:sz w:val="20"/>
          <w:szCs w:val="20"/>
          <w:color w:val="auto"/>
        </w:rPr>
      </w:pPr>
      <w:r>
        <w:rPr>
          <w:rFonts w:ascii="Arial" w:cs="Arial" w:eastAsia="Arial" w:hAnsi="Arial"/>
          <w:sz w:val="18"/>
          <w:szCs w:val="18"/>
          <w:color w:val="auto"/>
        </w:rPr>
        <w:t>as the Servicer</w:t>
      </w:r>
    </w:p>
    <w:p>
      <w:pPr>
        <w:spacing w:after="0"/>
        <w:rPr>
          <w:sz w:val="20"/>
          <w:szCs w:val="20"/>
          <w:color w:val="auto"/>
        </w:rPr>
      </w:pPr>
      <w:r>
        <w:rPr>
          <w:rFonts w:ascii="Arial" w:cs="Arial" w:eastAsia="Arial" w:hAnsi="Arial"/>
          <w:sz w:val="18"/>
          <w:szCs w:val="18"/>
          <w:color w:val="auto"/>
        </w:rPr>
        <w:t>By: Integra LifeSciences Corporation, its sole member</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Carrie L. Anderson</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560" w:type="dxa"/>
            <w:vAlign w:val="bottom"/>
          </w:tcPr>
          <w:p>
            <w:pPr>
              <w:ind w:left="20"/>
              <w:spacing w:after="0"/>
              <w:rPr>
                <w:sz w:val="20"/>
                <w:szCs w:val="20"/>
                <w:color w:val="auto"/>
              </w:rPr>
            </w:pPr>
            <w:r>
              <w:rPr>
                <w:rFonts w:ascii="Arial" w:cs="Arial" w:eastAsia="Arial" w:hAnsi="Arial"/>
                <w:sz w:val="18"/>
                <w:szCs w:val="18"/>
                <w:color w:val="auto"/>
              </w:rPr>
              <w:t>Carrie L. Anderson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56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29"/>
        </w:trPr>
        <w:tc>
          <w:tcPr>
            <w:tcW w:w="78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 xml:space="preserve">Amendment 3 to RFA (Integra) </w:t>
      </w:r>
      <w:r>
        <w:rPr>
          <w:rFonts w:ascii="Arial" w:cs="Arial" w:eastAsia="Arial" w:hAnsi="Arial"/>
          <w:sz w:val="18"/>
          <w:szCs w:val="18"/>
          <w:color w:val="auto"/>
        </w:rPr>
        <w:t>S-1</w:t>
      </w:r>
    </w:p>
    <w:p>
      <w:pPr>
        <w:sectPr>
          <w:pgSz w:w="11900" w:h="16838" w:orient="portrait"/>
          <w:cols w:equalWidth="0" w:num="1">
            <w:col w:w="10960"/>
          </w:cols>
          <w:pgMar w:left="340" w:top="773" w:right="599" w:bottom="1440" w:gutter="0" w:footer="0" w:header="0"/>
        </w:sectPr>
      </w:pPr>
    </w:p>
    <w:bookmarkStart w:id="61" w:name="page62"/>
    <w:bookmarkEnd w:id="61"/>
    <w:p>
      <w:pPr>
        <w:ind w:right="3339" w:hanging="8"/>
        <w:spacing w:after="0" w:line="277" w:lineRule="auto"/>
        <w:rPr>
          <w:sz w:val="20"/>
          <w:szCs w:val="20"/>
          <w:color w:val="auto"/>
        </w:rPr>
      </w:pPr>
      <w:r>
        <w:rPr>
          <w:rFonts w:ascii="Arial" w:cs="Arial" w:eastAsia="Arial" w:hAnsi="Arial"/>
          <w:sz w:val="18"/>
          <w:szCs w:val="18"/>
          <w:color w:val="auto"/>
        </w:rPr>
        <w:t xml:space="preserve">Acknowledged and reaffirmed by, with respect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INTEGRA LIFESCIENCES HOLDINGS</w:t>
      </w:r>
    </w:p>
    <w:p>
      <w:pPr>
        <w:ind w:left="20"/>
        <w:spacing w:after="0" w:line="203" w:lineRule="auto"/>
        <w:rPr>
          <w:sz w:val="20"/>
          <w:szCs w:val="20"/>
          <w:color w:val="auto"/>
        </w:rPr>
      </w:pPr>
      <w:r>
        <w:rPr>
          <w:rFonts w:ascii="Arial" w:cs="Arial" w:eastAsia="Arial" w:hAnsi="Arial"/>
          <w:sz w:val="18"/>
          <w:szCs w:val="18"/>
          <w:b w:val="1"/>
          <w:bCs w:val="1"/>
          <w:color w:val="auto"/>
        </w:rPr>
        <w:t>CORPORATION,</w:t>
      </w:r>
    </w:p>
    <w:p>
      <w:pPr>
        <w:ind w:left="20"/>
        <w:spacing w:after="0"/>
        <w:rPr>
          <w:sz w:val="20"/>
          <w:szCs w:val="20"/>
          <w:color w:val="auto"/>
        </w:rPr>
      </w:pPr>
      <w:r>
        <w:rPr>
          <w:rFonts w:ascii="Arial" w:cs="Arial" w:eastAsia="Arial" w:hAnsi="Arial"/>
          <w:sz w:val="18"/>
          <w:szCs w:val="18"/>
          <w:color w:val="auto"/>
        </w:rPr>
        <w:t>as the Performance Guarantor</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Carrie L. Anderson</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460" w:type="dxa"/>
            <w:vAlign w:val="bottom"/>
          </w:tcPr>
          <w:p>
            <w:pPr>
              <w:ind w:left="20"/>
              <w:spacing w:after="0"/>
              <w:rPr>
                <w:sz w:val="20"/>
                <w:szCs w:val="20"/>
                <w:color w:val="auto"/>
              </w:rPr>
            </w:pPr>
            <w:r>
              <w:rPr>
                <w:rFonts w:ascii="Arial" w:cs="Arial" w:eastAsia="Arial" w:hAnsi="Arial"/>
                <w:sz w:val="18"/>
                <w:szCs w:val="18"/>
                <w:color w:val="auto"/>
              </w:rPr>
              <w:t>Carrie L. Anderson</w:t>
            </w:r>
          </w:p>
        </w:tc>
      </w:tr>
      <w:tr>
        <w:trPr>
          <w:trHeight w:val="188"/>
        </w:trPr>
        <w:tc>
          <w:tcPr>
            <w:tcW w:w="560" w:type="dxa"/>
            <w:vAlign w:val="bottom"/>
          </w:tcPr>
          <w:p>
            <w:pPr>
              <w:spacing w:after="0"/>
              <w:rPr>
                <w:sz w:val="16"/>
                <w:szCs w:val="16"/>
                <w:color w:val="auto"/>
              </w:rPr>
            </w:pPr>
          </w:p>
        </w:tc>
        <w:tc>
          <w:tcPr>
            <w:tcW w:w="346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Chief Financial</w:t>
            </w:r>
          </w:p>
        </w:tc>
      </w:tr>
      <w:tr>
        <w:trPr>
          <w:trHeight w:val="21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bl>
    <w:p>
      <w:pPr>
        <w:spacing w:after="0" w:line="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1459"/>
        <w:spacing w:after="0"/>
        <w:rPr>
          <w:sz w:val="20"/>
          <w:szCs w:val="20"/>
          <w:color w:val="auto"/>
        </w:rPr>
      </w:pPr>
      <w:r>
        <w:rPr>
          <w:rFonts w:ascii="Arial" w:cs="Arial" w:eastAsia="Arial" w:hAnsi="Arial"/>
          <w:sz w:val="18"/>
          <w:szCs w:val="18"/>
          <w:i w:val="1"/>
          <w:iCs w:val="1"/>
          <w:color w:val="auto"/>
        </w:rPr>
        <w:t xml:space="preserve">Amendment 3 to RFA (Integra) </w:t>
      </w:r>
      <w:r>
        <w:rPr>
          <w:rFonts w:ascii="Arial" w:cs="Arial" w:eastAsia="Arial" w:hAnsi="Arial"/>
          <w:sz w:val="18"/>
          <w:szCs w:val="18"/>
          <w:color w:val="auto"/>
        </w:rPr>
        <w:t>S-2</w:t>
      </w:r>
    </w:p>
    <w:p>
      <w:pPr>
        <w:sectPr>
          <w:pgSz w:w="11900" w:h="16838" w:orient="portrait"/>
          <w:cols w:equalWidth="0" w:num="1">
            <w:col w:w="10139"/>
          </w:cols>
          <w:pgMar w:left="320" w:top="1354" w:right="1440"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PNC BANK, NATIONAL ASSOCIATION,</w:t>
      </w:r>
    </w:p>
    <w:p>
      <w:pPr>
        <w:spacing w:after="0"/>
        <w:rPr>
          <w:sz w:val="20"/>
          <w:szCs w:val="20"/>
          <w:color w:val="auto"/>
        </w:rPr>
      </w:pPr>
      <w:r>
        <w:rPr>
          <w:rFonts w:ascii="Arial" w:cs="Arial" w:eastAsia="Arial" w:hAnsi="Arial"/>
          <w:sz w:val="18"/>
          <w:szCs w:val="18"/>
          <w:color w:val="auto"/>
        </w:rPr>
        <w:t>as the Administrative Agent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Bruno</w:t>
            </w: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Eric Bruno</w:t>
            </w:r>
          </w:p>
        </w:tc>
      </w:t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BANK, NATIONAL ASSOCIATION,</w:t>
      </w:r>
    </w:p>
    <w:p>
      <w:pPr>
        <w:spacing w:after="0"/>
        <w:rPr>
          <w:sz w:val="20"/>
          <w:szCs w:val="20"/>
          <w:color w:val="auto"/>
        </w:rPr>
      </w:pPr>
      <w:r>
        <w:rPr>
          <w:rFonts w:ascii="Arial" w:cs="Arial" w:eastAsia="Arial" w:hAnsi="Arial"/>
          <w:sz w:val="18"/>
          <w:szCs w:val="18"/>
          <w:color w:val="auto"/>
        </w:rPr>
        <w:t>as the Group Agent for the PNC Group</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Bruno</w:t>
            </w: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Eric Bruno</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BANK, NATIONAL ASSOCIATION,</w:t>
      </w:r>
    </w:p>
    <w:p>
      <w:pPr>
        <w:spacing w:after="0"/>
        <w:rPr>
          <w:sz w:val="20"/>
          <w:szCs w:val="20"/>
          <w:color w:val="auto"/>
        </w:rPr>
      </w:pPr>
      <w:r>
        <w:rPr>
          <w:rFonts w:ascii="Arial" w:cs="Arial" w:eastAsia="Arial" w:hAnsi="Arial"/>
          <w:sz w:val="18"/>
          <w:szCs w:val="18"/>
          <w:color w:val="auto"/>
        </w:rPr>
        <w:t>as a Committed Lender</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Bruno</w:t>
            </w: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Eric Bruno</w:t>
            </w:r>
          </w:p>
        </w:tc>
      </w:t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1459"/>
        <w:spacing w:after="0"/>
        <w:rPr>
          <w:sz w:val="20"/>
          <w:szCs w:val="20"/>
          <w:color w:val="auto"/>
        </w:rPr>
      </w:pPr>
      <w:r>
        <w:rPr>
          <w:rFonts w:ascii="Arial" w:cs="Arial" w:eastAsia="Arial" w:hAnsi="Arial"/>
          <w:sz w:val="18"/>
          <w:szCs w:val="18"/>
          <w:i w:val="1"/>
          <w:iCs w:val="1"/>
          <w:color w:val="auto"/>
        </w:rPr>
        <w:t xml:space="preserve">Amendment 3 to RFA (Integra) </w:t>
      </w:r>
      <w:r>
        <w:rPr>
          <w:rFonts w:ascii="Arial" w:cs="Arial" w:eastAsia="Arial" w:hAnsi="Arial"/>
          <w:sz w:val="18"/>
          <w:szCs w:val="18"/>
          <w:color w:val="auto"/>
        </w:rPr>
        <w:t>S-3</w:t>
      </w:r>
    </w:p>
    <w:p>
      <w:pPr>
        <w:sectPr>
          <w:pgSz w:w="11900" w:h="16838" w:orient="portrait"/>
          <w:cols w:equalWidth="0" w:num="1">
            <w:col w:w="9479"/>
          </w:cols>
          <w:pgMar w:left="980" w:top="1066" w:right="1440"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Acknowledged and agreed to by,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CAPITAL MARKETS LLC,</w:t>
      </w:r>
    </w:p>
    <w:p>
      <w:pPr>
        <w:spacing w:after="0"/>
        <w:rPr>
          <w:sz w:val="20"/>
          <w:szCs w:val="20"/>
          <w:color w:val="auto"/>
        </w:rPr>
      </w:pPr>
      <w:r>
        <w:rPr>
          <w:rFonts w:ascii="Arial" w:cs="Arial" w:eastAsia="Arial" w:hAnsi="Arial"/>
          <w:sz w:val="18"/>
          <w:szCs w:val="18"/>
          <w:color w:val="auto"/>
        </w:rPr>
        <w:t>as the Structuring Agent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Bruno</w:t>
            </w: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5560" w:type="dxa"/>
            <w:vAlign w:val="bottom"/>
          </w:tcPr>
          <w:p>
            <w:pPr>
              <w:ind w:left="20"/>
              <w:spacing w:after="0"/>
              <w:rPr>
                <w:sz w:val="20"/>
                <w:szCs w:val="20"/>
                <w:color w:val="auto"/>
              </w:rPr>
            </w:pPr>
            <w:r>
              <w:rPr>
                <w:rFonts w:ascii="Arial" w:cs="Arial" w:eastAsia="Arial" w:hAnsi="Arial"/>
                <w:sz w:val="18"/>
                <w:szCs w:val="18"/>
                <w:color w:val="auto"/>
              </w:rPr>
              <w:t>Eric Bruno</w:t>
            </w: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5560" w:type="dxa"/>
            <w:vAlign w:val="bottom"/>
          </w:tcPr>
          <w:p>
            <w:pPr>
              <w:ind w:left="2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ectPr>
          <w:pgSz w:w="11900" w:h="16838" w:orient="portrait"/>
          <w:cols w:equalWidth="0" w:num="1">
            <w:col w:w="10139"/>
          </w:cols>
          <w:pgMar w:left="320" w:top="7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180"/>
        <w:spacing w:after="0"/>
        <w:rPr>
          <w:sz w:val="20"/>
          <w:szCs w:val="20"/>
          <w:color w:val="auto"/>
        </w:rPr>
      </w:pPr>
      <w:r>
        <w:rPr>
          <w:rFonts w:ascii="Arial" w:cs="Arial" w:eastAsia="Arial" w:hAnsi="Arial"/>
          <w:sz w:val="16"/>
          <w:szCs w:val="16"/>
          <w:i w:val="1"/>
          <w:iCs w:val="1"/>
          <w:color w:val="auto"/>
        </w:rPr>
        <w:t xml:space="preserve">Amendment 3 to RFA (Integra) </w:t>
      </w:r>
      <w:r>
        <w:rPr>
          <w:rFonts w:ascii="Arial" w:cs="Arial" w:eastAsia="Arial" w:hAnsi="Arial"/>
          <w:sz w:val="16"/>
          <w:szCs w:val="16"/>
          <w:color w:val="auto"/>
        </w:rPr>
        <w:t>S-4</w:t>
      </w:r>
    </w:p>
    <w:p>
      <w:pPr>
        <w:sectPr>
          <w:pgSz w:w="11900" w:h="16838" w:orient="portrait"/>
          <w:cols w:equalWidth="0" w:num="1">
            <w:col w:w="10139"/>
          </w:cols>
          <w:pgMar w:left="320" w:top="773" w:right="1440" w:bottom="1440" w:gutter="0" w:footer="0" w:header="0"/>
          <w:type w:val="continuous"/>
        </w:sectPr>
      </w:pPr>
    </w:p>
    <w:bookmarkStart w:id="64" w:name="page65"/>
    <w:bookmarkEnd w:id="64"/>
    <w:tbl>
      <w:tblPr>
        <w:tblLayout w:type="fixed"/>
        <w:tblInd w:w="1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SCHEDULE I Commitments</w:t>
            </w:r>
          </w:p>
        </w:tc>
        <w:tc>
          <w:tcPr>
            <w:tcW w:w="80" w:type="dxa"/>
            <w:vAlign w:val="bottom"/>
          </w:tcPr>
          <w:p>
            <w:pPr>
              <w:spacing w:after="0"/>
              <w:rPr>
                <w:sz w:val="17"/>
                <w:szCs w:val="17"/>
                <w:color w:val="auto"/>
              </w:rPr>
            </w:pPr>
          </w:p>
        </w:tc>
        <w:tc>
          <w:tcPr>
            <w:tcW w:w="3220" w:type="dxa"/>
            <w:vAlign w:val="bottom"/>
            <w:gridSpan w:val="3"/>
          </w:tcPr>
          <w:p>
            <w:pPr>
              <w:ind w:left="680"/>
              <w:spacing w:after="0"/>
              <w:rPr>
                <w:sz w:val="20"/>
                <w:szCs w:val="20"/>
                <w:color w:val="auto"/>
              </w:rPr>
            </w:pPr>
            <w:r>
              <w:rPr>
                <w:rFonts w:ascii="Arial" w:cs="Arial" w:eastAsia="Arial" w:hAnsi="Arial"/>
                <w:sz w:val="18"/>
                <w:szCs w:val="18"/>
                <w:color w:val="auto"/>
                <w:w w:val="92"/>
              </w:rPr>
              <w:t>Exhibit A to Amendment 3 to RFA</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9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00" w:type="dxa"/>
            <w:vAlign w:val="bottom"/>
            <w:tcBorders>
              <w:left w:val="single" w:sz="8" w:color="auto"/>
              <w:bottom w:val="single" w:sz="8" w:color="auto"/>
            </w:tcBorders>
          </w:tcPr>
          <w:p>
            <w:pPr>
              <w:spacing w:after="0"/>
              <w:rPr>
                <w:sz w:val="19"/>
                <w:szCs w:val="19"/>
                <w:color w:val="auto"/>
              </w:rPr>
            </w:pPr>
          </w:p>
        </w:tc>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PNC Group</w:t>
            </w: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428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Party</w:t>
            </w:r>
          </w:p>
        </w:tc>
        <w:tc>
          <w:tcPr>
            <w:tcW w:w="60" w:type="dxa"/>
            <w:vAlign w:val="bottom"/>
          </w:tcPr>
          <w:p>
            <w:pPr>
              <w:spacing w:after="0"/>
              <w:rPr>
                <w:sz w:val="17"/>
                <w:szCs w:val="17"/>
                <w:color w:val="auto"/>
              </w:rPr>
            </w:pPr>
          </w:p>
        </w:tc>
        <w:tc>
          <w:tcPr>
            <w:tcW w:w="35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Capacity</w:t>
            </w:r>
          </w:p>
        </w:tc>
        <w:tc>
          <w:tcPr>
            <w:tcW w:w="80" w:type="dxa"/>
            <w:vAlign w:val="bottom"/>
          </w:tcPr>
          <w:p>
            <w:pPr>
              <w:spacing w:after="0"/>
              <w:rPr>
                <w:sz w:val="17"/>
                <w:szCs w:val="17"/>
                <w:color w:val="auto"/>
              </w:rPr>
            </w:pPr>
          </w:p>
        </w:tc>
        <w:tc>
          <w:tcPr>
            <w:tcW w:w="322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color w:val="auto"/>
              </w:rPr>
              <w:t>Maximum Commitment</w:t>
            </w:r>
          </w:p>
        </w:tc>
        <w:tc>
          <w:tcPr>
            <w:tcW w:w="0" w:type="dxa"/>
            <w:vAlign w:val="bottom"/>
          </w:tcPr>
          <w:p>
            <w:pPr>
              <w:spacing w:after="0"/>
              <w:rPr>
                <w:sz w:val="1"/>
                <w:szCs w:val="1"/>
                <w:color w:val="auto"/>
              </w:rPr>
            </w:pPr>
          </w:p>
        </w:tc>
      </w:tr>
      <w:tr>
        <w:trPr>
          <w:trHeight w:val="48"/>
        </w:trPr>
        <w:tc>
          <w:tcPr>
            <w:tcW w:w="100" w:type="dxa"/>
            <w:vAlign w:val="bottom"/>
            <w:tcBorders>
              <w:left w:val="single" w:sz="8" w:color="auto"/>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390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1060" w:type="dxa"/>
            <w:vAlign w:val="bottom"/>
            <w:tcBorders>
              <w:top w:val="single" w:sz="8" w:color="auto"/>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0" w:type="dxa"/>
            <w:vAlign w:val="bottom"/>
            <w:tcBorders>
              <w:left w:val="single" w:sz="8" w:color="auto"/>
              <w:bottom w:val="single" w:sz="8" w:color="auto"/>
            </w:tcBorders>
          </w:tcPr>
          <w:p>
            <w:pPr>
              <w:spacing w:after="0"/>
              <w:rPr>
                <w:sz w:val="19"/>
                <w:szCs w:val="19"/>
                <w:color w:val="auto"/>
              </w:rPr>
            </w:pPr>
          </w:p>
        </w:tc>
        <w:tc>
          <w:tcPr>
            <w:tcW w:w="42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PNC</w:t>
            </w:r>
          </w:p>
        </w:tc>
        <w:tc>
          <w:tcPr>
            <w:tcW w:w="60" w:type="dxa"/>
            <w:vAlign w:val="bottom"/>
            <w:tcBorders>
              <w:bottom w:val="single" w:sz="8" w:color="auto"/>
            </w:tcBorders>
          </w:tcPr>
          <w:p>
            <w:pPr>
              <w:spacing w:after="0"/>
              <w:rPr>
                <w:sz w:val="19"/>
                <w:szCs w:val="19"/>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Committed Lender</w:t>
            </w:r>
          </w:p>
        </w:tc>
        <w:tc>
          <w:tcPr>
            <w:tcW w:w="18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$150,000,000</w:t>
            </w:r>
          </w:p>
        </w:tc>
        <w:tc>
          <w:tcPr>
            <w:tcW w:w="1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Borders>
              <w:left w:val="single" w:sz="8" w:color="auto"/>
              <w:bottom w:val="single" w:sz="8" w:color="auto"/>
            </w:tcBorders>
          </w:tcPr>
          <w:p>
            <w:pPr>
              <w:spacing w:after="0"/>
              <w:rPr>
                <w:sz w:val="19"/>
                <w:szCs w:val="19"/>
                <w:color w:val="auto"/>
              </w:rPr>
            </w:pPr>
          </w:p>
        </w:tc>
        <w:tc>
          <w:tcPr>
            <w:tcW w:w="42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PNC</w:t>
            </w:r>
          </w:p>
        </w:tc>
        <w:tc>
          <w:tcPr>
            <w:tcW w:w="60" w:type="dxa"/>
            <w:vAlign w:val="bottom"/>
            <w:tcBorders>
              <w:bottom w:val="single" w:sz="8" w:color="auto"/>
            </w:tcBorders>
          </w:tcPr>
          <w:p>
            <w:pPr>
              <w:spacing w:after="0"/>
              <w:rPr>
                <w:sz w:val="19"/>
                <w:szCs w:val="19"/>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Group Agent</w:t>
            </w:r>
          </w:p>
        </w:tc>
        <w:tc>
          <w:tcPr>
            <w:tcW w:w="8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 xml:space="preserve">Amendment 3 to RFA (Integra) </w:t>
      </w:r>
      <w:r>
        <w:rPr>
          <w:rFonts w:ascii="Arial" w:cs="Arial" w:eastAsia="Arial" w:hAnsi="Arial"/>
          <w:sz w:val="18"/>
          <w:szCs w:val="18"/>
          <w:color w:val="auto"/>
        </w:rPr>
        <w:t>Exh. B</w:t>
      </w:r>
    </w:p>
    <w:p>
      <w:pPr>
        <w:sectPr>
          <w:pgSz w:w="11900" w:h="16838" w:orient="portrait"/>
          <w:cols w:equalWidth="0" w:num="1">
            <w:col w:w="11260"/>
          </w:cols>
          <w:pgMar w:left="320" w:top="756" w:right="3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u w:val="single" w:color="auto"/>
          <w:color w:val="auto"/>
        </w:rPr>
        <w:t>Exhibit B to Amendment 3 to RFA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Notice Addresses</w:t>
      </w:r>
    </w:p>
    <w:p>
      <w:pPr>
        <w:spacing w:after="0" w:line="305"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case of the Borrower, at the following address: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Integra Receivables LLC</w:t>
      </w:r>
    </w:p>
    <w:p>
      <w:pPr>
        <w:spacing w:after="0" w:line="23" w:lineRule="exact"/>
        <w:rPr>
          <w:sz w:val="20"/>
          <w:szCs w:val="20"/>
          <w:color w:val="auto"/>
        </w:rPr>
      </w:pPr>
    </w:p>
    <w:p>
      <w:pPr>
        <w:ind w:left="1300" w:right="7840" w:hanging="10"/>
        <w:spacing w:after="0" w:line="294" w:lineRule="auto"/>
        <w:tabs>
          <w:tab w:leader="none" w:pos="1781" w:val="left"/>
        </w:tabs>
        <w:numPr>
          <w:ilvl w:val="1"/>
          <w:numId w:val="37"/>
        </w:numPr>
        <w:rPr>
          <w:rFonts w:ascii="Arial" w:cs="Arial" w:eastAsia="Arial" w:hAnsi="Arial"/>
          <w:sz w:val="16"/>
          <w:szCs w:val="16"/>
          <w:color w:val="auto"/>
        </w:rPr>
      </w:pPr>
      <w:r>
        <w:rPr>
          <w:rFonts w:ascii="Arial" w:cs="Arial" w:eastAsia="Arial" w:hAnsi="Arial"/>
          <w:sz w:val="16"/>
          <w:szCs w:val="16"/>
          <w:color w:val="auto"/>
        </w:rPr>
        <w:t>Campus Road Princeton, New Jersey 08540 Attention: Timothy Swiss Telephone: 609-936-6969</w:t>
      </w:r>
    </w:p>
    <w:p>
      <w:pPr>
        <w:spacing w:after="0" w:line="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Email: timothy.swiss@integralife.com</w:t>
      </w:r>
    </w:p>
    <w:p>
      <w:pPr>
        <w:spacing w:after="0" w:line="210" w:lineRule="exact"/>
        <w:rPr>
          <w:rFonts w:ascii="Arial" w:cs="Arial" w:eastAsia="Arial" w:hAnsi="Arial"/>
          <w:sz w:val="16"/>
          <w:szCs w:val="16"/>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the Servicer, at the following address: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Integra LifeSciences Sales LLC</w:t>
      </w:r>
    </w:p>
    <w:p>
      <w:pPr>
        <w:spacing w:after="0" w:line="23" w:lineRule="exact"/>
        <w:rPr>
          <w:sz w:val="20"/>
          <w:szCs w:val="20"/>
          <w:color w:val="auto"/>
        </w:rPr>
      </w:pPr>
    </w:p>
    <w:p>
      <w:pPr>
        <w:ind w:left="1300" w:right="7840" w:hanging="10"/>
        <w:spacing w:after="0" w:line="294" w:lineRule="auto"/>
        <w:tabs>
          <w:tab w:leader="none" w:pos="1781" w:val="left"/>
        </w:tabs>
        <w:numPr>
          <w:ilvl w:val="1"/>
          <w:numId w:val="38"/>
        </w:numPr>
        <w:rPr>
          <w:rFonts w:ascii="Arial" w:cs="Arial" w:eastAsia="Arial" w:hAnsi="Arial"/>
          <w:sz w:val="16"/>
          <w:szCs w:val="16"/>
          <w:color w:val="auto"/>
        </w:rPr>
      </w:pPr>
      <w:r>
        <w:rPr>
          <w:rFonts w:ascii="Arial" w:cs="Arial" w:eastAsia="Arial" w:hAnsi="Arial"/>
          <w:sz w:val="16"/>
          <w:szCs w:val="16"/>
          <w:color w:val="auto"/>
        </w:rPr>
        <w:t>Campus Road Princeton, New Jersey 08540 Attention: Timothy Swiss Telephone: 609-936-6969</w:t>
      </w:r>
    </w:p>
    <w:p>
      <w:pPr>
        <w:spacing w:after="0" w:line="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Email: timothy.swiss@integralife.com</w:t>
      </w:r>
    </w:p>
    <w:p>
      <w:pPr>
        <w:spacing w:after="0" w:line="22" w:lineRule="exact"/>
        <w:rPr>
          <w:rFonts w:ascii="Arial" w:cs="Arial" w:eastAsia="Arial" w:hAnsi="Arial"/>
          <w:sz w:val="16"/>
          <w:szCs w:val="16"/>
          <w:color w:val="auto"/>
        </w:rPr>
      </w:pPr>
    </w:p>
    <w:p>
      <w:pPr>
        <w:ind w:left="1300" w:right="5300" w:hanging="1292"/>
        <w:spacing w:after="0" w:line="258" w:lineRule="auto"/>
        <w:tabs>
          <w:tab w:leader="none" w:pos="6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PNC or the Administrative Agent, at the following address: PNC Bank, National Association</w:t>
      </w:r>
    </w:p>
    <w:p>
      <w:pPr>
        <w:ind w:left="1300" w:right="7720"/>
        <w:spacing w:after="0" w:line="283" w:lineRule="auto"/>
        <w:rPr>
          <w:rFonts w:ascii="Arial" w:cs="Arial" w:eastAsia="Arial" w:hAnsi="Arial"/>
          <w:sz w:val="18"/>
          <w:szCs w:val="18"/>
          <w:color w:val="auto"/>
        </w:rPr>
      </w:pPr>
      <w:r>
        <w:rPr>
          <w:rFonts w:ascii="Arial" w:cs="Arial" w:eastAsia="Arial" w:hAnsi="Arial"/>
          <w:sz w:val="17"/>
          <w:szCs w:val="17"/>
          <w:color w:val="auto"/>
        </w:rPr>
        <w:t>300 Fifth Avenue Pittsburgh, PA 15222 Attention: Brian Stanley Telephone: (412) 768-2001 Facsimile: (412) 803-7142 Email: brian.stanley@pnc.com</w:t>
      </w:r>
    </w:p>
    <w:p>
      <w:pPr>
        <w:spacing w:after="0" w:line="155" w:lineRule="exact"/>
        <w:rPr>
          <w:rFonts w:ascii="Arial" w:cs="Arial" w:eastAsia="Arial" w:hAnsi="Arial"/>
          <w:sz w:val="18"/>
          <w:szCs w:val="18"/>
          <w:color w:val="auto"/>
        </w:rPr>
      </w:pPr>
    </w:p>
    <w:p>
      <w:pPr>
        <w:ind w:left="660" w:hanging="652"/>
        <w:spacing w:after="0" w:line="277" w:lineRule="auto"/>
        <w:tabs>
          <w:tab w:leader="none" w:pos="6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any other Person, at the address for such Person specified in the other Transaction Documents; in each case, or at such other address as shall be designated by such Person in a written notice to the other parties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 xml:space="preserve">Amendment 3 to RFA (Integra) </w:t>
      </w:r>
      <w:r>
        <w:rPr>
          <w:rFonts w:ascii="Arial" w:cs="Arial" w:eastAsia="Arial" w:hAnsi="Arial"/>
          <w:sz w:val="18"/>
          <w:szCs w:val="18"/>
          <w:color w:val="auto"/>
        </w:rPr>
        <w:t>Exh. B</w:t>
      </w:r>
    </w:p>
    <w:p>
      <w:pPr>
        <w:sectPr>
          <w:pgSz w:w="11900" w:h="16838" w:orient="portrait"/>
          <w:cols w:equalWidth="0" w:num="1">
            <w:col w:w="11240"/>
          </w:cols>
          <w:pgMar w:left="320" w:top="773" w:right="339" w:bottom="1440" w:gutter="0" w:footer="0" w:header="0"/>
        </w:sectPr>
      </w:pPr>
    </w:p>
    <w:bookmarkStart w:id="66" w:name="page67"/>
    <w:bookmarkEnd w:id="66"/>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RECEIVABLES FINANCING AGREEMENT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REAFFIRMATION OF PERFORMANCE GUARANTY</w:t>
      </w:r>
    </w:p>
    <w:p>
      <w:pPr>
        <w:spacing w:after="0" w:line="211" w:lineRule="exact"/>
        <w:rPr>
          <w:sz w:val="20"/>
          <w:szCs w:val="20"/>
          <w:color w:val="auto"/>
        </w:rPr>
      </w:pPr>
    </w:p>
    <w:p>
      <w:pPr>
        <w:jc w:val="both"/>
        <w:ind w:firstLine="639"/>
        <w:spacing w:after="0" w:line="268" w:lineRule="auto"/>
        <w:rPr>
          <w:sz w:val="20"/>
          <w:szCs w:val="20"/>
          <w:color w:val="auto"/>
        </w:rPr>
      </w:pPr>
      <w:r>
        <w:rPr>
          <w:rFonts w:ascii="Arial" w:cs="Arial" w:eastAsia="Arial" w:hAnsi="Arial"/>
          <w:sz w:val="17"/>
          <w:szCs w:val="17"/>
          <w:color w:val="auto"/>
        </w:rPr>
        <w:t>This AMENDMENT NO. 2 TO RECEIVABLES FINANCING AGREEMENT AND REAFFIRMATION OF PERFORMANCE GUARANTY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July 17, 2020, is entered into by and among INTEGRA RECEIVABLES LLC (“</w:t>
      </w:r>
      <w:r>
        <w:rPr>
          <w:rFonts w:ascii="Arial" w:cs="Arial" w:eastAsia="Arial" w:hAnsi="Arial"/>
          <w:sz w:val="17"/>
          <w:szCs w:val="17"/>
          <w:u w:val="single" w:color="auto"/>
          <w:color w:val="auto"/>
        </w:rPr>
        <w:t>Integra</w:t>
      </w:r>
      <w:r>
        <w:rPr>
          <w:rFonts w:ascii="Arial" w:cs="Arial" w:eastAsia="Arial" w:hAnsi="Arial"/>
          <w:sz w:val="17"/>
          <w:szCs w:val="17"/>
          <w:color w:val="auto"/>
        </w:rPr>
        <w:t>”), as borrower under the Receivables Financing Agreement (as defined below) (in such capacity, together with its successors and permitted assigns in such capacity, the “</w:t>
      </w:r>
      <w:r>
        <w:rPr>
          <w:rFonts w:ascii="Arial" w:cs="Arial" w:eastAsia="Arial" w:hAnsi="Arial"/>
          <w:sz w:val="17"/>
          <w:szCs w:val="17"/>
          <w:u w:val="single" w:color="auto"/>
          <w:color w:val="auto"/>
        </w:rPr>
        <w:t>Borrower</w:t>
      </w:r>
      <w:r>
        <w:rPr>
          <w:rFonts w:ascii="Arial" w:cs="Arial" w:eastAsia="Arial" w:hAnsi="Arial"/>
          <w:sz w:val="17"/>
          <w:szCs w:val="17"/>
          <w:color w:val="auto"/>
        </w:rPr>
        <w:t>”), INTEGRA LIFESCIENCES SALES LLC (“</w:t>
      </w:r>
      <w:r>
        <w:rPr>
          <w:rFonts w:ascii="Arial" w:cs="Arial" w:eastAsia="Arial" w:hAnsi="Arial"/>
          <w:sz w:val="17"/>
          <w:szCs w:val="17"/>
          <w:u w:val="single" w:color="auto"/>
          <w:color w:val="auto"/>
        </w:rPr>
        <w:t>Integra Sales</w:t>
      </w:r>
      <w:r>
        <w:rPr>
          <w:rFonts w:ascii="Arial" w:cs="Arial" w:eastAsia="Arial" w:hAnsi="Arial"/>
          <w:sz w:val="17"/>
          <w:szCs w:val="17"/>
          <w:color w:val="auto"/>
        </w:rPr>
        <w:t>”), as initial servicer under the Receivables Financing Agreement (in such capacity, together with its successors and permitted assigns in such capacity, the “</w:t>
      </w:r>
      <w:r>
        <w:rPr>
          <w:rFonts w:ascii="Arial" w:cs="Arial" w:eastAsia="Arial" w:hAnsi="Arial"/>
          <w:sz w:val="17"/>
          <w:szCs w:val="17"/>
          <w:u w:val="single" w:color="auto"/>
          <w:color w:val="auto"/>
        </w:rPr>
        <w:t>Servicer</w:t>
      </w:r>
      <w:r>
        <w:rPr>
          <w:rFonts w:ascii="Arial" w:cs="Arial" w:eastAsia="Arial" w:hAnsi="Arial"/>
          <w:sz w:val="17"/>
          <w:szCs w:val="17"/>
          <w:color w:val="auto"/>
        </w:rPr>
        <w:t>”), PNC BANK, NATIONAL ASSOCIATION (“</w:t>
      </w:r>
      <w:r>
        <w:rPr>
          <w:rFonts w:ascii="Arial" w:cs="Arial" w:eastAsia="Arial" w:hAnsi="Arial"/>
          <w:sz w:val="17"/>
          <w:szCs w:val="17"/>
          <w:u w:val="single" w:color="auto"/>
          <w:color w:val="auto"/>
        </w:rPr>
        <w:t>PNC”</w:t>
      </w:r>
      <w:r>
        <w:rPr>
          <w:rFonts w:ascii="Arial" w:cs="Arial" w:eastAsia="Arial" w:hAnsi="Arial"/>
          <w:sz w:val="17"/>
          <w:szCs w:val="17"/>
          <w:color w:val="auto"/>
        </w:rPr>
        <w:t>), as administrative agent under the Receivables Financing Agreement (in such capacity, together with its successors and permitted assigns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as a committed lender under the Receivables Financing Agreement (in such capacity, together with its successors and permitted assigns in such capacity, a “</w:t>
      </w:r>
      <w:r>
        <w:rPr>
          <w:rFonts w:ascii="Arial" w:cs="Arial" w:eastAsia="Arial" w:hAnsi="Arial"/>
          <w:sz w:val="17"/>
          <w:szCs w:val="17"/>
          <w:u w:val="single" w:color="auto"/>
          <w:color w:val="auto"/>
        </w:rPr>
        <w:t>Committed Lender</w:t>
      </w:r>
      <w:r>
        <w:rPr>
          <w:rFonts w:ascii="Arial" w:cs="Arial" w:eastAsia="Arial" w:hAnsi="Arial"/>
          <w:sz w:val="17"/>
          <w:szCs w:val="17"/>
          <w:color w:val="auto"/>
        </w:rPr>
        <w:t>”), and as group agent for the PNC Group under the Receivables Financing Agreement (in such capacity, together with its successors and permitted assigns in such capacity, a “</w:t>
      </w:r>
      <w:r>
        <w:rPr>
          <w:rFonts w:ascii="Arial" w:cs="Arial" w:eastAsia="Arial" w:hAnsi="Arial"/>
          <w:sz w:val="17"/>
          <w:szCs w:val="17"/>
          <w:u w:val="single" w:color="auto"/>
          <w:color w:val="auto"/>
        </w:rPr>
        <w:t>Group Agent</w:t>
      </w:r>
      <w:r>
        <w:rPr>
          <w:rFonts w:ascii="Arial" w:cs="Arial" w:eastAsia="Arial" w:hAnsi="Arial"/>
          <w:sz w:val="17"/>
          <w:szCs w:val="17"/>
          <w:color w:val="auto"/>
        </w:rPr>
        <w:t>”), and MIZUHO BANK, LTD. (“</w:t>
      </w:r>
      <w:r>
        <w:rPr>
          <w:rFonts w:ascii="Arial" w:cs="Arial" w:eastAsia="Arial" w:hAnsi="Arial"/>
          <w:sz w:val="17"/>
          <w:szCs w:val="17"/>
          <w:u w:val="single" w:color="auto"/>
          <w:color w:val="auto"/>
        </w:rPr>
        <w:t>Mizuho”</w:t>
      </w:r>
      <w:r>
        <w:rPr>
          <w:rFonts w:ascii="Arial" w:cs="Arial" w:eastAsia="Arial" w:hAnsi="Arial"/>
          <w:sz w:val="17"/>
          <w:szCs w:val="17"/>
          <w:color w:val="auto"/>
        </w:rPr>
        <w:t>), as a committed lender under the Receivables Financing Agreement (in such capacity, together with its successors and permitted assigns in such capacity, a “</w:t>
      </w:r>
      <w:r>
        <w:rPr>
          <w:rFonts w:ascii="Arial" w:cs="Arial" w:eastAsia="Arial" w:hAnsi="Arial"/>
          <w:sz w:val="17"/>
          <w:szCs w:val="17"/>
          <w:u w:val="single" w:color="auto"/>
          <w:color w:val="auto"/>
        </w:rPr>
        <w:t>Committed Lender</w:t>
      </w:r>
      <w:r>
        <w:rPr>
          <w:rFonts w:ascii="Arial" w:cs="Arial" w:eastAsia="Arial" w:hAnsi="Arial"/>
          <w:sz w:val="17"/>
          <w:szCs w:val="17"/>
          <w:color w:val="auto"/>
        </w:rPr>
        <w:t>”), and as group agent for the Mizuho Group under the Receivables Financing Agreement (in such capacity, together with its successors and permitted assigns in such capacity, a “</w:t>
      </w:r>
      <w:r>
        <w:rPr>
          <w:rFonts w:ascii="Arial" w:cs="Arial" w:eastAsia="Arial" w:hAnsi="Arial"/>
          <w:sz w:val="17"/>
          <w:szCs w:val="17"/>
          <w:u w:val="single" w:color="auto"/>
          <w:color w:val="auto"/>
        </w:rPr>
        <w:t>Group Agent</w:t>
      </w:r>
      <w:r>
        <w:rPr>
          <w:rFonts w:ascii="Arial" w:cs="Arial" w:eastAsia="Arial" w:hAnsi="Arial"/>
          <w:sz w:val="17"/>
          <w:szCs w:val="17"/>
          <w:color w:val="auto"/>
        </w:rPr>
        <w:t>”), and the various other Lenders and Group Agents from time to time party to the Receivables Financing Agreement, and acknowledged and agreed to by PNC CAPITAL MARKETS LLC, as structuring agent (in such capacity, together with its successors and permitted assigns in such capacity, the “</w:t>
      </w:r>
      <w:r>
        <w:rPr>
          <w:rFonts w:ascii="Arial" w:cs="Arial" w:eastAsia="Arial" w:hAnsi="Arial"/>
          <w:sz w:val="17"/>
          <w:szCs w:val="17"/>
          <w:u w:val="single" w:color="auto"/>
          <w:color w:val="auto"/>
        </w:rPr>
        <w:t>Structuring Agent</w:t>
      </w:r>
      <w:r>
        <w:rPr>
          <w:rFonts w:ascii="Arial" w:cs="Arial" w:eastAsia="Arial" w:hAnsi="Arial"/>
          <w:sz w:val="17"/>
          <w:szCs w:val="17"/>
          <w:color w:val="auto"/>
        </w:rPr>
        <w:t xml:space="preserve">”), and is reaffirmed by, with respect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hereof, INTEGRA LIFESCIENCES HOLDINGS CORPORATION (“</w:t>
      </w:r>
      <w:r>
        <w:rPr>
          <w:rFonts w:ascii="Arial" w:cs="Arial" w:eastAsia="Arial" w:hAnsi="Arial"/>
          <w:sz w:val="17"/>
          <w:szCs w:val="17"/>
          <w:u w:val="single" w:color="auto"/>
          <w:color w:val="auto"/>
        </w:rPr>
        <w:t>Integra Holdings</w:t>
      </w:r>
      <w:r>
        <w:rPr>
          <w:rFonts w:ascii="Arial" w:cs="Arial" w:eastAsia="Arial" w:hAnsi="Arial"/>
          <w:sz w:val="17"/>
          <w:szCs w:val="17"/>
          <w:color w:val="auto"/>
        </w:rPr>
        <w:t>”), as performance guarantor (in such capacity, together with its successors and permitted assigns in such capacity, the “</w:t>
      </w:r>
      <w:r>
        <w:rPr>
          <w:rFonts w:ascii="Arial" w:cs="Arial" w:eastAsia="Arial" w:hAnsi="Arial"/>
          <w:sz w:val="17"/>
          <w:szCs w:val="17"/>
          <w:u w:val="single" w:color="auto"/>
          <w:color w:val="auto"/>
        </w:rPr>
        <w:t>Performance Guarantor</w:t>
      </w:r>
      <w:r>
        <w:rPr>
          <w:rFonts w:ascii="Arial" w:cs="Arial" w:eastAsia="Arial" w:hAnsi="Arial"/>
          <w:sz w:val="17"/>
          <w:szCs w:val="17"/>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jc w:val="both"/>
        <w:ind w:firstLine="639"/>
        <w:spacing w:after="0" w:line="257" w:lineRule="auto"/>
        <w:rPr>
          <w:sz w:val="20"/>
          <w:szCs w:val="20"/>
          <w:color w:val="auto"/>
        </w:rPr>
      </w:pPr>
      <w:r>
        <w:rPr>
          <w:rFonts w:ascii="Arial" w:cs="Arial" w:eastAsia="Arial" w:hAnsi="Arial"/>
          <w:sz w:val="18"/>
          <w:szCs w:val="18"/>
          <w:color w:val="auto"/>
        </w:rPr>
        <w:t>WHEREAS, the Borrower, the Servicer, the Persons from time to time party thereto as Lenders and as Group Agents, the Administrative Agent, and, solely with respect to Section 10.10 thereof, the Structuring Agent, entered into the Receivables Financing Agreement, dated as of December 21, 2018 (as amended, restated, supplemented or otherwise modified prior to the date hereof, the “</w:t>
      </w:r>
      <w:r>
        <w:rPr>
          <w:rFonts w:ascii="Arial" w:cs="Arial" w:eastAsia="Arial" w:hAnsi="Arial"/>
          <w:sz w:val="18"/>
          <w:szCs w:val="18"/>
          <w:u w:val="single" w:color="auto"/>
          <w:color w:val="auto"/>
        </w:rPr>
        <w:t>Original Receivables Financing Agreement</w:t>
      </w:r>
      <w:r>
        <w:rPr>
          <w:rFonts w:ascii="Arial" w:cs="Arial" w:eastAsia="Arial" w:hAnsi="Arial"/>
          <w:sz w:val="18"/>
          <w:szCs w:val="18"/>
          <w:color w:val="auto"/>
        </w:rPr>
        <w:t>”; and as amended by this Amendment and as may be further amended, restated, supplemented or otherwise modified from time to time, the “</w:t>
      </w:r>
      <w:r>
        <w:rPr>
          <w:rFonts w:ascii="Arial" w:cs="Arial" w:eastAsia="Arial" w:hAnsi="Arial"/>
          <w:sz w:val="18"/>
          <w:szCs w:val="18"/>
          <w:u w:val="single" w:color="auto"/>
          <w:color w:val="auto"/>
        </w:rPr>
        <w:t>Receivables Financing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8" w:lineRule="exact"/>
        <w:rPr>
          <w:sz w:val="20"/>
          <w:szCs w:val="20"/>
          <w:color w:val="auto"/>
        </w:rPr>
      </w:pPr>
    </w:p>
    <w:p>
      <w:pPr>
        <w:jc w:val="both"/>
        <w:ind w:firstLine="639"/>
        <w:spacing w:after="0" w:line="342" w:lineRule="auto"/>
        <w:rPr>
          <w:sz w:val="20"/>
          <w:szCs w:val="20"/>
          <w:color w:val="auto"/>
        </w:rPr>
      </w:pPr>
      <w:r>
        <w:rPr>
          <w:rFonts w:ascii="Arial" w:cs="Arial" w:eastAsia="Arial" w:hAnsi="Arial"/>
          <w:sz w:val="16"/>
          <w:szCs w:val="16"/>
          <w:color w:val="auto"/>
        </w:rPr>
        <w:t>WHEREAS, the Performance Guarantor entered into the Performance Guaranty as of December 21, 2018 (as may be further amended, restated, supplemented or otherwise modified from time to time, the “</w:t>
      </w:r>
      <w:r>
        <w:rPr>
          <w:rFonts w:ascii="Arial" w:cs="Arial" w:eastAsia="Arial" w:hAnsi="Arial"/>
          <w:sz w:val="16"/>
          <w:szCs w:val="16"/>
          <w:u w:val="single" w:color="auto"/>
          <w:color w:val="auto"/>
        </w:rPr>
        <w:t>Performance Guaranty</w:t>
      </w:r>
      <w:r>
        <w:rPr>
          <w:rFonts w:ascii="Arial" w:cs="Arial" w:eastAsia="Arial" w:hAnsi="Arial"/>
          <w:sz w:val="16"/>
          <w:szCs w:val="16"/>
          <w:color w:val="auto"/>
        </w:rPr>
        <w:t>”) in favor of, and as accepted by, the Administrative Agent; and</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WHEREAS, the parties hereto wish to further amend the Original Receivables Financing Agreement pursuant to the terms and conditions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jc w:val="both"/>
        <w:ind w:firstLine="639"/>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hereby agree as follows:</w:t>
      </w:r>
    </w:p>
    <w:p>
      <w:pPr>
        <w:spacing w:after="0" w:line="170" w:lineRule="exact"/>
        <w:rPr>
          <w:sz w:val="20"/>
          <w:szCs w:val="20"/>
          <w:color w:val="auto"/>
        </w:rPr>
      </w:pPr>
    </w:p>
    <w:p>
      <w:pPr>
        <w:jc w:val="both"/>
        <w:ind w:firstLine="639"/>
        <w:spacing w:after="0" w:line="277" w:lineRule="auto"/>
        <w:rPr>
          <w:sz w:val="20"/>
          <w:szCs w:val="20"/>
          <w:color w:val="auto"/>
        </w:rPr>
      </w:pPr>
      <w:r>
        <w:rPr>
          <w:rFonts w:ascii="Arial" w:cs="Arial" w:eastAsia="Arial" w:hAnsi="Arial"/>
          <w:sz w:val="18"/>
          <w:szCs w:val="18"/>
          <w:u w:val="single" w:color="auto"/>
          <w:color w:val="auto"/>
        </w:rPr>
        <w:t>SECTION 1. Definitions</w:t>
      </w:r>
      <w:r>
        <w:rPr>
          <w:rFonts w:ascii="Arial" w:cs="Arial" w:eastAsia="Arial" w:hAnsi="Arial"/>
          <w:sz w:val="18"/>
          <w:szCs w:val="18"/>
          <w:color w:val="auto"/>
        </w:rPr>
        <w:t>. Capitalized terms used but not defined in this Amendment shall have the meanings assigned to them in the Receivables Financing Agreement.</w:t>
      </w:r>
    </w:p>
    <w:p>
      <w:pPr>
        <w:spacing w:after="0" w:line="170" w:lineRule="exact"/>
        <w:rPr>
          <w:sz w:val="20"/>
          <w:szCs w:val="20"/>
          <w:color w:val="auto"/>
        </w:rPr>
      </w:pPr>
    </w:p>
    <w:p>
      <w:pPr>
        <w:jc w:val="both"/>
        <w:ind w:firstLine="639"/>
        <w:spacing w:after="0" w:line="308" w:lineRule="auto"/>
        <w:rPr>
          <w:sz w:val="20"/>
          <w:szCs w:val="20"/>
          <w:color w:val="auto"/>
        </w:rPr>
      </w:pPr>
      <w:r>
        <w:rPr>
          <w:rFonts w:ascii="Arial" w:cs="Arial" w:eastAsia="Arial" w:hAnsi="Arial"/>
          <w:sz w:val="17"/>
          <w:szCs w:val="17"/>
          <w:u w:val="single" w:color="auto"/>
          <w:color w:val="auto"/>
        </w:rPr>
        <w:t>SECTION 2. Amendments to Original Receivables Financing Agreement</w:t>
      </w:r>
      <w:r>
        <w:rPr>
          <w:rFonts w:ascii="Arial" w:cs="Arial" w:eastAsia="Arial" w:hAnsi="Arial"/>
          <w:sz w:val="17"/>
          <w:szCs w:val="17"/>
          <w:color w:val="auto"/>
        </w:rPr>
        <w:t xml:space="preserve">. Effective as of the date hereof and subject to the satisfaction of the conditions precedent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Original Receivables Financing Agreement is hereby amended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 xml:space="preserve">Amendment 2 to RFA (Integra) </w:t>
      </w: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67" w:name="page68"/>
    <w:bookmarkEnd w:id="67"/>
    <w:p>
      <w:pPr>
        <w:ind w:left="1300" w:hanging="653"/>
        <w:spacing w:after="0"/>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Original Receivables Financing Agreement is hereby deleted in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entirety.</w:t>
      </w:r>
    </w:p>
    <w:p>
      <w:pPr>
        <w:spacing w:after="0" w:line="211" w:lineRule="exact"/>
        <w:rPr>
          <w:sz w:val="20"/>
          <w:szCs w:val="20"/>
          <w:color w:val="auto"/>
        </w:rPr>
      </w:pPr>
    </w:p>
    <w:p>
      <w:pPr>
        <w:jc w:val="both"/>
        <w:ind w:firstLine="647"/>
        <w:spacing w:after="0" w:line="263" w:lineRule="auto"/>
        <w:tabs>
          <w:tab w:leader="none" w:pos="12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1.01 of the Original Receivables Financing Agreement is hereby amended by adding the following definitions of “</w:t>
      </w:r>
      <w:r>
        <w:rPr>
          <w:rFonts w:ascii="Arial" w:cs="Arial" w:eastAsia="Arial" w:hAnsi="Arial"/>
          <w:sz w:val="18"/>
          <w:szCs w:val="18"/>
          <w:u w:val="single" w:color="auto"/>
          <w:color w:val="auto"/>
        </w:rPr>
        <w:t>NYFRB</w:t>
      </w:r>
      <w:r>
        <w:rPr>
          <w:rFonts w:ascii="Arial" w:cs="Arial" w:eastAsia="Arial" w:hAnsi="Arial"/>
          <w:sz w:val="18"/>
          <w:szCs w:val="18"/>
          <w:color w:val="auto"/>
        </w:rPr>
        <w:t>”, “</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w:t>
      </w:r>
      <w:r>
        <w:rPr>
          <w:rFonts w:ascii="Arial" w:cs="Arial" w:eastAsia="Arial" w:hAnsi="Arial"/>
          <w:sz w:val="18"/>
          <w:szCs w:val="18"/>
          <w:u w:val="single" w:color="auto"/>
          <w:color w:val="auto"/>
        </w:rPr>
        <w:t>Relief Period</w:t>
      </w:r>
      <w:r>
        <w:rPr>
          <w:rFonts w:ascii="Arial" w:cs="Arial" w:eastAsia="Arial" w:hAnsi="Arial"/>
          <w:sz w:val="18"/>
          <w:szCs w:val="18"/>
          <w:color w:val="auto"/>
        </w:rPr>
        <w:t>”, “</w:t>
      </w:r>
      <w:r>
        <w:rPr>
          <w:rFonts w:ascii="Arial" w:cs="Arial" w:eastAsia="Arial" w:hAnsi="Arial"/>
          <w:sz w:val="18"/>
          <w:szCs w:val="18"/>
          <w:u w:val="single" w:color="auto"/>
          <w:color w:val="auto"/>
        </w:rPr>
        <w:t>Temporarily Ineligible Obligor</w:t>
      </w:r>
      <w:r>
        <w:rPr>
          <w:rFonts w:ascii="Arial" w:cs="Arial" w:eastAsia="Arial" w:hAnsi="Arial"/>
          <w:sz w:val="18"/>
          <w:szCs w:val="18"/>
          <w:color w:val="auto"/>
        </w:rPr>
        <w:t>” and “</w:t>
      </w:r>
      <w:r>
        <w:rPr>
          <w:rFonts w:ascii="Arial" w:cs="Arial" w:eastAsia="Arial" w:hAnsi="Arial"/>
          <w:sz w:val="18"/>
          <w:szCs w:val="18"/>
          <w:u w:val="single" w:color="auto"/>
          <w:color w:val="auto"/>
        </w:rPr>
        <w:t>Temporarily Ineligible Receivable</w:t>
      </w:r>
      <w:r>
        <w:rPr>
          <w:rFonts w:ascii="Arial" w:cs="Arial" w:eastAsia="Arial" w:hAnsi="Arial"/>
          <w:sz w:val="18"/>
          <w:szCs w:val="18"/>
          <w:color w:val="auto"/>
        </w:rPr>
        <w:t>” in the applicable alphabetical order:</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jc w:val="both"/>
        <w:ind w:left="660" w:firstLine="63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xml:space="preserve">” means for any day, the rate comprised of both overnight federal funds and overnight eurocurrency borrowings by U.S.-managed banking offices of depository institutions, as such composite rate shall be determined by the NYFRB, as set forth on its public website from time to time, and as published on the next succeeding Business Day as the overnight bank funding rate by the NYFRB (or by such other recognized electronic source (such as Bloomberg) selected by the Administrative Agent for the purpose of displaying such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day is not a Business Day, the Overnight Bank Funding Rate for such day shall be such rate on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such rate shall at any time, for any reason, no longer exist, the Overnight Bank Funding Rate for such time shall be a comparable replacement rate determined by the Administrative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Relief Period</w:t>
      </w:r>
      <w:r>
        <w:rPr>
          <w:rFonts w:ascii="Arial" w:cs="Arial" w:eastAsia="Arial" w:hAnsi="Arial"/>
          <w:sz w:val="18"/>
          <w:szCs w:val="18"/>
          <w:color w:val="auto"/>
        </w:rPr>
        <w:t>” means the Fiscal Months of July 2020, August 2020, September 2020 and October 2020.</w:t>
      </w:r>
    </w:p>
    <w:p>
      <w:pPr>
        <w:spacing w:after="0" w:line="225" w:lineRule="exact"/>
        <w:rPr>
          <w:sz w:val="20"/>
          <w:szCs w:val="20"/>
          <w:color w:val="auto"/>
        </w:rPr>
      </w:pPr>
    </w:p>
    <w:p>
      <w:pPr>
        <w:jc w:val="both"/>
        <w:ind w:left="660" w:right="20" w:firstLine="63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Temporarily Ineligible Obligor</w:t>
      </w:r>
      <w:r>
        <w:rPr>
          <w:rFonts w:ascii="Arial" w:cs="Arial" w:eastAsia="Arial" w:hAnsi="Arial"/>
          <w:sz w:val="18"/>
          <w:szCs w:val="18"/>
          <w:color w:val="auto"/>
        </w:rPr>
        <w:t>” means Promedon Do Brazil or any other Obligor requested by the Borrower and consented to in writing by the Majority Group Agents in their sole discretion until such time that the Majority Group Agents and the Borrower mutually agree that such Obligor is no longer deemed ineligible (including, for the avoidance of doubt, Promedon Do Brazil).</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Temporarily Ineligible Receivable</w:t>
      </w:r>
      <w:r>
        <w:rPr>
          <w:rFonts w:ascii="Arial" w:cs="Arial" w:eastAsia="Arial" w:hAnsi="Arial"/>
          <w:sz w:val="18"/>
          <w:szCs w:val="18"/>
          <w:color w:val="auto"/>
        </w:rPr>
        <w:t>” means any Receivable the Obligor of which is a Temporarily Ineligible Obligor.</w:t>
      </w:r>
    </w:p>
    <w:p>
      <w:pPr>
        <w:spacing w:after="0" w:line="225" w:lineRule="exact"/>
        <w:rPr>
          <w:sz w:val="20"/>
          <w:szCs w:val="20"/>
          <w:color w:val="auto"/>
        </w:rPr>
      </w:pPr>
    </w:p>
    <w:p>
      <w:pPr>
        <w:ind w:firstLine="647"/>
        <w:spacing w:after="0" w:line="277" w:lineRule="auto"/>
        <w:tabs>
          <w:tab w:leader="none" w:pos="12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definitions of “</w:t>
      </w:r>
      <w:r>
        <w:rPr>
          <w:rFonts w:ascii="Arial" w:cs="Arial" w:eastAsia="Arial" w:hAnsi="Arial"/>
          <w:sz w:val="18"/>
          <w:szCs w:val="18"/>
          <w:u w:val="single" w:color="auto"/>
          <w:color w:val="auto"/>
        </w:rPr>
        <w:t>Base Rate</w:t>
      </w:r>
      <w:r>
        <w:rPr>
          <w:rFonts w:ascii="Arial" w:cs="Arial" w:eastAsia="Arial" w:hAnsi="Arial"/>
          <w:sz w:val="18"/>
          <w:szCs w:val="18"/>
          <w:color w:val="auto"/>
        </w:rPr>
        <w:t>”,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 “</w:t>
      </w:r>
      <w:r>
        <w:rPr>
          <w:rFonts w:ascii="Arial" w:cs="Arial" w:eastAsia="Arial" w:hAnsi="Arial"/>
          <w:sz w:val="18"/>
          <w:szCs w:val="18"/>
          <w:u w:val="single" w:color="auto"/>
          <w:color w:val="auto"/>
        </w:rPr>
        <w:t>Total Reserves</w:t>
      </w:r>
      <w:r>
        <w:rPr>
          <w:rFonts w:ascii="Arial" w:cs="Arial" w:eastAsia="Arial" w:hAnsi="Arial"/>
          <w:sz w:val="18"/>
          <w:szCs w:val="18"/>
          <w:color w:val="auto"/>
        </w:rPr>
        <w:t>” set forth in Section 1.01 of the Original Receivables Financing Agreement are hereby deleted and replaced in their entirety with the following, respectively:</w:t>
      </w:r>
    </w:p>
    <w:p>
      <w:pPr>
        <w:spacing w:after="0" w:line="170" w:lineRule="exact"/>
        <w:rPr>
          <w:sz w:val="20"/>
          <w:szCs w:val="20"/>
          <w:color w:val="auto"/>
        </w:rPr>
      </w:pPr>
    </w:p>
    <w:p>
      <w:pPr>
        <w:ind w:left="660" w:right="20" w:firstLine="63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for any day and any Lender, a fluctuating interest rate per annum as shall be in effect from time to time, which rate shall be at all times equal to the greater of:</w:t>
      </w:r>
    </w:p>
    <w:p>
      <w:pPr>
        <w:spacing w:after="0" w:line="170" w:lineRule="exact"/>
        <w:rPr>
          <w:sz w:val="20"/>
          <w:szCs w:val="20"/>
          <w:color w:val="auto"/>
        </w:rPr>
      </w:pPr>
    </w:p>
    <w:p>
      <w:pPr>
        <w:jc w:val="both"/>
        <w:ind w:left="1300" w:firstLine="643"/>
        <w:spacing w:after="0" w:line="257" w:lineRule="auto"/>
        <w:tabs>
          <w:tab w:leader="none" w:pos="25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rate of interest in effect for such day as publicly announced from time to time by the applicable Group Agent or its Affiliate as its “reference rate” or “prime rate”, as applicable. Such “reference rate” or “prime rate” is set by the applicable Group Agent or its Affiliate based upon various factors, including such Person’s costs and desired return, general economic conditions and other factors, and is used as a reference point for pricing some loans, which may be priced at, above or below such announced rate, and is not necessarily the lowest rate charged to any customer; and</w:t>
      </w:r>
    </w:p>
    <w:p>
      <w:pPr>
        <w:spacing w:after="0" w:line="187" w:lineRule="exact"/>
        <w:rPr>
          <w:rFonts w:ascii="Arial" w:cs="Arial" w:eastAsia="Arial" w:hAnsi="Arial"/>
          <w:sz w:val="18"/>
          <w:szCs w:val="18"/>
          <w:color w:val="auto"/>
        </w:rPr>
      </w:pPr>
    </w:p>
    <w:p>
      <w:pPr>
        <w:ind w:left="2600" w:hanging="657"/>
        <w:spacing w:after="0"/>
        <w:tabs>
          <w:tab w:leader="none" w:pos="2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half percent (0.50%) per annum above the latest Overnight Bank Funding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 xml:space="preserve">Amendment 2 to RFA (Integra) </w:t>
      </w:r>
      <w:r>
        <w:rPr>
          <w:rFonts w:ascii="Arial" w:cs="Arial" w:eastAsia="Arial" w:hAnsi="Arial"/>
          <w:sz w:val="18"/>
          <w:szCs w:val="18"/>
          <w:color w:val="auto"/>
        </w:rPr>
        <w:t>2</w:t>
      </w:r>
    </w:p>
    <w:p>
      <w:pPr>
        <w:sectPr>
          <w:pgSz w:w="11900" w:h="16838" w:orient="portrait"/>
          <w:cols w:equalWidth="0" w:num="1">
            <w:col w:w="11240"/>
          </w:cols>
          <w:pgMar w:left="320" w:top="1043" w:right="339" w:bottom="1440" w:gutter="0" w:footer="0" w:header="0"/>
        </w:sectPr>
      </w:pPr>
    </w:p>
    <w:bookmarkStart w:id="68" w:name="page69"/>
    <w:bookmarkEnd w:id="68"/>
    <w:p>
      <w:pPr>
        <w:jc w:val="both"/>
        <w:ind w:left="740" w:firstLine="63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that certain Sixth Amended and Restated Credit Agreement, dated as of February 3, 2020, by and among the Parent, as the borrower thereunder, each lender and issuing bank from time to time party thereto, Bank of America, N.A., as administrative agent, swing line lender and an L/C issuer thereunder, Citibank N.A., Morgan Stanley MUFG Loan Partners, LLC and Wells Fargo Bank, N.A., as co-syndication agents thereunder, and the various other co-documentation agents, joint lead arrangers and joint book managers party thereto, and so long as PNC and Mizuho Bank, Ltd. are each a lender under the Credit Agreement as amended, restated, supplemented or otherwise modified from time to time.</w:t>
      </w:r>
    </w:p>
    <w:p>
      <w:pPr>
        <w:spacing w:after="0" w:line="192" w:lineRule="exact"/>
        <w:rPr>
          <w:sz w:val="20"/>
          <w:szCs w:val="20"/>
          <w:color w:val="auto"/>
        </w:rPr>
      </w:pPr>
    </w:p>
    <w:p>
      <w:pPr>
        <w:jc w:val="both"/>
        <w:ind w:left="660" w:firstLine="63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Reserves</w:t>
      </w:r>
      <w:r>
        <w:rPr>
          <w:rFonts w:ascii="Arial" w:cs="Arial" w:eastAsia="Arial" w:hAnsi="Arial"/>
          <w:sz w:val="18"/>
          <w:szCs w:val="18"/>
          <w:color w:val="auto"/>
        </w:rPr>
        <w:t xml:space="preserve">” means, at any time of determination, an amount equal to the sum of (a) the product of (i) the sum of: (A) the Yield Reserve Percentage,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greatest of (I) the sum of the Concentration Reserve Percentage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Minimum Dilution Reserve Percentage and (II) the sum of the Loss Reserve Percentage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Dilution Reserve Percentage,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(ii) the Adjusted Net Receivables Pool Balance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Currency Reserve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Temporarily Ineligible Receivables shall be excluded from each component of the calculations used to determine Total Reserves.</w:t>
      </w:r>
    </w:p>
    <w:p>
      <w:pPr>
        <w:spacing w:after="0" w:line="188" w:lineRule="exact"/>
        <w:rPr>
          <w:sz w:val="20"/>
          <w:szCs w:val="20"/>
          <w:color w:val="auto"/>
        </w:rPr>
      </w:pPr>
    </w:p>
    <w:p>
      <w:pPr>
        <w:ind w:firstLine="647"/>
        <w:spacing w:after="0" w:line="277" w:lineRule="auto"/>
        <w:tabs>
          <w:tab w:leader="none" w:pos="12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Clause (a) of the definition of “</w:t>
      </w:r>
      <w:r>
        <w:rPr>
          <w:rFonts w:ascii="Arial" w:cs="Arial" w:eastAsia="Arial" w:hAnsi="Arial"/>
          <w:sz w:val="18"/>
          <w:szCs w:val="18"/>
          <w:u w:val="single" w:color="auto"/>
          <w:color w:val="auto"/>
        </w:rPr>
        <w:t>Eligible Receivable</w:t>
      </w:r>
      <w:r>
        <w:rPr>
          <w:rFonts w:ascii="Arial" w:cs="Arial" w:eastAsia="Arial" w:hAnsi="Arial"/>
          <w:sz w:val="18"/>
          <w:szCs w:val="18"/>
          <w:color w:val="auto"/>
        </w:rPr>
        <w:t>” set forth in Section 1.01 of the Original Receivables Financing Agreement is hereby deleted and replaced in its entirety with the following:</w:t>
      </w:r>
    </w:p>
    <w:p>
      <w:pPr>
        <w:spacing w:after="0" w:line="170" w:lineRule="exact"/>
        <w:rPr>
          <w:rFonts w:ascii="Arial" w:cs="Arial" w:eastAsia="Arial" w:hAnsi="Arial"/>
          <w:sz w:val="18"/>
          <w:szCs w:val="18"/>
          <w:color w:val="auto"/>
        </w:rPr>
      </w:pPr>
    </w:p>
    <w:p>
      <w:pPr>
        <w:jc w:val="both"/>
        <w:ind w:left="1300" w:firstLine="643"/>
        <w:spacing w:after="0" w:line="255" w:lineRule="auto"/>
        <w:tabs>
          <w:tab w:leader="none" w:pos="219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Obligor of which: (i) is either a U.S. Obligor or an Eligible Foreign Obligor; (ii) is not a Sanctioned Person; (iii) is not subject to any Insolvency Proceeding; (iv) is not an Affiliate of an Integra Party or the Parent; (v) does not have an aggregate Outstanding Balance of Pool Receivables as to which any payment, or part thereof, remains unpaid for one hundred twenty one (121) calendar days or more from the original due date for such payment that exceeds fifty percent (50%) of the aggregate Outstanding Balance of all of such Obligor’s Pool Receivables; (vi) is not a natural person; (vii) is not a material supplier to any Originator or an Affiliate of a material supplier; and (viii) is not a Temporarily Ineligible Obligor;</w:t>
      </w:r>
    </w:p>
    <w:p>
      <w:pPr>
        <w:spacing w:after="0" w:line="192" w:lineRule="exact"/>
        <w:rPr>
          <w:rFonts w:ascii="Arial" w:cs="Arial" w:eastAsia="Arial" w:hAnsi="Arial"/>
          <w:sz w:val="18"/>
          <w:szCs w:val="18"/>
          <w:color w:val="auto"/>
        </w:rPr>
      </w:pPr>
    </w:p>
    <w:p>
      <w:pPr>
        <w:ind w:firstLine="647"/>
        <w:spacing w:after="0" w:line="277" w:lineRule="auto"/>
        <w:tabs>
          <w:tab w:leader="none" w:pos="12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Clause (b) of the definition of “</w:t>
      </w:r>
      <w:r>
        <w:rPr>
          <w:rFonts w:ascii="Arial" w:cs="Arial" w:eastAsia="Arial" w:hAnsi="Arial"/>
          <w:sz w:val="18"/>
          <w:szCs w:val="18"/>
          <w:u w:val="single" w:color="auto"/>
          <w:color w:val="auto"/>
        </w:rPr>
        <w:t>Excess Concentration</w:t>
      </w:r>
      <w:r>
        <w:rPr>
          <w:rFonts w:ascii="Arial" w:cs="Arial" w:eastAsia="Arial" w:hAnsi="Arial"/>
          <w:sz w:val="18"/>
          <w:szCs w:val="18"/>
          <w:color w:val="auto"/>
        </w:rPr>
        <w:t>” set forth in Section 1.01 of the Original Receivables Financing Agreement is hereby deleted and replaced in its entirety with the following:</w:t>
      </w:r>
    </w:p>
    <w:p>
      <w:pPr>
        <w:spacing w:after="0" w:line="170" w:lineRule="exact"/>
        <w:rPr>
          <w:rFonts w:ascii="Arial" w:cs="Arial" w:eastAsia="Arial" w:hAnsi="Arial"/>
          <w:sz w:val="18"/>
          <w:szCs w:val="18"/>
          <w:color w:val="auto"/>
        </w:rPr>
      </w:pPr>
    </w:p>
    <w:p>
      <w:pPr>
        <w:jc w:val="both"/>
        <w:ind w:left="1300" w:firstLine="643"/>
        <w:spacing w:after="0" w:line="269" w:lineRule="auto"/>
        <w:tabs>
          <w:tab w:leader="none" w:pos="2207"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the excess (if any) of (i) the aggregate Outstanding Balance of all Eligible Receivables, the Obligors of which are Eligible Foreign Obligors,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(ii) the product of (x) twenty two and a half percent (22.50%),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(y) the aggregate Outstanding Balance of all Eligible Receivables then in the Receivables Pool;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aggregate Outstanding Balance of all Eligible Receivables, the Obligors of which are Eligible Foreign Obligors (A) organized in, and whose principal place of business is in, a country that has a long-term sovereign foreign-currency rating from and including “A” to and including “BBB-” by S&amp;P or from and including “A2” to and including “Baa3” by Moody’s, shall not exceed fifteen percent (15.00%) of the aggregate Outstanding Balance of all Eligible Receivables, (B) organized in, and whose principal place of business is in, a country that has a long-term sovereign foreigncurrency rating equal to or less than “BB+” by S&amp;P or “Ba1” by Moody’s, shall not exceed five percent (5.00%) of the aggregate Outstanding Balance of all Eligible Receivables, (C) organized in, and whose principal place of business is in, the People’s Republic of China, shall not exceed five percent (5.00%) of the aggregate Outstanding Balance of all Eligible Receivables and (D) organized in, and whose principal place of business is in, a country other than the People’s Republic of China, shall not exceed five percent (5.00%) of the aggregate Outstanding Balance of all Eligible Receivables; </w:t>
      </w:r>
      <w:r>
        <w:rPr>
          <w:rFonts w:ascii="Arial" w:cs="Arial" w:eastAsia="Arial" w:hAnsi="Arial"/>
          <w:sz w:val="17"/>
          <w:szCs w:val="17"/>
          <w:u w:val="single" w:color="auto"/>
          <w:color w:val="auto"/>
        </w:rPr>
        <w:t>plus</w:t>
      </w:r>
    </w:p>
    <w:p>
      <w:pPr>
        <w:spacing w:after="0" w:line="178" w:lineRule="exact"/>
        <w:rPr>
          <w:rFonts w:ascii="Arial" w:cs="Arial" w:eastAsia="Arial" w:hAnsi="Arial"/>
          <w:sz w:val="17"/>
          <w:szCs w:val="17"/>
          <w:color w:val="auto"/>
        </w:rPr>
      </w:pPr>
    </w:p>
    <w:p>
      <w:pPr>
        <w:ind w:left="1300" w:hanging="653"/>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of the Original Receivables Financing Agreement is hereby deleted in its entirety.</w:t>
      </w:r>
    </w:p>
    <w:p>
      <w:pPr>
        <w:spacing w:after="0" w:line="225" w:lineRule="exact"/>
        <w:rPr>
          <w:rFonts w:ascii="Arial" w:cs="Arial" w:eastAsia="Arial" w:hAnsi="Arial"/>
          <w:sz w:val="18"/>
          <w:szCs w:val="18"/>
          <w:color w:val="auto"/>
        </w:rPr>
      </w:pPr>
    </w:p>
    <w:p>
      <w:pPr>
        <w:ind w:left="1300" w:hanging="653"/>
        <w:spacing w:after="0"/>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 Original Receivables Financing Agreement is hereby amended by adding the following as new </w:t>
      </w:r>
      <w:r>
        <w:rPr>
          <w:rFonts w:ascii="Arial" w:cs="Arial" w:eastAsia="Arial" w:hAnsi="Arial"/>
          <w:sz w:val="16"/>
          <w:szCs w:val="16"/>
          <w:u w:val="single" w:color="auto"/>
          <w:color w:val="auto"/>
        </w:rPr>
        <w:t>Section 4.06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4.07</w:t>
      </w:r>
      <w:r>
        <w:rPr>
          <w:rFonts w:ascii="Arial" w:cs="Arial" w:eastAsia="Arial" w:hAnsi="Arial"/>
          <w:sz w:val="18"/>
          <w:szCs w:val="18"/>
          <w:color w:val="auto"/>
        </w:rPr>
        <w:t xml:space="preserve"> immediately following the existing </w:t>
      </w:r>
      <w:r>
        <w:rPr>
          <w:rFonts w:ascii="Arial" w:cs="Arial" w:eastAsia="Arial" w:hAnsi="Arial"/>
          <w:sz w:val="18"/>
          <w:szCs w:val="18"/>
          <w:u w:val="single" w:color="auto"/>
          <w:color w:val="auto"/>
        </w:rPr>
        <w:t>Section 4.05</w:t>
      </w:r>
      <w:r>
        <w:rPr>
          <w:rFonts w:ascii="Arial" w:cs="Arial" w:eastAsia="Arial" w:hAnsi="Arial"/>
          <w:sz w:val="18"/>
          <w:szCs w:val="18"/>
          <w:color w:val="auto"/>
        </w:rPr>
        <w:t xml:space="preserve"> in the appropriate numerical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 xml:space="preserve">Amendment 2 to RFA (Integra) </w:t>
      </w:r>
      <w:r>
        <w:rPr>
          <w:rFonts w:ascii="Arial" w:cs="Arial" w:eastAsia="Arial" w:hAnsi="Arial"/>
          <w:sz w:val="18"/>
          <w:szCs w:val="18"/>
          <w:color w:val="auto"/>
        </w:rPr>
        <w:t>3</w:t>
      </w:r>
    </w:p>
    <w:p>
      <w:pPr>
        <w:sectPr>
          <w:pgSz w:w="11900" w:h="16838" w:orient="portrait"/>
          <w:cols w:equalWidth="0" w:num="1">
            <w:col w:w="11240"/>
          </w:cols>
          <w:pgMar w:left="320" w:top="1043" w:right="339" w:bottom="1440" w:gutter="0" w:footer="0" w:header="0"/>
        </w:sectPr>
      </w:pPr>
    </w:p>
    <w:bookmarkStart w:id="69" w:name="page70"/>
    <w:bookmarkEnd w:id="69"/>
    <w:p>
      <w:pPr>
        <w:spacing w:after="0"/>
        <w:tabs>
          <w:tab w:leader="none" w:pos="138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u w:val="single" w:color="auto"/>
          <w:color w:val="auto"/>
        </w:rPr>
        <w:t>Successor Adjusted LIBOR or LMIR</w:t>
      </w:r>
      <w:r>
        <w:rPr>
          <w:rFonts w:ascii="Arial" w:cs="Arial" w:eastAsia="Arial" w:hAnsi="Arial"/>
          <w:sz w:val="16"/>
          <w:szCs w:val="16"/>
          <w:color w:val="auto"/>
        </w:rPr>
        <w:t>.</w:t>
      </w:r>
    </w:p>
    <w:p>
      <w:pPr>
        <w:spacing w:after="0" w:line="225" w:lineRule="exact"/>
        <w:rPr>
          <w:sz w:val="20"/>
          <w:szCs w:val="20"/>
          <w:color w:val="auto"/>
        </w:rPr>
      </w:pPr>
    </w:p>
    <w:p>
      <w:pPr>
        <w:jc w:val="both"/>
        <w:ind w:left="480" w:firstLine="635"/>
        <w:spacing w:after="0" w:line="284" w:lineRule="auto"/>
        <w:tabs>
          <w:tab w:leader="none" w:pos="1764"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Benchmark Replacement</w:t>
      </w:r>
      <w:r>
        <w:rPr>
          <w:rFonts w:ascii="Arial" w:cs="Arial" w:eastAsia="Arial" w:hAnsi="Arial"/>
          <w:sz w:val="16"/>
          <w:szCs w:val="16"/>
          <w:color w:val="auto"/>
        </w:rPr>
        <w:t>. Notwithstanding anything to the contrary herein or in any other Transaction Document, upon the occurrence of a Benchmark Transition Event or an Early Opt-in Event, the Administrative Agent and the Borrower may amend this Agreement to replace Adjusted LIBOR or LMIR, as applicable, with a Benchmark Replacement; and any such amendment will become effective at 5:00 p.m. New York City time on the fifth (5th) Business Day after the Administrative Agent has provided such proposed amendment to all Lenders, so long as the Administrative Agent has not received, by such time, written notice of objection to such amendment from the Majority Group Agents. Until the Benchmark Replacement is effective, each advance, conversion and renewal of a Loan under Adjusted LIBOR or LMIR, as applicable, will continue to bear interest with reference to Adjusted LIBOR or LMIR, as applicable; provided however, during a Benchmark Unavailability Period</w:t>
      </w:r>
    </w:p>
    <w:p>
      <w:pPr>
        <w:spacing w:after="0" w:line="2" w:lineRule="exact"/>
        <w:rPr>
          <w:rFonts w:ascii="Arial" w:cs="Arial" w:eastAsia="Arial" w:hAnsi="Arial"/>
          <w:sz w:val="16"/>
          <w:szCs w:val="16"/>
          <w:color w:val="auto"/>
        </w:rPr>
      </w:pPr>
    </w:p>
    <w:p>
      <w:pPr>
        <w:jc w:val="both"/>
        <w:ind w:left="480" w:hanging="4"/>
        <w:spacing w:after="0" w:line="252" w:lineRule="auto"/>
        <w:tabs>
          <w:tab w:leader="none" w:pos="703"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any pending selection of, conversion to or renewal of a Loan bearing interest under Adjusted LIBOR or LMIR, as applicable, that has not yet gone into effect shall be deemed to be a selection of, conversion to or renewal of the Base Rate with respect to such Loan, (ii) all outstanding Loans bearing interest under Adjusted LIBOR or LMIR, as applicable, shall automatically be converted to the Base Rate at the expiration of the existing Interest Period (or sooner, if Administrative Agent cannot continue to lawfully maintain such affected Loan under Adjusted LIBOR or LMIR, as applicable) and (iii) the component of the Base Rate based upon Adjusted LIBOR or LMIR, as applicable, will not be used in any determination of the Base Rate. No replacement of Adjusted LIBOR or LMIR with a Benchmark Replacement pursuant to this </w:t>
      </w:r>
      <w:r>
        <w:rPr>
          <w:rFonts w:ascii="Arial" w:cs="Arial" w:eastAsia="Arial" w:hAnsi="Arial"/>
          <w:sz w:val="18"/>
          <w:szCs w:val="18"/>
          <w:u w:val="single" w:color="auto"/>
          <w:color w:val="auto"/>
        </w:rPr>
        <w:t>Section 4.06</w:t>
      </w:r>
      <w:r>
        <w:rPr>
          <w:rFonts w:ascii="Arial" w:cs="Arial" w:eastAsia="Arial" w:hAnsi="Arial"/>
          <w:sz w:val="18"/>
          <w:szCs w:val="18"/>
          <w:color w:val="auto"/>
        </w:rPr>
        <w:t xml:space="preserve"> will occur prior to the applicable Benchmark Transition Start Date.</w:t>
      </w:r>
    </w:p>
    <w:p>
      <w:pPr>
        <w:spacing w:after="0" w:line="192" w:lineRule="exact"/>
        <w:rPr>
          <w:rFonts w:ascii="Arial" w:cs="Arial" w:eastAsia="Arial" w:hAnsi="Arial"/>
          <w:sz w:val="18"/>
          <w:szCs w:val="18"/>
          <w:color w:val="auto"/>
        </w:rPr>
      </w:pPr>
    </w:p>
    <w:p>
      <w:pPr>
        <w:jc w:val="both"/>
        <w:ind w:left="480" w:firstLine="635"/>
        <w:spacing w:after="0" w:line="279" w:lineRule="auto"/>
        <w:tabs>
          <w:tab w:leader="none" w:pos="1774"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In connection with the implementation of a Benchmark Replacement, the Administrative Agent will have the right to make Benchmark Replacement Conforming Changes from time to time and, notwithstanding anything to the contrary herein or in any other Transaction Document, any amendments implementing such Benchmark Replacement Conforming Changes will become effective without any further action or consent of any other party to this Agreement.</w:t>
      </w:r>
    </w:p>
    <w:p>
      <w:pPr>
        <w:spacing w:after="0" w:line="171" w:lineRule="exact"/>
        <w:rPr>
          <w:rFonts w:ascii="Arial" w:cs="Arial" w:eastAsia="Arial" w:hAnsi="Arial"/>
          <w:sz w:val="17"/>
          <w:szCs w:val="17"/>
          <w:color w:val="auto"/>
        </w:rPr>
      </w:pPr>
    </w:p>
    <w:p>
      <w:pPr>
        <w:jc w:val="both"/>
        <w:ind w:left="480" w:firstLine="635"/>
        <w:spacing w:after="0" w:line="290" w:lineRule="auto"/>
        <w:tabs>
          <w:tab w:leader="none" w:pos="1764"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Notices; Standards for Decisions and Determinations</w:t>
      </w:r>
      <w:r>
        <w:rPr>
          <w:rFonts w:ascii="Arial" w:cs="Arial" w:eastAsia="Arial" w:hAnsi="Arial"/>
          <w:sz w:val="16"/>
          <w:szCs w:val="16"/>
          <w:color w:val="auto"/>
        </w:rPr>
        <w:t xml:space="preserve">. The Administrative Agent will promptly notify the Borrower and the Lenders of (i) any occurrence of a Benchmark Transition Event or an Early Opt-in Event, as applicable, and its related Benchmark Replacement Date and Benchmark Transition Start Date, (ii) the implementation of any Benchmark Replacement, (iii) the effectiveness of any Benchmark Replacement Conforming Changes and (iv) the commencement of any Benchmark Unavailability Period. Any determination, decision or election that may be made by the Administrative Agent, the Lenders or the Majority Group Agents pursuant to this </w:t>
      </w:r>
      <w:r>
        <w:rPr>
          <w:rFonts w:ascii="Arial" w:cs="Arial" w:eastAsia="Arial" w:hAnsi="Arial"/>
          <w:sz w:val="16"/>
          <w:szCs w:val="16"/>
          <w:u w:val="single" w:color="auto"/>
          <w:color w:val="auto"/>
        </w:rPr>
        <w:t>Section 4.06</w:t>
      </w:r>
      <w:r>
        <w:rPr>
          <w:rFonts w:ascii="Arial" w:cs="Arial" w:eastAsia="Arial" w:hAnsi="Arial"/>
          <w:sz w:val="16"/>
          <w:szCs w:val="16"/>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Arial" w:cs="Arial" w:eastAsia="Arial" w:hAnsi="Arial"/>
          <w:sz w:val="16"/>
          <w:szCs w:val="16"/>
          <w:u w:val="single" w:color="auto"/>
          <w:color w:val="auto"/>
        </w:rPr>
        <w:t>Section 4.06</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left="1780" w:hanging="665"/>
        <w:spacing w:after="0"/>
        <w:tabs>
          <w:tab w:leader="none" w:pos="178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5" w:lineRule="exact"/>
        <w:rPr>
          <w:sz w:val="20"/>
          <w:szCs w:val="20"/>
          <w:color w:val="auto"/>
        </w:rPr>
      </w:pPr>
    </w:p>
    <w:p>
      <w:pPr>
        <w:jc w:val="both"/>
        <w:ind w:left="800" w:firstLine="972"/>
        <w:spacing w:after="0" w:line="273" w:lineRule="auto"/>
        <w:rPr>
          <w:sz w:val="20"/>
          <w:szCs w:val="20"/>
          <w:color w:val="auto"/>
        </w:rPr>
      </w:pPr>
      <w:r>
        <w:rPr>
          <w:rFonts w:ascii="Arial" w:cs="Arial" w:eastAsia="Arial" w:hAnsi="Arial"/>
          <w:sz w:val="17"/>
          <w:szCs w:val="17"/>
          <w:color w:val="auto"/>
        </w:rPr>
        <w:t>“Benchmark Replacement” means the sum of: (a) the alternate benchmark rate that has been selected by the Administrative Agent and the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Adjusted LIBOR or LMIR, as applicable, for U.S. dollardenominated syndicated credit facilities and (b) the Benchmark Replacement Adjustment; provided that, if the Benchmark Replacement as so determined would be less than zero, the Benchmark Replacement will be deemed to be zero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 xml:space="preserve">Amendment 2 to RFA (Integra) </w:t>
      </w:r>
      <w:r>
        <w:rPr>
          <w:rFonts w:ascii="Arial" w:cs="Arial" w:eastAsia="Arial" w:hAnsi="Arial"/>
          <w:sz w:val="18"/>
          <w:szCs w:val="18"/>
          <w:color w:val="auto"/>
        </w:rPr>
        <w:t>4</w:t>
      </w:r>
    </w:p>
    <w:p>
      <w:pPr>
        <w:sectPr>
          <w:pgSz w:w="11900" w:h="16838" w:orient="portrait"/>
          <w:cols w:equalWidth="0" w:num="1">
            <w:col w:w="11060"/>
          </w:cols>
          <w:pgMar w:left="500" w:top="1043" w:right="339" w:bottom="1440" w:gutter="0" w:footer="0" w:header="0"/>
        </w:sectPr>
      </w:pPr>
    </w:p>
    <w:bookmarkStart w:id="70" w:name="page71"/>
    <w:bookmarkEnd w:id="70"/>
    <w:p>
      <w:pPr>
        <w:jc w:val="both"/>
        <w:ind w:firstLine="972"/>
        <w:spacing w:after="0" w:line="287" w:lineRule="auto"/>
        <w:rPr>
          <w:sz w:val="20"/>
          <w:szCs w:val="20"/>
          <w:color w:val="auto"/>
        </w:rPr>
      </w:pPr>
      <w:r>
        <w:rPr>
          <w:rFonts w:ascii="Arial" w:cs="Arial" w:eastAsia="Arial" w:hAnsi="Arial"/>
          <w:sz w:val="16"/>
          <w:szCs w:val="16"/>
          <w:color w:val="auto"/>
        </w:rPr>
        <w:t>“Benchmark Replacement Adjustment” means, with respect to any replacement of Adjusted LIBOR or LMIR, as applicable, with an alternate benchmark rate for each applicable Interest Period, the spread adjustment, or method for calculating or determining such spread adjustment, (which may be a positive or negative value or zero) that has been selected by the Administrative Agent and the Borrower</w:t>
      </w:r>
    </w:p>
    <w:p>
      <w:pPr>
        <w:spacing w:after="0" w:line="2" w:lineRule="exact"/>
        <w:rPr>
          <w:sz w:val="20"/>
          <w:szCs w:val="20"/>
          <w:color w:val="auto"/>
        </w:rPr>
      </w:pPr>
    </w:p>
    <w:p>
      <w:pPr>
        <w:jc w:val="both"/>
        <w:spacing w:after="0" w:line="269" w:lineRule="auto"/>
        <w:tabs>
          <w:tab w:leader="none" w:pos="261" w:val="left"/>
        </w:tabs>
        <w:numPr>
          <w:ilvl w:val="0"/>
          <w:numId w:val="48"/>
        </w:numPr>
        <w:rPr>
          <w:rFonts w:ascii="Arial" w:cs="Arial" w:eastAsia="Arial" w:hAnsi="Arial"/>
          <w:sz w:val="17"/>
          <w:szCs w:val="17"/>
          <w:color w:val="auto"/>
        </w:rPr>
      </w:pPr>
      <w:r>
        <w:rPr>
          <w:rFonts w:ascii="Arial" w:cs="Arial" w:eastAsia="Arial" w:hAnsi="Arial"/>
          <w:sz w:val="17"/>
          <w:szCs w:val="17"/>
          <w:color w:val="auto"/>
        </w:rPr>
        <w:t>giving due consideration to (i) any selection or recommendation of a spread adjustment, or method for calculating or determining such spread adjustment, for the replacement of Adjusted LIBOR or LMIR, as applicable, with the applicable Benchmark Replacement (excluding such spread adjustment) by the Relevant Governmental Body or (ii) any evolving or then-prevailing market convention for determining a spread adjustment, or method for calculating or determining such spread adjustment, for such replacement of Adjusted LIBOR or LMIR, as applicable, for U.S. dollar-denominated syndicated credit facilities at such time and (b) which may also reflect adjustments to account for (i) the effects of the transition from Adjusted LIBOR or LMIR, as applicable, to the Benchmark Replacement and (ii) yield- or risk-based differences between Adjusted LIBOR or LMIR, as applicable, and the Benchmark Replacement.</w:t>
      </w:r>
    </w:p>
    <w:p>
      <w:pPr>
        <w:spacing w:after="0" w:line="180"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“Benchmark Replacement Conforming Changes” means, with respect to any Benchmark Replacement, any technical, administrative or operational changes (including changes to the definition of “Base Rate,” the definition of “Interest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“Benchmark Replacement Date” means the earlier to occur of the following events with respect to Adjusted LIBOR or LMIR,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11" w:lineRule="exact"/>
        <w:rPr>
          <w:sz w:val="20"/>
          <w:szCs w:val="20"/>
          <w:color w:val="auto"/>
        </w:rPr>
      </w:pPr>
    </w:p>
    <w:p>
      <w:pPr>
        <w:jc w:val="both"/>
        <w:ind w:left="320" w:firstLine="1300"/>
        <w:spacing w:after="0" w:line="286" w:lineRule="auto"/>
        <w:tabs>
          <w:tab w:leader="none" w:pos="2258"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the case of clause (1) or (2) of the definition of “Benchmark Transition Event,” the later of (a) the date of the public statement or publication of information referenced therein and (b) the date on which the administrator of Adjusted LIBOR or LMIR, as applicable, permanently or indefinitely ceases to provide Adjusted LIBOR or LMIR, as applicable; or</w:t>
      </w:r>
    </w:p>
    <w:p>
      <w:pPr>
        <w:spacing w:after="0" w:line="165" w:lineRule="exact"/>
        <w:rPr>
          <w:rFonts w:ascii="Arial" w:cs="Arial" w:eastAsia="Arial" w:hAnsi="Arial"/>
          <w:sz w:val="17"/>
          <w:szCs w:val="17"/>
          <w:color w:val="auto"/>
        </w:rPr>
      </w:pPr>
    </w:p>
    <w:p>
      <w:pPr>
        <w:ind w:left="320" w:right="20" w:firstLine="1300"/>
        <w:spacing w:after="0" w:line="277" w:lineRule="auto"/>
        <w:tabs>
          <w:tab w:leader="none" w:pos="22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of the public statement or publication of information referenced therein.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“Benchmark Transition Event” means the occurrence of one or more of the following events with respect to Adjusted LIBOR or LMIR, as applicable:</w:t>
      </w:r>
    </w:p>
    <w:p>
      <w:pPr>
        <w:spacing w:after="0" w:line="170" w:lineRule="exact"/>
        <w:rPr>
          <w:sz w:val="20"/>
          <w:szCs w:val="20"/>
          <w:color w:val="auto"/>
        </w:rPr>
      </w:pPr>
    </w:p>
    <w:p>
      <w:pPr>
        <w:jc w:val="both"/>
        <w:ind w:left="320" w:firstLine="1300"/>
        <w:spacing w:after="0" w:line="259" w:lineRule="auto"/>
        <w:tabs>
          <w:tab w:leader="none" w:pos="22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Adjusted LIBOR or LMIR, as applicable, announcing that such administrator has ceased or will cease to provide Adjusted LIBOR or LMIR, as applicable, permanently or indefinitely, provided that, at the time of such statement or publication, there is no successor administrator that will continue to provide Adjusted LIBOR or LMIR,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 xml:space="preserve">Amendment 2 to RFA (Integra) </w:t>
      </w:r>
      <w:r>
        <w:rPr>
          <w:rFonts w:ascii="Arial" w:cs="Arial" w:eastAsia="Arial" w:hAnsi="Arial"/>
          <w:sz w:val="18"/>
          <w:szCs w:val="18"/>
          <w:color w:val="auto"/>
        </w:rPr>
        <w:t>5</w:t>
      </w:r>
    </w:p>
    <w:p>
      <w:pPr>
        <w:sectPr>
          <w:pgSz w:w="11900" w:h="16838" w:orient="portrait"/>
          <w:cols w:equalWidth="0" w:num="1">
            <w:col w:w="10260"/>
          </w:cols>
          <w:pgMar w:left="1300" w:top="1043" w:right="339" w:bottom="1440" w:gutter="0" w:footer="0" w:header="0"/>
        </w:sectPr>
      </w:pPr>
    </w:p>
    <w:bookmarkStart w:id="71" w:name="page72"/>
    <w:bookmarkEnd w:id="71"/>
    <w:p>
      <w:pPr>
        <w:jc w:val="both"/>
        <w:ind w:left="1300" w:firstLine="1300"/>
        <w:spacing w:after="0" w:line="254" w:lineRule="auto"/>
        <w:tabs>
          <w:tab w:leader="none" w:pos="323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a Governmental Authority having jurisdiction over the Administrative Agent, the regulatory supervisor for the administrator of Adjusted LIBOR or LMIR, as applicable, the U.S. Federal Reserve System, an insolvency official with jurisdiction over the administrator for Adjusted LIBOR or LMIR, as applicable, a resolution authority with jurisdiction over the administrator for Adjusted LIBOR or LMIR, as applicable, or a court or an entity with similar insolvency or resolution authority over the administrator for Adjusted LIBOR or LMIR, as applicable, which states that the administrator of Adjusted LIBOR or LMIR, as applicable, has ceased or will cease to provide Adjusted LIBOR or LMIR, as applicable, permanently or indefinitely, provided that, at the time of such statement or publication, there is no successor administrator that will continue to provide Adjusted LIBOR or LMIR, as applicable; or</w:t>
      </w:r>
    </w:p>
    <w:p>
      <w:pPr>
        <w:spacing w:after="0" w:line="191" w:lineRule="exact"/>
        <w:rPr>
          <w:rFonts w:ascii="Arial" w:cs="Arial" w:eastAsia="Arial" w:hAnsi="Arial"/>
          <w:sz w:val="18"/>
          <w:szCs w:val="18"/>
          <w:color w:val="auto"/>
        </w:rPr>
      </w:pPr>
    </w:p>
    <w:p>
      <w:pPr>
        <w:jc w:val="both"/>
        <w:ind w:left="1300" w:firstLine="1300"/>
        <w:spacing w:after="0" w:line="263" w:lineRule="auto"/>
        <w:tabs>
          <w:tab w:leader="none" w:pos="323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Adjusted LIBOR or LMIR, as applicable, or a Governmental Authority having jurisdiction over the Administrative Agent announcing that Adjusted LIBOR or LMIR, as applicable, is no longer representative.</w:t>
      </w:r>
    </w:p>
    <w:p>
      <w:pPr>
        <w:spacing w:after="0" w:line="184" w:lineRule="exact"/>
        <w:rPr>
          <w:sz w:val="20"/>
          <w:szCs w:val="20"/>
          <w:color w:val="auto"/>
        </w:rPr>
      </w:pPr>
    </w:p>
    <w:p>
      <w:pPr>
        <w:jc w:val="both"/>
        <w:ind w:left="980" w:firstLine="972"/>
        <w:spacing w:after="0" w:line="296" w:lineRule="auto"/>
        <w:rPr>
          <w:sz w:val="20"/>
          <w:szCs w:val="20"/>
          <w:color w:val="auto"/>
        </w:rPr>
      </w:pPr>
      <w:r>
        <w:rPr>
          <w:rFonts w:ascii="Arial" w:cs="Arial" w:eastAsia="Arial" w:hAnsi="Arial"/>
          <w:sz w:val="16"/>
          <w:szCs w:val="16"/>
          <w:color w:val="auto"/>
        </w:rPr>
        <w:t>“Benchmark Transition Start Date”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by notice to the Borrower and the Lenders.</w:t>
      </w:r>
    </w:p>
    <w:p>
      <w:pPr>
        <w:spacing w:after="0" w:line="161" w:lineRule="exact"/>
        <w:rPr>
          <w:sz w:val="20"/>
          <w:szCs w:val="20"/>
          <w:color w:val="auto"/>
        </w:rPr>
      </w:pPr>
    </w:p>
    <w:p>
      <w:pPr>
        <w:jc w:val="both"/>
        <w:ind w:left="980" w:firstLine="972"/>
        <w:spacing w:after="0" w:line="255" w:lineRule="auto"/>
        <w:rPr>
          <w:sz w:val="20"/>
          <w:szCs w:val="20"/>
          <w:color w:val="auto"/>
        </w:rPr>
      </w:pPr>
      <w:r>
        <w:rPr>
          <w:rFonts w:ascii="Arial" w:cs="Arial" w:eastAsia="Arial" w:hAnsi="Arial"/>
          <w:sz w:val="18"/>
          <w:szCs w:val="18"/>
          <w:color w:val="auto"/>
        </w:rPr>
        <w:t xml:space="preserve">“Benchmark Unavailability Period” means, if a Benchmark Transition Event and its related Benchmark Replacement Date have occurred with respect to Adjusted LIBOR or LMIR, as applicable, and solely to the extent that Adjusted LIBOR or LMIR, as applicable, has not been replaced with a Benchmark Replacement, the period (x) beginning at the time that such Benchmark Replacement Date has occurred if, at such time, no Benchmark Replacement has replaced Adjusted LIBOR or LMIR, as applicable, for all purposes hereunder in accordance with </w:t>
      </w:r>
      <w:r>
        <w:rPr>
          <w:rFonts w:ascii="Arial" w:cs="Arial" w:eastAsia="Arial" w:hAnsi="Arial"/>
          <w:sz w:val="18"/>
          <w:szCs w:val="18"/>
          <w:u w:val="single" w:color="auto"/>
          <w:color w:val="auto"/>
        </w:rPr>
        <w:t>Section 4.06</w:t>
      </w:r>
      <w:r>
        <w:rPr>
          <w:rFonts w:ascii="Arial" w:cs="Arial" w:eastAsia="Arial" w:hAnsi="Arial"/>
          <w:sz w:val="18"/>
          <w:szCs w:val="18"/>
          <w:color w:val="auto"/>
        </w:rPr>
        <w:t xml:space="preserve"> and (y) ending at the time that a Benchmark Replacement has replaced Adjusted LIBOR or LMIR, as applicable, for all purposes hereunder pursuant to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192" w:lineRule="exact"/>
        <w:rPr>
          <w:sz w:val="20"/>
          <w:szCs w:val="20"/>
          <w:color w:val="auto"/>
        </w:rPr>
      </w:pPr>
    </w:p>
    <w:p>
      <w:pPr>
        <w:jc w:val="both"/>
        <w:ind w:left="980" w:firstLine="972"/>
        <w:spacing w:after="0" w:line="286" w:lineRule="auto"/>
        <w:rPr>
          <w:sz w:val="20"/>
          <w:szCs w:val="20"/>
          <w:color w:val="auto"/>
        </w:rPr>
      </w:pPr>
      <w:r>
        <w:rPr>
          <w:rFonts w:ascii="Arial" w:cs="Arial" w:eastAsia="Arial" w:hAnsi="Arial"/>
          <w:sz w:val="17"/>
          <w:szCs w:val="17"/>
          <w:color w:val="auto"/>
        </w:rPr>
        <w:t xml:space="preserve">“Early Opt-in Event” means a determination by the Administrative Agent that U.S. dollar-denominated syndicated credit facilities being executed at such time, or that include language similar to that contained in this </w:t>
      </w:r>
      <w:r>
        <w:rPr>
          <w:rFonts w:ascii="Arial" w:cs="Arial" w:eastAsia="Arial" w:hAnsi="Arial"/>
          <w:sz w:val="17"/>
          <w:szCs w:val="17"/>
          <w:u w:val="single" w:color="auto"/>
          <w:color w:val="auto"/>
        </w:rPr>
        <w:t>Section 4.06</w:t>
      </w:r>
      <w:r>
        <w:rPr>
          <w:rFonts w:ascii="Arial" w:cs="Arial" w:eastAsia="Arial" w:hAnsi="Arial"/>
          <w:sz w:val="17"/>
          <w:szCs w:val="17"/>
          <w:color w:val="auto"/>
        </w:rPr>
        <w:t>, are being executed or amended, as applicable, to incorporate or adopt a new benchmark interest rate to replace Adjusted LIBOR or LMIR, as applicable.</w:t>
      </w:r>
    </w:p>
    <w:p>
      <w:pPr>
        <w:spacing w:after="0" w:line="165" w:lineRule="exact"/>
        <w:rPr>
          <w:sz w:val="20"/>
          <w:szCs w:val="20"/>
          <w:color w:val="auto"/>
        </w:rPr>
      </w:pPr>
    </w:p>
    <w:p>
      <w:pPr>
        <w:jc w:val="both"/>
        <w:ind w:left="980" w:firstLine="972"/>
        <w:spacing w:after="0" w:line="263" w:lineRule="auto"/>
        <w:rPr>
          <w:sz w:val="20"/>
          <w:szCs w:val="20"/>
          <w:color w:val="auto"/>
        </w:rPr>
      </w:pPr>
      <w:r>
        <w:rPr>
          <w:rFonts w:ascii="Arial" w:cs="Arial" w:eastAsia="Arial" w:hAnsi="Arial"/>
          <w:sz w:val="18"/>
          <w:szCs w:val="18"/>
          <w:color w:val="auto"/>
        </w:rPr>
        <w:t>“Relevant Governmental Body” means the Federal Reserve Board and/or the Federal Reserve Bank of New York, or a committee officially endorsed or convened by the Federal Reserve Board and/or the Federal Reserve Bank of New York or any successor thereto.</w:t>
      </w:r>
    </w:p>
    <w:p>
      <w:pPr>
        <w:spacing w:after="0" w:line="184" w:lineRule="exact"/>
        <w:rPr>
          <w:sz w:val="20"/>
          <w:szCs w:val="20"/>
          <w:color w:val="auto"/>
        </w:rPr>
      </w:pPr>
    </w:p>
    <w:p>
      <w:pPr>
        <w:jc w:val="both"/>
        <w:ind w:left="340" w:firstLine="972"/>
        <w:spacing w:after="0" w:line="257"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LIBOR Notification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4.06(a)</w:t>
      </w:r>
      <w:r>
        <w:rPr>
          <w:rFonts w:ascii="Arial" w:cs="Arial" w:eastAsia="Arial" w:hAnsi="Arial"/>
          <w:sz w:val="18"/>
          <w:szCs w:val="18"/>
          <w:color w:val="auto"/>
        </w:rPr>
        <w:t xml:space="preserve"> of this Agreement provides a mechanism for determining an alternative rate of interest in the event that the London interbank offered rate is no longer available or in certain other circumstances. The Administrative Agent does not warrant or accept any responsibility for and shall not have any liability with respect to, the administration, submission or any other matter related to the London interbank offered rate or other rates in the definition of “Adjusted LIBOR” or “LMIR”, as applicable, or with respect to any alternative or successor rate thereto, or replacement rate therefor.</w:t>
      </w:r>
    </w:p>
    <w:p>
      <w:pPr>
        <w:spacing w:after="0" w:line="188" w:lineRule="exact"/>
        <w:rPr>
          <w:sz w:val="20"/>
          <w:szCs w:val="20"/>
          <w:color w:val="auto"/>
        </w:rPr>
      </w:pPr>
    </w:p>
    <w:p>
      <w:pPr>
        <w:ind w:left="1300" w:hanging="653"/>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first sentence in Section 7.04 of the Original Receivables Financing Agreement is hereby deleted and replaced in its entirety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 xml:space="preserve">Amendment 2 to RFA (Integra) </w:t>
      </w:r>
      <w:r>
        <w:rPr>
          <w:rFonts w:ascii="Arial" w:cs="Arial" w:eastAsia="Arial" w:hAnsi="Arial"/>
          <w:sz w:val="18"/>
          <w:szCs w:val="18"/>
          <w:color w:val="auto"/>
        </w:rPr>
        <w:t>6</w:t>
      </w:r>
    </w:p>
    <w:p>
      <w:pPr>
        <w:sectPr>
          <w:pgSz w:w="11900" w:h="16838" w:orient="portrait"/>
          <w:cols w:equalWidth="0" w:num="1">
            <w:col w:w="11240"/>
          </w:cols>
          <w:pgMar w:left="320" w:top="1043" w:right="339" w:bottom="1440" w:gutter="0" w:footer="0" w:header="0"/>
        </w:sectPr>
      </w:pPr>
    </w:p>
    <w:bookmarkStart w:id="72" w:name="page73"/>
    <w:bookmarkEnd w:id="72"/>
    <w:p>
      <w:pPr>
        <w:jc w:val="both"/>
        <w:ind w:left="660"/>
        <w:spacing w:after="0" w:line="301" w:lineRule="auto"/>
        <w:rPr>
          <w:sz w:val="20"/>
          <w:szCs w:val="20"/>
          <w:color w:val="auto"/>
        </w:rPr>
      </w:pPr>
      <w:r>
        <w:rPr>
          <w:rFonts w:ascii="Arial" w:cs="Arial" w:eastAsia="Arial" w:hAnsi="Arial"/>
          <w:sz w:val="16"/>
          <w:szCs w:val="16"/>
          <w:color w:val="auto"/>
        </w:rPr>
        <w:t>The Borrower shall not, directly or indirectly, nor shall it permit any Integra Party or the Parent to, directly or indirectly, permit the Consolidated Total Leverage Ratio of the Parent and its consolidated Subsidiaries as of the last day of any consecutive four fiscal quarter period ending on the dates identified below to be greater than the ratio set forth below opposite such date (and so long as PNC and Mizuho Bank, Ltd. are each a lender under the Credit Agreement, or such other ratio for such related period as specified in the Credit Agreement from time to time):</w:t>
      </w:r>
    </w:p>
    <w:p>
      <w:pPr>
        <w:spacing w:after="0" w:line="157" w:lineRule="exact"/>
        <w:rPr>
          <w:sz w:val="20"/>
          <w:szCs w:val="20"/>
          <w:color w:val="auto"/>
        </w:rPr>
      </w:pPr>
    </w:p>
    <w:p>
      <w:pPr>
        <w:ind w:left="1300" w:hanging="653"/>
        <w:spacing w:after="0"/>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table set forth in Section 7.04 of the Original Receivables Financing Agreement is hereby deleted and replaced in its entirety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32" w:lineRule="exact"/>
        <w:rPr>
          <w:sz w:val="20"/>
          <w:szCs w:val="20"/>
          <w:color w:val="auto"/>
        </w:rPr>
      </w:pPr>
    </w:p>
    <w:tbl>
      <w:tblPr>
        <w:tblLayout w:type="fixed"/>
        <w:tblInd w:w="790" w:type="dxa"/>
        <w:tblCellMar>
          <w:top w:w="0" w:type="dxa"/>
          <w:left w:w="0" w:type="dxa"/>
          <w:bottom w:w="0" w:type="dxa"/>
          <w:right w:w="0" w:type="dxa"/>
        </w:tblCellMar>
      </w:tblPr>
      <w:tr>
        <w:trPr>
          <w:trHeight w:val="257"/>
        </w:trPr>
        <w:tc>
          <w:tcPr>
            <w:tcW w:w="42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Four Fiscal Quarters Ending</w:t>
            </w:r>
          </w:p>
        </w:tc>
        <w:tc>
          <w:tcPr>
            <w:tcW w:w="4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Maximum Consolidated Total Leverage Ratio</w:t>
            </w:r>
          </w:p>
        </w:tc>
      </w:tr>
      <w:tr>
        <w:trPr>
          <w:trHeight w:val="27"/>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r>
        <w:trPr>
          <w:trHeight w:val="222"/>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First fiscal quarter ending after the</w:t>
            </w:r>
          </w:p>
        </w:tc>
        <w:tc>
          <w:tcPr>
            <w:tcW w:w="4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5.00 to 1.00</w:t>
            </w:r>
          </w:p>
        </w:tc>
      </w:tr>
      <w:tr>
        <w:trPr>
          <w:trHeight w:val="23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Effective Date through June 30, 2022</w:t>
            </w:r>
          </w:p>
        </w:tc>
        <w:tc>
          <w:tcPr>
            <w:tcW w:w="4300" w:type="dxa"/>
            <w:vAlign w:val="bottom"/>
            <w:tcBorders>
              <w:right w:val="single" w:sz="8" w:color="auto"/>
            </w:tcBorders>
          </w:tcPr>
          <w:p>
            <w:pPr>
              <w:spacing w:after="0"/>
              <w:rPr>
                <w:sz w:val="20"/>
                <w:szCs w:val="20"/>
                <w:color w:val="auto"/>
              </w:rPr>
            </w:pPr>
          </w:p>
        </w:tc>
      </w:tr>
      <w:tr>
        <w:trPr>
          <w:trHeight w:val="27"/>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r>
        <w:trPr>
          <w:trHeight w:val="222"/>
        </w:trPr>
        <w:tc>
          <w:tcPr>
            <w:tcW w:w="4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September 30, 2022 through June 30,</w:t>
            </w:r>
          </w:p>
        </w:tc>
        <w:tc>
          <w:tcPr>
            <w:tcW w:w="4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4.50 to 1.00</w:t>
            </w:r>
          </w:p>
        </w:tc>
      </w:tr>
      <w:tr>
        <w:trPr>
          <w:trHeight w:val="230"/>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c>
          <w:tcPr>
            <w:tcW w:w="4300" w:type="dxa"/>
            <w:vAlign w:val="bottom"/>
            <w:tcBorders>
              <w:right w:val="single" w:sz="8" w:color="auto"/>
            </w:tcBorders>
          </w:tcPr>
          <w:p>
            <w:pPr>
              <w:spacing w:after="0"/>
              <w:rPr>
                <w:sz w:val="20"/>
                <w:szCs w:val="20"/>
                <w:color w:val="auto"/>
              </w:rPr>
            </w:pPr>
          </w:p>
        </w:tc>
      </w:tr>
      <w:tr>
        <w:trPr>
          <w:trHeight w:val="27"/>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r>
        <w:trPr>
          <w:trHeight w:val="183"/>
        </w:trPr>
        <w:tc>
          <w:tcPr>
            <w:tcW w:w="42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September 30, 2023 and the last day of each fiscal quarter</w:t>
            </w:r>
          </w:p>
        </w:tc>
        <w:tc>
          <w:tcPr>
            <w:tcW w:w="43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4.00 to 1.00</w:t>
            </w:r>
          </w:p>
        </w:tc>
      </w:tr>
      <w:tr>
        <w:trPr>
          <w:trHeight w:val="216"/>
        </w:trPr>
        <w:tc>
          <w:tcPr>
            <w:tcW w:w="4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thereafter</w:t>
            </w:r>
          </w:p>
        </w:tc>
        <w:tc>
          <w:tcPr>
            <w:tcW w:w="43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339" w:lineRule="exact"/>
        <w:rPr>
          <w:sz w:val="20"/>
          <w:szCs w:val="20"/>
          <w:color w:val="auto"/>
        </w:rPr>
      </w:pPr>
    </w:p>
    <w:p>
      <w:pPr>
        <w:ind w:left="1300" w:hanging="653"/>
        <w:spacing w:after="0"/>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Clause (f) of Section 9.01 of the Original Receivables Financing Agreement is hereby deleted and replaced in its entirety with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following:</w:t>
      </w:r>
    </w:p>
    <w:p>
      <w:pPr>
        <w:spacing w:after="0" w:line="211" w:lineRule="exact"/>
        <w:rPr>
          <w:sz w:val="20"/>
          <w:szCs w:val="20"/>
          <w:color w:val="auto"/>
        </w:rPr>
      </w:pPr>
    </w:p>
    <w:p>
      <w:pPr>
        <w:jc w:val="both"/>
        <w:ind w:left="1300" w:firstLine="643"/>
        <w:spacing w:after="0" w:line="293" w:lineRule="auto"/>
        <w:tabs>
          <w:tab w:leader="none" w:pos="2176"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(i) the average for three (3) consecutive Fiscal Months of: (A) the Default Ratio shall exceed four percent (4.00%), (B) the Delinquency Ratio shall exceed (x) during the Relief Period, fourteen percent (14.00%) and (y) at all other times, twelve percent (12.00%) or (C) the Dilution Ratio shall exceed six percent (6.00%) or (ii) the Days’ Sales Outstanding shall exceed (x) during the Relief Period, seventy (70) calendar days and (y) at all other times, sixty five (65) calendar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solely for purposes of this clause (f), Temporarily Ineligible Receivables shall be excluded from each component of the calculations used to determine compliance with the tests relating to the Default Ratio, the Delinquency Ratio, the Dilution Ratio and Days’ Sales Outstanding set forth in this clause (f);</w:t>
      </w:r>
    </w:p>
    <w:p>
      <w:pPr>
        <w:spacing w:after="0" w:line="164" w:lineRule="exact"/>
        <w:rPr>
          <w:sz w:val="20"/>
          <w:szCs w:val="20"/>
          <w:color w:val="auto"/>
        </w:rPr>
      </w:pPr>
    </w:p>
    <w:p>
      <w:pPr>
        <w:jc w:val="both"/>
        <w:ind w:firstLine="639"/>
        <w:spacing w:after="0" w:line="272" w:lineRule="auto"/>
        <w:rPr>
          <w:sz w:val="20"/>
          <w:szCs w:val="20"/>
          <w:color w:val="auto"/>
        </w:rPr>
      </w:pPr>
      <w:r>
        <w:rPr>
          <w:rFonts w:ascii="Arial" w:cs="Arial" w:eastAsia="Arial" w:hAnsi="Arial"/>
          <w:sz w:val="17"/>
          <w:szCs w:val="17"/>
          <w:u w:val="single" w:color="auto"/>
          <w:color w:val="auto"/>
        </w:rPr>
        <w:t>SECTION 3. Representations, Warranties and Enforceability</w:t>
      </w:r>
      <w:r>
        <w:rPr>
          <w:rFonts w:ascii="Arial" w:cs="Arial" w:eastAsia="Arial" w:hAnsi="Arial"/>
          <w:sz w:val="17"/>
          <w:szCs w:val="17"/>
          <w:color w:val="auto"/>
        </w:rPr>
        <w:t>. Each of the Borrower and the Servicer hereby represents and warrants to the Administrative Agent, the Group Agents and the Lenders, as applicable, as of the date hereof with respect to itself, as follows:the representations and warranties of it contained in Section 6.01 and Section 6.02, as applicable, of the Receivables Financing Agreement are true and correct in all material respects (unless such representations and warranties contain a materiality qualification, in which case, such representations and warranties shall be true and correct as made) on and as of the date hereof as though made on and as of such date unless such representations and warranties by their terms refer to an earlier date, in which case they shall be true and correct in all material respects (unless such representations and warranties contain a materiality qualification, in which case such representations and warranties shall be true and correct as made) on and as of such earlier date; and</w:t>
      </w:r>
    </w:p>
    <w:p>
      <w:pPr>
        <w:spacing w:after="0" w:line="177" w:lineRule="exact"/>
        <w:rPr>
          <w:sz w:val="20"/>
          <w:szCs w:val="20"/>
          <w:color w:val="auto"/>
        </w:rPr>
      </w:pPr>
    </w:p>
    <w:p>
      <w:pPr>
        <w:jc w:val="both"/>
        <w:ind w:firstLine="647"/>
        <w:spacing w:after="0" w:line="259" w:lineRule="auto"/>
        <w:tabs>
          <w:tab w:leader="none" w:pos="912"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the execution and delivery by it of this Amendment, and the performance of its obligations under this Amendment and the Receivables Financing Agreement, as amended hereby, are within its organizational powers and have been duly authorized by all necessary action on its part and (ii) this Amendment and the Receivables Financing Agreement, as amended hereby, are its valid and legally binding obligations, enforceable in accordance with their respective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 xml:space="preserve">Amendment 2 to RFA (Integra) </w:t>
      </w:r>
      <w:r>
        <w:rPr>
          <w:rFonts w:ascii="Arial" w:cs="Arial" w:eastAsia="Arial" w:hAnsi="Arial"/>
          <w:sz w:val="18"/>
          <w:szCs w:val="18"/>
          <w:color w:val="auto"/>
        </w:rPr>
        <w:t>7</w:t>
      </w:r>
    </w:p>
    <w:p>
      <w:pPr>
        <w:sectPr>
          <w:pgSz w:w="11900" w:h="16838" w:orient="portrait"/>
          <w:cols w:equalWidth="0" w:num="1">
            <w:col w:w="11240"/>
          </w:cols>
          <w:pgMar w:left="320" w:top="1043" w:right="339" w:bottom="1440" w:gutter="0" w:footer="0" w:header="0"/>
        </w:sectPr>
      </w:pPr>
    </w:p>
    <w:bookmarkStart w:id="73" w:name="page74"/>
    <w:bookmarkEnd w:id="73"/>
    <w:p>
      <w:pPr>
        <w:ind w:left="640"/>
        <w:spacing w:after="0"/>
        <w:rPr>
          <w:sz w:val="20"/>
          <w:szCs w:val="20"/>
          <w:color w:val="auto"/>
        </w:rPr>
      </w:pPr>
      <w:r>
        <w:rPr>
          <w:rFonts w:ascii="Arial" w:cs="Arial" w:eastAsia="Arial" w:hAnsi="Arial"/>
          <w:sz w:val="16"/>
          <w:szCs w:val="16"/>
          <w:u w:val="single" w:color="auto"/>
          <w:color w:val="auto"/>
        </w:rPr>
        <w:t>SECTION 4. Conditions Precedent</w:t>
      </w:r>
      <w:r>
        <w:rPr>
          <w:rFonts w:ascii="Arial" w:cs="Arial" w:eastAsia="Arial" w:hAnsi="Arial"/>
          <w:sz w:val="16"/>
          <w:szCs w:val="16"/>
          <w:color w:val="auto"/>
        </w:rPr>
        <w:t>. The effectiveness of this Amendment is subject to the satisfaction of all of the following conditions precedent:</w:t>
      </w:r>
    </w:p>
    <w:p>
      <w:pPr>
        <w:spacing w:after="0" w:line="248" w:lineRule="exact"/>
        <w:rPr>
          <w:sz w:val="20"/>
          <w:szCs w:val="20"/>
          <w:color w:val="auto"/>
        </w:rPr>
      </w:pPr>
    </w:p>
    <w:p>
      <w:pPr>
        <w:jc w:val="both"/>
        <w:ind w:firstLine="647"/>
        <w:spacing w:after="0" w:line="311" w:lineRule="auto"/>
        <w:tabs>
          <w:tab w:leader="none" w:pos="1284"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Administrative Agent shall have received a fully executed counterpart of (i) this Amendment and (ii) the Amendment Fee Letter, dated as of the date hereof, by and among PNC, as the Administrative Agent, as a Committed Lender and as a Group Agent, Mizuho, as a Committed Lender and as a Group Agent and acknowledged and agreed to by the Structuring Agent and the Borrower (together, the “</w:t>
      </w:r>
      <w:r>
        <w:rPr>
          <w:rFonts w:ascii="Arial" w:cs="Arial" w:eastAsia="Arial" w:hAnsi="Arial"/>
          <w:sz w:val="16"/>
          <w:szCs w:val="16"/>
          <w:u w:val="single" w:color="auto"/>
          <w:color w:val="auto"/>
        </w:rPr>
        <w:t>Amendment Documents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jc w:val="both"/>
        <w:ind w:firstLine="647"/>
        <w:spacing w:after="0" w:line="273" w:lineRule="auto"/>
        <w:tabs>
          <w:tab w:leader="none" w:pos="1294" w:val="left"/>
        </w:tabs>
        <w:numPr>
          <w:ilvl w:val="0"/>
          <w:numId w:val="57"/>
        </w:numPr>
        <w:rPr>
          <w:rFonts w:ascii="Arial" w:cs="Arial" w:eastAsia="Arial" w:hAnsi="Arial"/>
          <w:sz w:val="17"/>
          <w:szCs w:val="17"/>
          <w:color w:val="auto"/>
        </w:rPr>
      </w:pPr>
      <w:r>
        <w:rPr>
          <w:rFonts w:ascii="Arial" w:cs="Arial" w:eastAsia="Arial" w:hAnsi="Arial"/>
          <w:sz w:val="17"/>
          <w:szCs w:val="17"/>
          <w:color w:val="auto"/>
        </w:rPr>
        <w:t>PNC, as the Administrative Agent, as a Committed Lender and as the Group Agent for the PNC Group and Mizuho, as a Committed Lender and as the Group Agent for the Mizuho Group, in each case, under the Receivables Financing Agreement, as applicable, shall have received all fees and other amounts due and payable to it under the Transaction Documents and in connection with the Amendment Documents on or prior to the date hereof, including, to the extent invoiced, payment or reimbursement of all fees and expenses (including reasonable and documented out-of-pocket fees, charges and disbursements of counsel) required to be paid or reimbursed on or prior to the date hereof. To the extent such fees and other amounts have not yet been invoiced, the Borrower agrees to remit payment to the applicable party promptly upon receipt of such invoice.</w:t>
      </w:r>
    </w:p>
    <w:p>
      <w:pPr>
        <w:spacing w:after="0" w:line="177" w:lineRule="exact"/>
        <w:rPr>
          <w:rFonts w:ascii="Arial" w:cs="Arial" w:eastAsia="Arial" w:hAnsi="Arial"/>
          <w:sz w:val="17"/>
          <w:szCs w:val="17"/>
          <w:color w:val="auto"/>
        </w:rPr>
      </w:pPr>
    </w:p>
    <w:p>
      <w:pPr>
        <w:ind w:firstLine="647"/>
        <w:spacing w:after="0" w:line="277" w:lineRule="auto"/>
        <w:tabs>
          <w:tab w:leader="none" w:pos="1284"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Event of Default or Unmatured Event of Default, as set forth in Section 9.01 of the Receivables Financing Agreement, shall have occurred and be continuing.</w:t>
      </w:r>
    </w:p>
    <w:p>
      <w:pPr>
        <w:spacing w:after="0" w:line="170" w:lineRule="exact"/>
        <w:rPr>
          <w:sz w:val="20"/>
          <w:szCs w:val="20"/>
          <w:color w:val="auto"/>
        </w:rPr>
      </w:pPr>
    </w:p>
    <w:p>
      <w:pPr>
        <w:jc w:val="both"/>
        <w:ind w:firstLine="639"/>
        <w:spacing w:after="0" w:line="259" w:lineRule="auto"/>
        <w:rPr>
          <w:sz w:val="20"/>
          <w:szCs w:val="20"/>
          <w:color w:val="auto"/>
        </w:rPr>
      </w:pPr>
      <w:r>
        <w:rPr>
          <w:rFonts w:ascii="Arial" w:cs="Arial" w:eastAsia="Arial" w:hAnsi="Arial"/>
          <w:sz w:val="18"/>
          <w:szCs w:val="18"/>
          <w:u w:val="single" w:color="auto"/>
          <w:color w:val="auto"/>
        </w:rPr>
        <w:t>SECTION 5. Amendment</w:t>
      </w:r>
      <w:r>
        <w:rPr>
          <w:rFonts w:ascii="Arial" w:cs="Arial" w:eastAsia="Arial" w:hAnsi="Arial"/>
          <w:sz w:val="18"/>
          <w:szCs w:val="18"/>
          <w:color w:val="auto"/>
        </w:rPr>
        <w:t xml:space="preserve">. The Borrower, the Servicer, the Administrative Agent, the Group Agents, the Lenders, and, with respect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the Performance Guarantor, hereby agree that the provisions and effectiveness of this Amendment shall apply to the Receivables Financing Agreement as of the date hereof. Except as amended by this Amendment, the Receivables Financing Agreement remains unchanged and in full force and effect. This Amendment is a Transaction Document.</w:t>
      </w:r>
    </w:p>
    <w:p>
      <w:pPr>
        <w:spacing w:after="0" w:line="187" w:lineRule="exact"/>
        <w:rPr>
          <w:sz w:val="20"/>
          <w:szCs w:val="20"/>
          <w:color w:val="auto"/>
        </w:rPr>
      </w:pPr>
    </w:p>
    <w:p>
      <w:pPr>
        <w:jc w:val="both"/>
        <w:ind w:firstLine="639"/>
        <w:spacing w:after="0" w:line="263" w:lineRule="auto"/>
        <w:rPr>
          <w:sz w:val="20"/>
          <w:szCs w:val="20"/>
          <w:color w:val="auto"/>
        </w:rPr>
      </w:pPr>
      <w:r>
        <w:rPr>
          <w:rFonts w:ascii="Arial" w:cs="Arial" w:eastAsia="Arial" w:hAnsi="Arial"/>
          <w:sz w:val="18"/>
          <w:szCs w:val="18"/>
          <w:u w:val="single" w:color="auto"/>
          <w:color w:val="auto"/>
        </w:rPr>
        <w:t>SECTION 6. Counterparts</w:t>
      </w:r>
      <w:r>
        <w:rPr>
          <w:rFonts w:ascii="Arial" w:cs="Arial" w:eastAsia="Arial" w:hAnsi="Arial"/>
          <w:sz w:val="18"/>
          <w:szCs w:val="18"/>
          <w:color w:val="auto"/>
        </w:rPr>
        <w:t>. This Amendment may be executed in any number of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w:t>
      </w:r>
    </w:p>
    <w:p>
      <w:pPr>
        <w:spacing w:after="0" w:line="184" w:lineRule="exact"/>
        <w:rPr>
          <w:sz w:val="20"/>
          <w:szCs w:val="20"/>
          <w:color w:val="auto"/>
        </w:rPr>
      </w:pPr>
    </w:p>
    <w:p>
      <w:pPr>
        <w:jc w:val="both"/>
        <w:ind w:firstLine="639"/>
        <w:spacing w:after="0" w:line="277" w:lineRule="auto"/>
        <w:rPr>
          <w:sz w:val="20"/>
          <w:szCs w:val="20"/>
          <w:color w:val="auto"/>
        </w:rPr>
      </w:pPr>
      <w:r>
        <w:rPr>
          <w:rFonts w:ascii="Arial" w:cs="Arial" w:eastAsia="Arial" w:hAnsi="Arial"/>
          <w:sz w:val="18"/>
          <w:szCs w:val="18"/>
          <w:u w:val="single" w:color="auto"/>
          <w:color w:val="auto"/>
        </w:rPr>
        <w:t>SECTION 7. Captions</w:t>
      </w:r>
      <w:r>
        <w:rPr>
          <w:rFonts w:ascii="Arial" w:cs="Arial" w:eastAsia="Arial" w:hAnsi="Arial"/>
          <w:sz w:val="18"/>
          <w:szCs w:val="18"/>
          <w:color w:val="auto"/>
        </w:rPr>
        <w:t>. The headings of the Sections of this Amendment are provided solely for convenience of reference and shall not modify, define, expand or limit any of the terms or provisions of this Amendment.</w:t>
      </w:r>
    </w:p>
    <w:p>
      <w:pPr>
        <w:spacing w:after="0" w:line="170" w:lineRule="exact"/>
        <w:rPr>
          <w:sz w:val="20"/>
          <w:szCs w:val="20"/>
          <w:color w:val="auto"/>
        </w:rPr>
      </w:pPr>
    </w:p>
    <w:p>
      <w:pPr>
        <w:jc w:val="both"/>
        <w:ind w:firstLine="639"/>
        <w:spacing w:after="0" w:line="263" w:lineRule="auto"/>
        <w:rPr>
          <w:sz w:val="20"/>
          <w:szCs w:val="20"/>
          <w:color w:val="auto"/>
        </w:rPr>
      </w:pPr>
      <w:r>
        <w:rPr>
          <w:rFonts w:ascii="Arial" w:cs="Arial" w:eastAsia="Arial" w:hAnsi="Arial"/>
          <w:sz w:val="18"/>
          <w:szCs w:val="18"/>
          <w:u w:val="single" w:color="auto"/>
          <w:color w:val="auto"/>
        </w:rPr>
        <w:t>SECTION 8. Successors and permitted assigns</w:t>
      </w:r>
      <w:r>
        <w:rPr>
          <w:rFonts w:ascii="Arial" w:cs="Arial" w:eastAsia="Arial" w:hAnsi="Arial"/>
          <w:sz w:val="18"/>
          <w:szCs w:val="18"/>
          <w:color w:val="auto"/>
        </w:rPr>
        <w:t xml:space="preserve">. The terms of this Amendment shall be binding upon, and shall inure to the benefit of, the Borrower, the Servicer, the Administrative Agent, the Group Agents, the Lenders, and, with respect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the Performance Guarantor and their respective successors and permitted assigns.</w:t>
      </w:r>
    </w:p>
    <w:p>
      <w:pPr>
        <w:spacing w:after="0" w:line="184" w:lineRule="exact"/>
        <w:rPr>
          <w:sz w:val="20"/>
          <w:szCs w:val="20"/>
          <w:color w:val="auto"/>
        </w:rPr>
      </w:pPr>
    </w:p>
    <w:p>
      <w:pPr>
        <w:jc w:val="both"/>
        <w:ind w:right="20" w:firstLine="639"/>
        <w:spacing w:after="0" w:line="263" w:lineRule="auto"/>
        <w:rPr>
          <w:sz w:val="20"/>
          <w:szCs w:val="20"/>
          <w:color w:val="auto"/>
        </w:rPr>
      </w:pPr>
      <w:r>
        <w:rPr>
          <w:rFonts w:ascii="Arial" w:cs="Arial" w:eastAsia="Arial" w:hAnsi="Arial"/>
          <w:sz w:val="18"/>
          <w:szCs w:val="18"/>
          <w:u w:val="single" w:color="auto"/>
          <w:color w:val="auto"/>
        </w:rPr>
        <w:t>SECTION 9. Severability</w:t>
      </w:r>
      <w:r>
        <w:rPr>
          <w:rFonts w:ascii="Arial" w:cs="Arial" w:eastAsia="Arial" w:hAnsi="Arial"/>
          <w:sz w:val="18"/>
          <w:szCs w:val="18"/>
          <w:color w:val="auto"/>
        </w:rPr>
        <w:t>.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4" w:lineRule="exact"/>
        <w:rPr>
          <w:sz w:val="20"/>
          <w:szCs w:val="20"/>
          <w:color w:val="auto"/>
        </w:rPr>
      </w:pPr>
    </w:p>
    <w:p>
      <w:pPr>
        <w:jc w:val="both"/>
        <w:ind w:firstLine="639"/>
        <w:spacing w:after="0" w:line="308" w:lineRule="auto"/>
        <w:rPr>
          <w:sz w:val="20"/>
          <w:szCs w:val="20"/>
          <w:color w:val="auto"/>
        </w:rPr>
      </w:pPr>
      <w:r>
        <w:rPr>
          <w:rFonts w:ascii="Arial" w:cs="Arial" w:eastAsia="Arial" w:hAnsi="Arial"/>
          <w:sz w:val="17"/>
          <w:szCs w:val="17"/>
          <w:u w:val="single" w:color="auto"/>
          <w:color w:val="auto"/>
        </w:rPr>
        <w:t>SECTION 10. Governing Law and Jurisdiction</w:t>
      </w:r>
      <w:r>
        <w:rPr>
          <w:rFonts w:ascii="Arial" w:cs="Arial" w:eastAsia="Arial" w:hAnsi="Arial"/>
          <w:sz w:val="17"/>
          <w:szCs w:val="17"/>
          <w:color w:val="auto"/>
        </w:rPr>
        <w:t>. The provisions of the Receivables Financing Agreement with respect to governing law, jurisdiction, and agent for service of process are incorporated in this Amendment by reference as if such provisions were set forth herein.</w:t>
      </w:r>
    </w:p>
    <w:p>
      <w:pPr>
        <w:spacing w:after="0" w:line="146" w:lineRule="exact"/>
        <w:rPr>
          <w:sz w:val="20"/>
          <w:szCs w:val="20"/>
          <w:color w:val="auto"/>
        </w:rPr>
      </w:pPr>
    </w:p>
    <w:p>
      <w:pPr>
        <w:jc w:val="both"/>
        <w:ind w:firstLine="639"/>
        <w:spacing w:after="0" w:line="286" w:lineRule="auto"/>
        <w:rPr>
          <w:sz w:val="20"/>
          <w:szCs w:val="20"/>
          <w:color w:val="auto"/>
        </w:rPr>
      </w:pPr>
      <w:r>
        <w:rPr>
          <w:rFonts w:ascii="Arial" w:cs="Arial" w:eastAsia="Arial" w:hAnsi="Arial"/>
          <w:sz w:val="17"/>
          <w:szCs w:val="17"/>
          <w:u w:val="single" w:color="auto"/>
          <w:color w:val="auto"/>
        </w:rPr>
        <w:t>SECTION 11. Ratification of Performance Guarantee</w:t>
      </w:r>
      <w:r>
        <w:rPr>
          <w:rFonts w:ascii="Arial" w:cs="Arial" w:eastAsia="Arial" w:hAnsi="Arial"/>
          <w:sz w:val="17"/>
          <w:szCs w:val="17"/>
          <w:color w:val="auto"/>
        </w:rPr>
        <w:t>. After giving effect to the Amendment Documents, all of the provisions of the Performance Guaranty shall remain in full force and effect and the Performance Guarantor hereby ratifies and affirms the Performance Guaranty and acknowledges that the Performance Guaranty has continued and shall continue in full force and effect in accordance with its terms.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 xml:space="preserve">Amendment 2 to RFA (Integra) </w:t>
      </w:r>
      <w:r>
        <w:rPr>
          <w:rFonts w:ascii="Arial" w:cs="Arial" w:eastAsia="Arial" w:hAnsi="Arial"/>
          <w:sz w:val="18"/>
          <w:szCs w:val="18"/>
          <w:color w:val="auto"/>
        </w:rPr>
        <w:t>8</w:t>
      </w:r>
    </w:p>
    <w:p>
      <w:pPr>
        <w:sectPr>
          <w:pgSz w:w="11900" w:h="16838" w:orient="portrait"/>
          <w:cols w:equalWidth="0" w:num="1">
            <w:col w:w="11240"/>
          </w:cols>
          <w:pgMar w:left="320" w:top="1043" w:right="339" w:bottom="1440" w:gutter="0" w:footer="0" w:header="0"/>
        </w:sectPr>
      </w:pPr>
    </w:p>
    <w:bookmarkStart w:id="74" w:name="page75"/>
    <w:bookmarkEnd w:id="74"/>
    <w:p>
      <w:pPr>
        <w:ind w:left="640"/>
        <w:spacing w:after="0"/>
        <w:rPr>
          <w:sz w:val="20"/>
          <w:szCs w:val="20"/>
          <w:color w:val="auto"/>
        </w:rPr>
      </w:pPr>
      <w:r>
        <w:rPr>
          <w:rFonts w:ascii="Arial" w:cs="Arial" w:eastAsia="Arial" w:hAnsi="Arial"/>
          <w:sz w:val="16"/>
          <w:szCs w:val="16"/>
          <w:color w:val="auto"/>
        </w:rPr>
        <w:t>IN WITNESS WHEREOF, the parties hereto have executed this Amendment by their duly authorized officers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 RECEIVABLES LLC,</w:t>
      </w:r>
    </w:p>
    <w:p>
      <w:pPr>
        <w:spacing w:after="0"/>
        <w:rPr>
          <w:sz w:val="20"/>
          <w:szCs w:val="20"/>
          <w:color w:val="auto"/>
        </w:rPr>
      </w:pPr>
      <w:r>
        <w:rPr>
          <w:rFonts w:ascii="Arial" w:cs="Arial" w:eastAsia="Arial" w:hAnsi="Arial"/>
          <w:sz w:val="18"/>
          <w:szCs w:val="18"/>
          <w:color w:val="auto"/>
        </w:rPr>
        <w:t>as the Borrower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A. Mosebrook</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560" w:type="dxa"/>
            <w:vAlign w:val="bottom"/>
          </w:tcPr>
          <w:p>
            <w:pPr>
              <w:ind w:left="20"/>
              <w:spacing w:after="0"/>
              <w:rPr>
                <w:sz w:val="20"/>
                <w:szCs w:val="20"/>
                <w:color w:val="auto"/>
              </w:rPr>
            </w:pPr>
            <w:r>
              <w:rPr>
                <w:rFonts w:ascii="Arial" w:cs="Arial" w:eastAsia="Arial" w:hAnsi="Arial"/>
                <w:sz w:val="18"/>
                <w:szCs w:val="18"/>
                <w:color w:val="auto"/>
              </w:rPr>
              <w:t>Jeffrey A. Mosebrook</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560" w:type="dxa"/>
            <w:vAlign w:val="bottom"/>
          </w:tcPr>
          <w:p>
            <w:pPr>
              <w:ind w:left="20"/>
              <w:spacing w:after="0"/>
              <w:rPr>
                <w:sz w:val="20"/>
                <w:szCs w:val="20"/>
                <w:color w:val="auto"/>
              </w:rPr>
            </w:pPr>
            <w:r>
              <w:rPr>
                <w:rFonts w:ascii="Arial" w:cs="Arial" w:eastAsia="Arial" w:hAnsi="Arial"/>
                <w:sz w:val="18"/>
                <w:szCs w:val="18"/>
                <w:color w:val="auto"/>
              </w:rPr>
              <w:t>Assistant Secretary</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 LIFESCIENCES SALES LLC,</w:t>
      </w:r>
    </w:p>
    <w:p>
      <w:pPr>
        <w:spacing w:after="0" w:line="203" w:lineRule="auto"/>
        <w:rPr>
          <w:sz w:val="20"/>
          <w:szCs w:val="20"/>
          <w:color w:val="auto"/>
        </w:rPr>
      </w:pPr>
      <w:r>
        <w:rPr>
          <w:rFonts w:ascii="Arial" w:cs="Arial" w:eastAsia="Arial" w:hAnsi="Arial"/>
          <w:sz w:val="18"/>
          <w:szCs w:val="18"/>
          <w:color w:val="auto"/>
        </w:rPr>
        <w:t>as the Servicer</w:t>
      </w:r>
    </w:p>
    <w:p>
      <w:pPr>
        <w:spacing w:after="0"/>
        <w:rPr>
          <w:sz w:val="20"/>
          <w:szCs w:val="20"/>
          <w:color w:val="auto"/>
        </w:rPr>
      </w:pPr>
      <w:r>
        <w:rPr>
          <w:rFonts w:ascii="Arial" w:cs="Arial" w:eastAsia="Arial" w:hAnsi="Arial"/>
          <w:sz w:val="18"/>
          <w:szCs w:val="18"/>
          <w:color w:val="auto"/>
        </w:rPr>
        <w:t>By: Integra LifeSciences Corporation, its sole member</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A. Mosebrook</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560" w:type="dxa"/>
            <w:vAlign w:val="bottom"/>
          </w:tcPr>
          <w:p>
            <w:pPr>
              <w:ind w:left="20"/>
              <w:spacing w:after="0"/>
              <w:rPr>
                <w:sz w:val="20"/>
                <w:szCs w:val="20"/>
                <w:color w:val="auto"/>
              </w:rPr>
            </w:pPr>
            <w:r>
              <w:rPr>
                <w:rFonts w:ascii="Arial" w:cs="Arial" w:eastAsia="Arial" w:hAnsi="Arial"/>
                <w:sz w:val="18"/>
                <w:szCs w:val="18"/>
                <w:color w:val="auto"/>
              </w:rPr>
              <w:t>Jeffrey A. Mosebrook</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560" w:type="dxa"/>
            <w:vAlign w:val="bottom"/>
          </w:tcPr>
          <w:p>
            <w:pPr>
              <w:ind w:left="20"/>
              <w:spacing w:after="0"/>
              <w:rPr>
                <w:sz w:val="20"/>
                <w:szCs w:val="20"/>
                <w:color w:val="auto"/>
              </w:rPr>
            </w:pPr>
            <w:r>
              <w:rPr>
                <w:rFonts w:ascii="Arial" w:cs="Arial" w:eastAsia="Arial" w:hAnsi="Arial"/>
                <w:sz w:val="18"/>
                <w:szCs w:val="18"/>
                <w:color w:val="auto"/>
              </w:rPr>
              <w:t>Senior VP, Coporate Controller, and Principle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 xml:space="preserve">Amendment 2 to RFA (Integra) </w:t>
      </w:r>
      <w:r>
        <w:rPr>
          <w:rFonts w:ascii="Arial" w:cs="Arial" w:eastAsia="Arial" w:hAnsi="Arial"/>
          <w:sz w:val="18"/>
          <w:szCs w:val="18"/>
          <w:color w:val="auto"/>
        </w:rPr>
        <w:t>S-1</w:t>
      </w:r>
    </w:p>
    <w:p>
      <w:pPr>
        <w:sectPr>
          <w:pgSz w:w="11900" w:h="16838" w:orient="portrait"/>
          <w:cols w:equalWidth="0" w:num="1">
            <w:col w:w="10960"/>
          </w:cols>
          <w:pgMar w:left="340" w:top="773" w:right="599" w:bottom="1440" w:gutter="0" w:footer="0" w:header="0"/>
        </w:sectPr>
      </w:pPr>
    </w:p>
    <w:bookmarkStart w:id="75" w:name="page76"/>
    <w:bookmarkEnd w:id="75"/>
    <w:p>
      <w:pPr>
        <w:ind w:right="3339" w:hanging="8"/>
        <w:spacing w:after="0" w:line="277" w:lineRule="auto"/>
        <w:rPr>
          <w:sz w:val="20"/>
          <w:szCs w:val="20"/>
          <w:color w:val="auto"/>
        </w:rPr>
      </w:pPr>
      <w:r>
        <w:rPr>
          <w:rFonts w:ascii="Arial" w:cs="Arial" w:eastAsia="Arial" w:hAnsi="Arial"/>
          <w:sz w:val="18"/>
          <w:szCs w:val="18"/>
          <w:color w:val="auto"/>
        </w:rPr>
        <w:t xml:space="preserve">Acknowledged and reaffirmed by, with respect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INTEGRA LIFESCIENCES HOLDINGS</w:t>
      </w:r>
    </w:p>
    <w:p>
      <w:pPr>
        <w:ind w:left="20"/>
        <w:spacing w:after="0" w:line="203" w:lineRule="auto"/>
        <w:rPr>
          <w:sz w:val="20"/>
          <w:szCs w:val="20"/>
          <w:color w:val="auto"/>
        </w:rPr>
      </w:pPr>
      <w:r>
        <w:rPr>
          <w:rFonts w:ascii="Arial" w:cs="Arial" w:eastAsia="Arial" w:hAnsi="Arial"/>
          <w:sz w:val="18"/>
          <w:szCs w:val="18"/>
          <w:b w:val="1"/>
          <w:bCs w:val="1"/>
          <w:color w:val="auto"/>
        </w:rPr>
        <w:t>CORPORATION,</w:t>
      </w:r>
    </w:p>
    <w:p>
      <w:pPr>
        <w:ind w:left="20"/>
        <w:spacing w:after="0"/>
        <w:rPr>
          <w:sz w:val="20"/>
          <w:szCs w:val="20"/>
          <w:color w:val="auto"/>
        </w:rPr>
      </w:pPr>
      <w:r>
        <w:rPr>
          <w:rFonts w:ascii="Arial" w:cs="Arial" w:eastAsia="Arial" w:hAnsi="Arial"/>
          <w:sz w:val="18"/>
          <w:szCs w:val="18"/>
          <w:color w:val="auto"/>
        </w:rPr>
        <w:t>as the Performance Guarantor</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A. Mosebrook</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460" w:type="dxa"/>
            <w:vAlign w:val="bottom"/>
          </w:tcPr>
          <w:p>
            <w:pPr>
              <w:ind w:left="20"/>
              <w:spacing w:after="0"/>
              <w:rPr>
                <w:sz w:val="20"/>
                <w:szCs w:val="20"/>
                <w:color w:val="auto"/>
              </w:rPr>
            </w:pPr>
            <w:r>
              <w:rPr>
                <w:rFonts w:ascii="Arial" w:cs="Arial" w:eastAsia="Arial" w:hAnsi="Arial"/>
                <w:sz w:val="18"/>
                <w:szCs w:val="18"/>
                <w:color w:val="auto"/>
              </w:rPr>
              <w:t>Jeffrey A. Mosebrook</w:t>
            </w:r>
          </w:p>
        </w:tc>
      </w:tr>
      <w:tr>
        <w:trPr>
          <w:trHeight w:val="188"/>
        </w:trPr>
        <w:tc>
          <w:tcPr>
            <w:tcW w:w="560" w:type="dxa"/>
            <w:vAlign w:val="bottom"/>
          </w:tcPr>
          <w:p>
            <w:pPr>
              <w:spacing w:after="0"/>
              <w:rPr>
                <w:sz w:val="16"/>
                <w:szCs w:val="16"/>
                <w:color w:val="auto"/>
              </w:rPr>
            </w:pPr>
          </w:p>
        </w:tc>
        <w:tc>
          <w:tcPr>
            <w:tcW w:w="3460" w:type="dxa"/>
            <w:vAlign w:val="bottom"/>
          </w:tcPr>
          <w:p>
            <w:pPr>
              <w:ind w:left="20"/>
              <w:spacing w:after="0" w:line="189" w:lineRule="exact"/>
              <w:rPr>
                <w:sz w:val="20"/>
                <w:szCs w:val="20"/>
                <w:color w:val="auto"/>
              </w:rPr>
            </w:pPr>
            <w:r>
              <w:rPr>
                <w:rFonts w:ascii="Arial" w:cs="Arial" w:eastAsia="Arial" w:hAnsi="Arial"/>
                <w:sz w:val="18"/>
                <w:szCs w:val="18"/>
                <w:color w:val="auto"/>
              </w:rPr>
              <w:t>Senior VP, Coporate Controller, and</w:t>
            </w:r>
          </w:p>
        </w:tc>
      </w:tr>
      <w:tr>
        <w:trPr>
          <w:trHeight w:val="21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20"/>
              <w:spacing w:after="0"/>
              <w:rPr>
                <w:sz w:val="20"/>
                <w:szCs w:val="20"/>
                <w:color w:val="auto"/>
              </w:rPr>
            </w:pPr>
            <w:r>
              <w:rPr>
                <w:rFonts w:ascii="Arial" w:cs="Arial" w:eastAsia="Arial" w:hAnsi="Arial"/>
                <w:sz w:val="18"/>
                <w:szCs w:val="18"/>
                <w:color w:val="auto"/>
              </w:rPr>
              <w:t>Principle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1459"/>
        <w:spacing w:after="0"/>
        <w:rPr>
          <w:sz w:val="20"/>
          <w:szCs w:val="20"/>
          <w:color w:val="auto"/>
        </w:rPr>
      </w:pPr>
      <w:r>
        <w:rPr>
          <w:rFonts w:ascii="Arial" w:cs="Arial" w:eastAsia="Arial" w:hAnsi="Arial"/>
          <w:sz w:val="18"/>
          <w:szCs w:val="18"/>
          <w:i w:val="1"/>
          <w:iCs w:val="1"/>
          <w:color w:val="auto"/>
        </w:rPr>
        <w:t xml:space="preserve">Amendment 2 to RFA (Integra) </w:t>
      </w:r>
      <w:r>
        <w:rPr>
          <w:rFonts w:ascii="Arial" w:cs="Arial" w:eastAsia="Arial" w:hAnsi="Arial"/>
          <w:sz w:val="18"/>
          <w:szCs w:val="18"/>
          <w:color w:val="auto"/>
        </w:rPr>
        <w:t>S-2</w:t>
      </w:r>
    </w:p>
    <w:p>
      <w:pPr>
        <w:sectPr>
          <w:pgSz w:w="11900" w:h="16838" w:orient="portrait"/>
          <w:cols w:equalWidth="0" w:num="1">
            <w:col w:w="10139"/>
          </w:cols>
          <w:pgMar w:left="320" w:top="1354" w:right="1440"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PNC BANK, NATIONAL ASSOCIATION,</w:t>
      </w:r>
    </w:p>
    <w:p>
      <w:pPr>
        <w:spacing w:after="0"/>
        <w:rPr>
          <w:sz w:val="20"/>
          <w:szCs w:val="20"/>
          <w:color w:val="auto"/>
        </w:rPr>
      </w:pPr>
      <w:r>
        <w:rPr>
          <w:rFonts w:ascii="Arial" w:cs="Arial" w:eastAsia="Arial" w:hAnsi="Arial"/>
          <w:sz w:val="18"/>
          <w:szCs w:val="18"/>
          <w:color w:val="auto"/>
        </w:rPr>
        <w:t>as the Administrative Agent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Bruno</w:t>
            </w: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Eric Bruno</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BANK, NATIONAL ASSOCIATION,</w:t>
      </w:r>
    </w:p>
    <w:p>
      <w:pPr>
        <w:spacing w:after="0"/>
        <w:rPr>
          <w:sz w:val="20"/>
          <w:szCs w:val="20"/>
          <w:color w:val="auto"/>
        </w:rPr>
      </w:pPr>
      <w:r>
        <w:rPr>
          <w:rFonts w:ascii="Arial" w:cs="Arial" w:eastAsia="Arial" w:hAnsi="Arial"/>
          <w:sz w:val="18"/>
          <w:szCs w:val="18"/>
          <w:color w:val="auto"/>
        </w:rPr>
        <w:t>as the Group Agent for the PNC Group</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Bruno</w:t>
            </w: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Eric Bruno</w:t>
            </w:r>
          </w:p>
        </w:tc>
      </w:t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BANK, NATIONAL ASSOCIATION,</w:t>
      </w:r>
    </w:p>
    <w:p>
      <w:pPr>
        <w:spacing w:after="0"/>
        <w:rPr>
          <w:sz w:val="20"/>
          <w:szCs w:val="20"/>
          <w:color w:val="auto"/>
        </w:rPr>
      </w:pPr>
      <w:r>
        <w:rPr>
          <w:rFonts w:ascii="Arial" w:cs="Arial" w:eastAsia="Arial" w:hAnsi="Arial"/>
          <w:sz w:val="18"/>
          <w:szCs w:val="18"/>
          <w:color w:val="auto"/>
        </w:rPr>
        <w:t>as a Committed Lender</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Bruno</w:t>
            </w: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Eric Bruno</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1459"/>
        <w:spacing w:after="0"/>
        <w:rPr>
          <w:sz w:val="20"/>
          <w:szCs w:val="20"/>
          <w:color w:val="auto"/>
        </w:rPr>
      </w:pPr>
      <w:r>
        <w:rPr>
          <w:rFonts w:ascii="Arial" w:cs="Arial" w:eastAsia="Arial" w:hAnsi="Arial"/>
          <w:sz w:val="18"/>
          <w:szCs w:val="18"/>
          <w:i w:val="1"/>
          <w:iCs w:val="1"/>
          <w:color w:val="auto"/>
        </w:rPr>
        <w:t xml:space="preserve">Amendment 2 to RFA (Integra) </w:t>
      </w:r>
      <w:r>
        <w:rPr>
          <w:rFonts w:ascii="Arial" w:cs="Arial" w:eastAsia="Arial" w:hAnsi="Arial"/>
          <w:sz w:val="18"/>
          <w:szCs w:val="18"/>
          <w:color w:val="auto"/>
        </w:rPr>
        <w:t>S-3</w:t>
      </w:r>
    </w:p>
    <w:p>
      <w:pPr>
        <w:sectPr>
          <w:pgSz w:w="11900" w:h="16838" w:orient="portrait"/>
          <w:cols w:equalWidth="0" w:num="1">
            <w:col w:w="9479"/>
          </w:cols>
          <w:pgMar w:left="980" w:top="1066" w:right="1440"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Acknowledged and agreed to by,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CAPITAL MARKETS LLC,</w:t>
      </w:r>
    </w:p>
    <w:p>
      <w:pPr>
        <w:spacing w:after="0"/>
        <w:rPr>
          <w:sz w:val="20"/>
          <w:szCs w:val="20"/>
          <w:color w:val="auto"/>
        </w:rPr>
      </w:pPr>
      <w:r>
        <w:rPr>
          <w:rFonts w:ascii="Arial" w:cs="Arial" w:eastAsia="Arial" w:hAnsi="Arial"/>
          <w:sz w:val="18"/>
          <w:szCs w:val="18"/>
          <w:color w:val="auto"/>
        </w:rPr>
        <w:t>as the Structuring Agent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Bruno</w:t>
            </w: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5560" w:type="dxa"/>
            <w:vAlign w:val="bottom"/>
          </w:tcPr>
          <w:p>
            <w:pPr>
              <w:ind w:left="20"/>
              <w:spacing w:after="0"/>
              <w:rPr>
                <w:sz w:val="20"/>
                <w:szCs w:val="20"/>
                <w:color w:val="auto"/>
              </w:rPr>
            </w:pPr>
            <w:r>
              <w:rPr>
                <w:rFonts w:ascii="Arial" w:cs="Arial" w:eastAsia="Arial" w:hAnsi="Arial"/>
                <w:sz w:val="18"/>
                <w:szCs w:val="18"/>
                <w:color w:val="auto"/>
              </w:rPr>
              <w:t>Eric Bruno</w:t>
            </w: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5560" w:type="dxa"/>
            <w:vAlign w:val="bottom"/>
          </w:tcPr>
          <w:p>
            <w:pPr>
              <w:ind w:left="2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ectPr>
          <w:pgSz w:w="11900" w:h="16838" w:orient="portrait"/>
          <w:cols w:equalWidth="0" w:num="1">
            <w:col w:w="10139"/>
          </w:cols>
          <w:pgMar w:left="320" w:top="7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180"/>
        <w:spacing w:after="0"/>
        <w:rPr>
          <w:sz w:val="20"/>
          <w:szCs w:val="20"/>
          <w:color w:val="auto"/>
        </w:rPr>
      </w:pPr>
      <w:r>
        <w:rPr>
          <w:rFonts w:ascii="Arial" w:cs="Arial" w:eastAsia="Arial" w:hAnsi="Arial"/>
          <w:sz w:val="16"/>
          <w:szCs w:val="16"/>
          <w:i w:val="1"/>
          <w:iCs w:val="1"/>
          <w:color w:val="auto"/>
        </w:rPr>
        <w:t xml:space="preserve">Amendment 2 to RFA (Integra) </w:t>
      </w:r>
      <w:r>
        <w:rPr>
          <w:rFonts w:ascii="Arial" w:cs="Arial" w:eastAsia="Arial" w:hAnsi="Arial"/>
          <w:sz w:val="16"/>
          <w:szCs w:val="16"/>
          <w:color w:val="auto"/>
        </w:rPr>
        <w:t>S-4</w:t>
      </w:r>
    </w:p>
    <w:p>
      <w:pPr>
        <w:sectPr>
          <w:pgSz w:w="11900" w:h="16838" w:orient="portrait"/>
          <w:cols w:equalWidth="0" w:num="1">
            <w:col w:w="10139"/>
          </w:cols>
          <w:pgMar w:left="320" w:top="773" w:right="1440"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MIZUHO BANK, LTD.,</w:t>
      </w:r>
    </w:p>
    <w:p>
      <w:pPr>
        <w:spacing w:after="0"/>
        <w:rPr>
          <w:sz w:val="20"/>
          <w:szCs w:val="20"/>
          <w:color w:val="auto"/>
        </w:rPr>
      </w:pPr>
      <w:r>
        <w:rPr>
          <w:rFonts w:ascii="Arial" w:cs="Arial" w:eastAsia="Arial" w:hAnsi="Arial"/>
          <w:sz w:val="18"/>
          <w:szCs w:val="18"/>
          <w:color w:val="auto"/>
        </w:rPr>
        <w:t>as a Committed Lender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Burke</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560" w:type="dxa"/>
            <w:vAlign w:val="bottom"/>
          </w:tcPr>
          <w:p>
            <w:pPr>
              <w:spacing w:after="0"/>
              <w:rPr>
                <w:sz w:val="20"/>
                <w:szCs w:val="20"/>
                <w:color w:val="auto"/>
              </w:rPr>
            </w:pPr>
            <w:r>
              <w:rPr>
                <w:rFonts w:ascii="Arial" w:cs="Arial" w:eastAsia="Arial" w:hAnsi="Arial"/>
                <w:sz w:val="18"/>
                <w:szCs w:val="18"/>
                <w:color w:val="auto"/>
              </w:rPr>
              <w:t>Richard A. Burke</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5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MIZUHO BANK, LTD.,</w:t>
      </w:r>
    </w:p>
    <w:p>
      <w:pPr>
        <w:spacing w:after="0"/>
        <w:rPr>
          <w:sz w:val="20"/>
          <w:szCs w:val="20"/>
          <w:color w:val="auto"/>
        </w:rPr>
      </w:pPr>
      <w:r>
        <w:rPr>
          <w:rFonts w:ascii="Arial" w:cs="Arial" w:eastAsia="Arial" w:hAnsi="Arial"/>
          <w:sz w:val="18"/>
          <w:szCs w:val="18"/>
          <w:color w:val="auto"/>
        </w:rPr>
        <w:t>as the Group Agent for Muzuho Group</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Burke</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560" w:type="dxa"/>
            <w:vAlign w:val="bottom"/>
          </w:tcPr>
          <w:p>
            <w:pPr>
              <w:spacing w:after="0"/>
              <w:rPr>
                <w:sz w:val="20"/>
                <w:szCs w:val="20"/>
                <w:color w:val="auto"/>
              </w:rPr>
            </w:pPr>
            <w:r>
              <w:rPr>
                <w:rFonts w:ascii="Arial" w:cs="Arial" w:eastAsia="Arial" w:hAnsi="Arial"/>
                <w:sz w:val="18"/>
                <w:szCs w:val="18"/>
                <w:color w:val="auto"/>
              </w:rPr>
              <w:t>Richard A. Burke</w:t>
            </w:r>
          </w:p>
        </w:tc>
      </w:t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5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1459"/>
        <w:spacing w:after="0"/>
        <w:rPr>
          <w:sz w:val="20"/>
          <w:szCs w:val="20"/>
          <w:color w:val="auto"/>
        </w:rPr>
      </w:pPr>
      <w:r>
        <w:rPr>
          <w:rFonts w:ascii="Arial" w:cs="Arial" w:eastAsia="Arial" w:hAnsi="Arial"/>
          <w:sz w:val="18"/>
          <w:szCs w:val="18"/>
          <w:i w:val="1"/>
          <w:iCs w:val="1"/>
          <w:color w:val="auto"/>
        </w:rPr>
        <w:t xml:space="preserve">Amendment 2 to RFA (Integra) </w:t>
      </w:r>
      <w:r>
        <w:rPr>
          <w:rFonts w:ascii="Arial" w:cs="Arial" w:eastAsia="Arial" w:hAnsi="Arial"/>
          <w:sz w:val="18"/>
          <w:szCs w:val="18"/>
          <w:color w:val="auto"/>
        </w:rPr>
        <w:t>S-5</w:t>
      </w:r>
    </w:p>
    <w:p>
      <w:pPr>
        <w:sectPr>
          <w:pgSz w:w="11900" w:h="16838" w:orient="portrait"/>
          <w:cols w:equalWidth="0" w:num="1">
            <w:col w:w="10119"/>
          </w:cols>
          <w:pgMar w:left="340" w:top="1322" w:right="1440"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AMENDMENT NO. 1 TO RECEIVABLES FINANCING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u w:val="single" w:color="auto"/>
          <w:color w:val="auto"/>
        </w:rPr>
        <w:t>REAFFIRMATION OF PERFORMANCE GUARANTY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1 TO RECEIVABLES FINANCING AGREEMENT AND</w:t>
      </w:r>
    </w:p>
    <w:p>
      <w:pPr>
        <w:spacing w:after="0" w:line="225" w:lineRule="exact"/>
        <w:rPr>
          <w:sz w:val="20"/>
          <w:szCs w:val="20"/>
          <w:color w:val="auto"/>
        </w:rPr>
      </w:pPr>
    </w:p>
    <w:p>
      <w:pPr>
        <w:jc w:val="both"/>
        <w:ind w:hanging="8"/>
        <w:spacing w:after="0" w:line="268" w:lineRule="auto"/>
        <w:rPr>
          <w:sz w:val="20"/>
          <w:szCs w:val="20"/>
          <w:color w:val="auto"/>
        </w:rPr>
      </w:pPr>
      <w:r>
        <w:rPr>
          <w:rFonts w:ascii="Arial" w:cs="Arial" w:eastAsia="Arial" w:hAnsi="Arial"/>
          <w:sz w:val="17"/>
          <w:szCs w:val="17"/>
          <w:color w:val="auto"/>
        </w:rPr>
        <w:t>REAFFIRMATION OF PERFORMANCE GUARANTY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March 29, 2019, is entered into by and among INTEGRA RECEIVABLES LLC (“</w:t>
      </w:r>
      <w:r>
        <w:rPr>
          <w:rFonts w:ascii="Arial" w:cs="Arial" w:eastAsia="Arial" w:hAnsi="Arial"/>
          <w:sz w:val="17"/>
          <w:szCs w:val="17"/>
          <w:u w:val="single" w:color="auto"/>
          <w:color w:val="auto"/>
        </w:rPr>
        <w:t>Integra</w:t>
      </w:r>
      <w:r>
        <w:rPr>
          <w:rFonts w:ascii="Arial" w:cs="Arial" w:eastAsia="Arial" w:hAnsi="Arial"/>
          <w:sz w:val="17"/>
          <w:szCs w:val="17"/>
          <w:color w:val="auto"/>
        </w:rPr>
        <w:t>”), as borrower under the Receivables Financing Agreement (as defined below) (in such capacity, together with its successors and permitted assigns in such capacity, the “</w:t>
      </w:r>
      <w:r>
        <w:rPr>
          <w:rFonts w:ascii="Arial" w:cs="Arial" w:eastAsia="Arial" w:hAnsi="Arial"/>
          <w:sz w:val="17"/>
          <w:szCs w:val="17"/>
          <w:u w:val="single" w:color="auto"/>
          <w:color w:val="auto"/>
        </w:rPr>
        <w:t>Borrower</w:t>
      </w:r>
      <w:r>
        <w:rPr>
          <w:rFonts w:ascii="Arial" w:cs="Arial" w:eastAsia="Arial" w:hAnsi="Arial"/>
          <w:sz w:val="17"/>
          <w:szCs w:val="17"/>
          <w:color w:val="auto"/>
        </w:rPr>
        <w:t>”), INTEGRA LIFESCIENCES SALES LLC (“</w:t>
      </w:r>
      <w:r>
        <w:rPr>
          <w:rFonts w:ascii="Arial" w:cs="Arial" w:eastAsia="Arial" w:hAnsi="Arial"/>
          <w:sz w:val="17"/>
          <w:szCs w:val="17"/>
          <w:u w:val="single" w:color="auto"/>
          <w:color w:val="auto"/>
        </w:rPr>
        <w:t>Integra Sales</w:t>
      </w:r>
      <w:r>
        <w:rPr>
          <w:rFonts w:ascii="Arial" w:cs="Arial" w:eastAsia="Arial" w:hAnsi="Arial"/>
          <w:sz w:val="17"/>
          <w:szCs w:val="17"/>
          <w:color w:val="auto"/>
        </w:rPr>
        <w:t>”), as initial servicer under the Receivables Financing Agreement (in such capacity, together with its successors and permitted assigns in such capacity, the “</w:t>
      </w:r>
      <w:r>
        <w:rPr>
          <w:rFonts w:ascii="Arial" w:cs="Arial" w:eastAsia="Arial" w:hAnsi="Arial"/>
          <w:sz w:val="17"/>
          <w:szCs w:val="17"/>
          <w:u w:val="single" w:color="auto"/>
          <w:color w:val="auto"/>
        </w:rPr>
        <w:t>Servicer</w:t>
      </w:r>
      <w:r>
        <w:rPr>
          <w:rFonts w:ascii="Arial" w:cs="Arial" w:eastAsia="Arial" w:hAnsi="Arial"/>
          <w:sz w:val="17"/>
          <w:szCs w:val="17"/>
          <w:color w:val="auto"/>
        </w:rPr>
        <w:t>”), PNC BANK, NATIONAL ASSOCIATION (“</w:t>
      </w:r>
      <w:r>
        <w:rPr>
          <w:rFonts w:ascii="Arial" w:cs="Arial" w:eastAsia="Arial" w:hAnsi="Arial"/>
          <w:sz w:val="17"/>
          <w:szCs w:val="17"/>
          <w:u w:val="single" w:color="auto"/>
          <w:color w:val="auto"/>
        </w:rPr>
        <w:t>PNC”</w:t>
      </w:r>
      <w:r>
        <w:rPr>
          <w:rFonts w:ascii="Arial" w:cs="Arial" w:eastAsia="Arial" w:hAnsi="Arial"/>
          <w:sz w:val="17"/>
          <w:szCs w:val="17"/>
          <w:color w:val="auto"/>
        </w:rPr>
        <w:t>), as administrative agent under the Receivables Financing Agreement (in such capacity, together with its successors and permitted assigns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as a committed lender under the Receivables Financing Agreement (in such capacity, together with its successors and permitted assigns in such capacity, a “</w:t>
      </w:r>
      <w:r>
        <w:rPr>
          <w:rFonts w:ascii="Arial" w:cs="Arial" w:eastAsia="Arial" w:hAnsi="Arial"/>
          <w:sz w:val="17"/>
          <w:szCs w:val="17"/>
          <w:u w:val="single" w:color="auto"/>
          <w:color w:val="auto"/>
        </w:rPr>
        <w:t>Committed Lender</w:t>
      </w:r>
      <w:r>
        <w:rPr>
          <w:rFonts w:ascii="Arial" w:cs="Arial" w:eastAsia="Arial" w:hAnsi="Arial"/>
          <w:sz w:val="17"/>
          <w:szCs w:val="17"/>
          <w:color w:val="auto"/>
        </w:rPr>
        <w:t>”), and as group agent for the PNC Group under the Receivables Financing Agreement (in such capacity, together with its successors and permitted assigns in such capacity, a “</w:t>
      </w:r>
      <w:r>
        <w:rPr>
          <w:rFonts w:ascii="Arial" w:cs="Arial" w:eastAsia="Arial" w:hAnsi="Arial"/>
          <w:sz w:val="17"/>
          <w:szCs w:val="17"/>
          <w:u w:val="single" w:color="auto"/>
          <w:color w:val="auto"/>
        </w:rPr>
        <w:t>Group Agent</w:t>
      </w:r>
      <w:r>
        <w:rPr>
          <w:rFonts w:ascii="Arial" w:cs="Arial" w:eastAsia="Arial" w:hAnsi="Arial"/>
          <w:sz w:val="17"/>
          <w:szCs w:val="17"/>
          <w:color w:val="auto"/>
        </w:rPr>
        <w:t>”), and MIZUHO BANK, LTD. (“</w:t>
      </w:r>
      <w:r>
        <w:rPr>
          <w:rFonts w:ascii="Arial" w:cs="Arial" w:eastAsia="Arial" w:hAnsi="Arial"/>
          <w:sz w:val="17"/>
          <w:szCs w:val="17"/>
          <w:u w:val="single" w:color="auto"/>
          <w:color w:val="auto"/>
        </w:rPr>
        <w:t>Mizuho”</w:t>
      </w:r>
      <w:r>
        <w:rPr>
          <w:rFonts w:ascii="Arial" w:cs="Arial" w:eastAsia="Arial" w:hAnsi="Arial"/>
          <w:sz w:val="17"/>
          <w:szCs w:val="17"/>
          <w:color w:val="auto"/>
        </w:rPr>
        <w:t>), as a committed lender under the Receivables Financing Agreement (in such capacity, together with its successors and permitted assigns in such capacity, a “</w:t>
      </w:r>
      <w:r>
        <w:rPr>
          <w:rFonts w:ascii="Arial" w:cs="Arial" w:eastAsia="Arial" w:hAnsi="Arial"/>
          <w:sz w:val="17"/>
          <w:szCs w:val="17"/>
          <w:u w:val="single" w:color="auto"/>
          <w:color w:val="auto"/>
        </w:rPr>
        <w:t>Committed Lender</w:t>
      </w:r>
      <w:r>
        <w:rPr>
          <w:rFonts w:ascii="Arial" w:cs="Arial" w:eastAsia="Arial" w:hAnsi="Arial"/>
          <w:sz w:val="17"/>
          <w:szCs w:val="17"/>
          <w:color w:val="auto"/>
        </w:rPr>
        <w:t>”), and as group agent for the Mizuho Group under the Receivables Financing Agreement (in such capacity, together with its successors and permitted assigns in such capacity, a “</w:t>
      </w:r>
      <w:r>
        <w:rPr>
          <w:rFonts w:ascii="Arial" w:cs="Arial" w:eastAsia="Arial" w:hAnsi="Arial"/>
          <w:sz w:val="17"/>
          <w:szCs w:val="17"/>
          <w:u w:val="single" w:color="auto"/>
          <w:color w:val="auto"/>
        </w:rPr>
        <w:t>Group Agent</w:t>
      </w:r>
      <w:r>
        <w:rPr>
          <w:rFonts w:ascii="Arial" w:cs="Arial" w:eastAsia="Arial" w:hAnsi="Arial"/>
          <w:sz w:val="17"/>
          <w:szCs w:val="17"/>
          <w:color w:val="auto"/>
        </w:rPr>
        <w:t>”), and the various other Lenders and Group Agents from time to time party to the Receivables Financing Agreement, and acknowledged and agreed to by PNC CAPITAL MARKETS LLC, as structuring agent (in such capacity, together with its successors and permitted assigns in such capacity, the “</w:t>
      </w:r>
      <w:r>
        <w:rPr>
          <w:rFonts w:ascii="Arial" w:cs="Arial" w:eastAsia="Arial" w:hAnsi="Arial"/>
          <w:sz w:val="17"/>
          <w:szCs w:val="17"/>
          <w:u w:val="single" w:color="auto"/>
          <w:color w:val="auto"/>
        </w:rPr>
        <w:t>Structuring Agent</w:t>
      </w:r>
      <w:r>
        <w:rPr>
          <w:rFonts w:ascii="Arial" w:cs="Arial" w:eastAsia="Arial" w:hAnsi="Arial"/>
          <w:sz w:val="17"/>
          <w:szCs w:val="17"/>
          <w:color w:val="auto"/>
        </w:rPr>
        <w:t xml:space="preserve">”), and is reaffirmed by, with respect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hereof, INTEGRA LIFESCIENCES HOLDINGS CORPORATION (“</w:t>
      </w:r>
      <w:r>
        <w:rPr>
          <w:rFonts w:ascii="Arial" w:cs="Arial" w:eastAsia="Arial" w:hAnsi="Arial"/>
          <w:sz w:val="17"/>
          <w:szCs w:val="17"/>
          <w:u w:val="single" w:color="auto"/>
          <w:color w:val="auto"/>
        </w:rPr>
        <w:t>Integra Holdings</w:t>
      </w:r>
      <w:r>
        <w:rPr>
          <w:rFonts w:ascii="Arial" w:cs="Arial" w:eastAsia="Arial" w:hAnsi="Arial"/>
          <w:sz w:val="17"/>
          <w:szCs w:val="17"/>
          <w:color w:val="auto"/>
        </w:rPr>
        <w:t>”), as performance guarantor (in such capacity, together with its successors and permitted assigns in such capacity, the “</w:t>
      </w:r>
      <w:r>
        <w:rPr>
          <w:rFonts w:ascii="Arial" w:cs="Arial" w:eastAsia="Arial" w:hAnsi="Arial"/>
          <w:sz w:val="17"/>
          <w:szCs w:val="17"/>
          <w:u w:val="single" w:color="auto"/>
          <w:color w:val="auto"/>
        </w:rPr>
        <w:t>Performance Guarantor</w:t>
      </w:r>
      <w:r>
        <w:rPr>
          <w:rFonts w:ascii="Arial" w:cs="Arial" w:eastAsia="Arial" w:hAnsi="Arial"/>
          <w:sz w:val="17"/>
          <w:szCs w:val="17"/>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WHEREAS, the Borrower, the Servicer, the Persons from time to time party thereto as Lenders and as Group Agents, the Administrative Agent, and, solely with respect to Section 10.10 thereof, the Structuring Agent, entered into the Receivables Financing Agreement, dated as of December 21, 2018 (the “</w:t>
      </w:r>
      <w:r>
        <w:rPr>
          <w:rFonts w:ascii="Arial" w:cs="Arial" w:eastAsia="Arial" w:hAnsi="Arial"/>
          <w:sz w:val="16"/>
          <w:szCs w:val="16"/>
          <w:u w:val="single" w:color="auto"/>
          <w:color w:val="auto"/>
        </w:rPr>
        <w:t>Original Receivables Financing Agreement</w:t>
      </w:r>
      <w:r>
        <w:rPr>
          <w:rFonts w:ascii="Arial" w:cs="Arial" w:eastAsia="Arial" w:hAnsi="Arial"/>
          <w:sz w:val="16"/>
          <w:szCs w:val="16"/>
          <w:color w:val="auto"/>
        </w:rPr>
        <w:t>,” and as amended, restated, supplemented or otherwise modified through the date hereof, and as may be further amended, restated, supplemented or otherwise modified from time to time, the “</w:t>
      </w:r>
      <w:r>
        <w:rPr>
          <w:rFonts w:ascii="Arial" w:cs="Arial" w:eastAsia="Arial" w:hAnsi="Arial"/>
          <w:sz w:val="16"/>
          <w:szCs w:val="16"/>
          <w:u w:val="single" w:color="auto"/>
          <w:color w:val="auto"/>
        </w:rPr>
        <w:t>Receivables Financing Agreement</w:t>
      </w:r>
      <w:r>
        <w:rPr>
          <w:rFonts w:ascii="Arial" w:cs="Arial" w:eastAsia="Arial" w:hAnsi="Arial"/>
          <w:sz w:val="16"/>
          <w:szCs w:val="16"/>
          <w:color w:val="auto"/>
        </w:rPr>
        <w:t>”);</w:t>
      </w:r>
    </w:p>
    <w:p>
      <w:pPr>
        <w:spacing w:after="0" w:line="15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WHEREAS, the Performance Guarantor entered into the Performance Guaranty as of December 21, 2018 (as may be further amended, restated, supplemented or otherwise modified from time to time, the “</w:t>
      </w:r>
      <w:r>
        <w:rPr>
          <w:rFonts w:ascii="Arial" w:cs="Arial" w:eastAsia="Arial" w:hAnsi="Arial"/>
          <w:sz w:val="16"/>
          <w:szCs w:val="16"/>
          <w:u w:val="single" w:color="auto"/>
          <w:color w:val="auto"/>
        </w:rPr>
        <w:t>Performance Guaranty</w:t>
      </w:r>
      <w:r>
        <w:rPr>
          <w:rFonts w:ascii="Arial" w:cs="Arial" w:eastAsia="Arial" w:hAnsi="Arial"/>
          <w:sz w:val="16"/>
          <w:szCs w:val="16"/>
          <w:color w:val="auto"/>
        </w:rPr>
        <w:t>”) in favor of, and as accepted by, the Administrative Agent; and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parties hereto wish to amend the Original Receivables Financing Agreement pursuant to the terms and conditions set forth herein.</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hereby agree as follows: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SECTION 1. Definitions</w:t>
      </w:r>
      <w:r>
        <w:rPr>
          <w:rFonts w:ascii="Arial" w:cs="Arial" w:eastAsia="Arial" w:hAnsi="Arial"/>
          <w:sz w:val="18"/>
          <w:szCs w:val="18"/>
          <w:color w:val="auto"/>
        </w:rPr>
        <w:t>. Capitalized terms used but not defined in this Amendment shall have the meanings assigned to them in the Receivables Financing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4" w:right="339" w:bottom="1440" w:gutter="0" w:footer="0" w:header="0"/>
        </w:sectPr>
      </w:pPr>
    </w:p>
    <w:bookmarkStart w:id="80" w:name="page81"/>
    <w:bookmarkEnd w:id="80"/>
    <w:p>
      <w:pPr>
        <w:ind w:firstLine="648"/>
        <w:spacing w:after="0" w:line="308" w:lineRule="auto"/>
        <w:rPr>
          <w:sz w:val="20"/>
          <w:szCs w:val="20"/>
          <w:color w:val="auto"/>
        </w:rPr>
      </w:pPr>
      <w:r>
        <w:rPr>
          <w:rFonts w:ascii="Arial" w:cs="Arial" w:eastAsia="Arial" w:hAnsi="Arial"/>
          <w:sz w:val="17"/>
          <w:szCs w:val="17"/>
          <w:u w:val="single" w:color="auto"/>
          <w:color w:val="auto"/>
        </w:rPr>
        <w:t>SECTION 2. Amendments to Original Receivables Financing Agreement</w:t>
      </w:r>
      <w:r>
        <w:rPr>
          <w:rFonts w:ascii="Arial" w:cs="Arial" w:eastAsia="Arial" w:hAnsi="Arial"/>
          <w:sz w:val="17"/>
          <w:szCs w:val="17"/>
          <w:color w:val="auto"/>
        </w:rPr>
        <w:t xml:space="preserve">. Effective as of the date hereof and subject to the satisfaction of the conditions precedent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Original Receivables Financing Agreement is hereby amended as follows:</w:t>
      </w:r>
    </w:p>
    <w:p>
      <w:pPr>
        <w:spacing w:after="0" w:line="146" w:lineRule="exact"/>
        <w:rPr>
          <w:sz w:val="20"/>
          <w:szCs w:val="20"/>
          <w:color w:val="auto"/>
        </w:rPr>
      </w:pPr>
    </w:p>
    <w:p>
      <w:pPr>
        <w:ind w:right="20" w:firstLine="656"/>
        <w:spacing w:after="0" w:line="277" w:lineRule="auto"/>
        <w:tabs>
          <w:tab w:leader="none" w:pos="129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Concentration Percentage</w:t>
      </w:r>
      <w:r>
        <w:rPr>
          <w:rFonts w:ascii="Arial" w:cs="Arial" w:eastAsia="Arial" w:hAnsi="Arial"/>
          <w:sz w:val="18"/>
          <w:szCs w:val="18"/>
          <w:color w:val="auto"/>
        </w:rPr>
        <w:t>” set forth in Section 1.01 of the Original Receivables Financing Agreement is hereby deleted and replaced in its entirety with the following:</w:t>
      </w:r>
    </w:p>
    <w:p>
      <w:pPr>
        <w:spacing w:after="0" w:line="17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Concentration Percentage</w:t>
      </w:r>
      <w:r>
        <w:rPr>
          <w:rFonts w:ascii="Arial" w:cs="Arial" w:eastAsia="Arial" w:hAnsi="Arial"/>
          <w:sz w:val="18"/>
          <w:szCs w:val="18"/>
          <w:color w:val="auto"/>
        </w:rPr>
        <w:t>” means (a) for any Group A Obligor, twenty percent (20.00%), (b) for any Group B Obligor, fifteen percent (15.00%), (c) for any Group C Obligor, ten percent (10.00%), (d) for the largest Group D Obligor, five percent (5.00%) and (e) for any Group D Obligor (excluding the largest Group D Obligor), three percent (3.00%).</w:t>
      </w:r>
    </w:p>
    <w:p>
      <w:pPr>
        <w:spacing w:after="0" w:line="184" w:lineRule="exact"/>
        <w:rPr>
          <w:sz w:val="20"/>
          <w:szCs w:val="20"/>
          <w:color w:val="auto"/>
        </w:rPr>
      </w:pPr>
    </w:p>
    <w:p>
      <w:pPr>
        <w:ind w:firstLine="656"/>
        <w:spacing w:after="0" w:line="277" w:lineRule="auto"/>
        <w:tabs>
          <w:tab w:leader="none" w:pos="12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Concentration Reserve Percentage</w:t>
      </w:r>
      <w:r>
        <w:rPr>
          <w:rFonts w:ascii="Arial" w:cs="Arial" w:eastAsia="Arial" w:hAnsi="Arial"/>
          <w:sz w:val="18"/>
          <w:szCs w:val="18"/>
          <w:color w:val="auto"/>
        </w:rPr>
        <w:t>” set forth in Section 1.01 of the Original Receivables Financing Agreement is hereby deleted and replaced in its entirety with the following:</w:t>
      </w:r>
    </w:p>
    <w:p>
      <w:pPr>
        <w:spacing w:after="0" w:line="17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Concentration Reserve Percentage</w:t>
      </w:r>
      <w:r>
        <w:rPr>
          <w:rFonts w:ascii="Arial" w:cs="Arial" w:eastAsia="Arial" w:hAnsi="Arial"/>
          <w:sz w:val="18"/>
          <w:szCs w:val="18"/>
          <w:color w:val="auto"/>
        </w:rPr>
        <w:t>” means, at any time of determination, the largest of: (a) the sum of the four (4) largest Obligor Percentages of the Group D Obligors, (b) the sum of the two (2) largest Obligor Percentages of the Group C Obligors, (c) the largest Obligor Percentage of the Group B Obligors and (d) twelve percent (12.00%).</w:t>
      </w:r>
    </w:p>
    <w:p>
      <w:pPr>
        <w:spacing w:after="0" w:line="184" w:lineRule="exact"/>
        <w:rPr>
          <w:sz w:val="20"/>
          <w:szCs w:val="20"/>
          <w:color w:val="auto"/>
        </w:rPr>
      </w:pPr>
    </w:p>
    <w:p>
      <w:pPr>
        <w:ind w:firstLine="656"/>
        <w:spacing w:after="0" w:line="277" w:lineRule="auto"/>
        <w:tabs>
          <w:tab w:leader="none" w:pos="1293"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Clause (g) of the definition of “</w:t>
      </w:r>
      <w:r>
        <w:rPr>
          <w:rFonts w:ascii="Arial" w:cs="Arial" w:eastAsia="Arial" w:hAnsi="Arial"/>
          <w:sz w:val="18"/>
          <w:szCs w:val="18"/>
          <w:u w:val="single" w:color="auto"/>
          <w:color w:val="auto"/>
        </w:rPr>
        <w:t>Excess Concentration</w:t>
      </w:r>
      <w:r>
        <w:rPr>
          <w:rFonts w:ascii="Arial" w:cs="Arial" w:eastAsia="Arial" w:hAnsi="Arial"/>
          <w:sz w:val="18"/>
          <w:szCs w:val="18"/>
          <w:color w:val="auto"/>
        </w:rPr>
        <w:t xml:space="preserve">” set forth in Section 1.01 of the Original Receivables Financing Agreement is hereby amended by replacing the “.” at the end of such clause and replacing it with the phrase “; </w:t>
      </w:r>
      <w:r>
        <w:rPr>
          <w:rFonts w:ascii="Arial" w:cs="Arial" w:eastAsia="Arial" w:hAnsi="Arial"/>
          <w:sz w:val="18"/>
          <w:szCs w:val="18"/>
          <w:u w:val="single" w:color="auto"/>
          <w:color w:val="auto"/>
        </w:rPr>
        <w:t>plus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Excess Concentration</w:t>
      </w:r>
      <w:r>
        <w:rPr>
          <w:rFonts w:ascii="Arial" w:cs="Arial" w:eastAsia="Arial" w:hAnsi="Arial"/>
          <w:sz w:val="18"/>
          <w:szCs w:val="18"/>
          <w:color w:val="auto"/>
        </w:rPr>
        <w:t>” set forth in Section 1.01 of the Original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Receivables Financing Agreement is hereby amended by adding the following as a new clause (h) immediately following the existing clause (g) thereof:</w:t>
      </w:r>
    </w:p>
    <w:p>
      <w:pPr>
        <w:spacing w:after="0" w:line="248" w:lineRule="exact"/>
        <w:rPr>
          <w:sz w:val="20"/>
          <w:szCs w:val="20"/>
          <w:color w:val="auto"/>
        </w:rPr>
      </w:pPr>
    </w:p>
    <w:p>
      <w:pPr>
        <w:jc w:val="both"/>
        <w:ind w:left="1300" w:firstLine="652"/>
        <w:spacing w:after="0" w:line="286" w:lineRule="auto"/>
        <w:tabs>
          <w:tab w:leader="none" w:pos="22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 xml:space="preserve">the excess (if any) of (i) the aggregate Outstanding Balance of all Eligible Receivables owing from the four (4) Group D Obligors with the four (4) largest Obligor Percentages of all Group D Obligors,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(ii) the product of (x) twelve percent (12.00%),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(y) the aggregate Outstanding Balance of all Eligible Receivables then in the Receivables Pool.</w:t>
      </w:r>
    </w:p>
    <w:p>
      <w:pPr>
        <w:spacing w:after="0" w:line="165" w:lineRule="exact"/>
        <w:rPr>
          <w:rFonts w:ascii="Arial" w:cs="Arial" w:eastAsia="Arial" w:hAnsi="Arial"/>
          <w:sz w:val="17"/>
          <w:szCs w:val="17"/>
          <w:color w:val="auto"/>
        </w:rPr>
      </w:pPr>
    </w:p>
    <w:p>
      <w:pPr>
        <w:ind w:firstLine="656"/>
        <w:spacing w:after="0" w:line="277" w:lineRule="auto"/>
        <w:tabs>
          <w:tab w:leader="none" w:pos="129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Total Reserves</w:t>
      </w:r>
      <w:r>
        <w:rPr>
          <w:rFonts w:ascii="Arial" w:cs="Arial" w:eastAsia="Arial" w:hAnsi="Arial"/>
          <w:sz w:val="18"/>
          <w:szCs w:val="18"/>
          <w:color w:val="auto"/>
        </w:rPr>
        <w:t>” set forth in Section 1.01 of the Original Receivables Financing Agreement is hereby deleted and replaced in its entirety with the following:</w:t>
      </w:r>
    </w:p>
    <w:p>
      <w:pPr>
        <w:spacing w:after="0" w:line="170"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Reserves</w:t>
      </w:r>
      <w:r>
        <w:rPr>
          <w:rFonts w:ascii="Arial" w:cs="Arial" w:eastAsia="Arial" w:hAnsi="Arial"/>
          <w:sz w:val="18"/>
          <w:szCs w:val="18"/>
          <w:color w:val="auto"/>
        </w:rPr>
        <w:t xml:space="preserve">” means, at any time of determination, an amount equal to the sum of (a) the product of (i) the sum of: (A) the Yield Reserve Percentage,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greatest of (I) the sum of the Concentration Reserve Percentage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Minimum Dilution Reserve Percentage and (II) the sum of the Loss Reserve Percentage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Dilution Reserve Percentage,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(ii) the Adjusted Net Receivables Pool Balance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Currency Reserve Amount.</w:t>
      </w:r>
    </w:p>
    <w:p>
      <w:pPr>
        <w:spacing w:after="0" w:line="187"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table set forth in Section 7.04 of the Original Receivables Financing Agreement is hereby deleted and replaced in its entirety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003" w:right="339" w:bottom="1440" w:gutter="0" w:footer="0" w:header="0"/>
        </w:sectPr>
      </w:pPr>
    </w:p>
    <w:bookmarkStart w:id="81" w:name="page82"/>
    <w:bookmarkEnd w:id="81"/>
    <w:tbl>
      <w:tblPr>
        <w:tblLayout w:type="fixed"/>
        <w:tblInd w:w="79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Four Fiscal Quarters Ending</w:t>
            </w:r>
          </w:p>
        </w:tc>
        <w:tc>
          <w:tcPr>
            <w:tcW w:w="4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Maximum Consolidated Total Leverage Ratio</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r>
        <w:trPr>
          <w:trHeight w:val="222"/>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First fiscal quarter ending after the</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5.50 to 1.00</w:t>
            </w:r>
          </w:p>
        </w:tc>
      </w:tr>
      <w:tr>
        <w:trPr>
          <w:trHeight w:val="230"/>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Effective Date through March 31, 2019</w:t>
            </w:r>
          </w:p>
        </w:tc>
        <w:tc>
          <w:tcPr>
            <w:tcW w:w="428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r>
        <w:trPr>
          <w:trHeight w:val="222"/>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June 30, 2019 through March 31,</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5.00 to 1.00</w:t>
            </w:r>
          </w:p>
        </w:tc>
      </w:tr>
      <w:tr>
        <w:trPr>
          <w:trHeight w:val="230"/>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428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r>
        <w:trPr>
          <w:trHeight w:val="222"/>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June 30, 2020 through March 31,</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4.50 to 1.00</w:t>
            </w:r>
          </w:p>
        </w:tc>
      </w:tr>
      <w:tr>
        <w:trPr>
          <w:trHeight w:val="230"/>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428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r>
        <w:trPr>
          <w:trHeight w:val="169"/>
        </w:trPr>
        <w:tc>
          <w:tcPr>
            <w:tcW w:w="430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June 30, 2021 and the last day of each fiscal quarter</w:t>
            </w:r>
          </w:p>
        </w:tc>
        <w:tc>
          <w:tcPr>
            <w:tcW w:w="4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4.00 to 1.00</w:t>
            </w:r>
          </w:p>
        </w:tc>
      </w:tr>
      <w:tr>
        <w:trPr>
          <w:trHeight w:val="229"/>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thereafter</w:t>
            </w:r>
          </w:p>
        </w:tc>
        <w:tc>
          <w:tcPr>
            <w:tcW w:w="4280" w:type="dxa"/>
            <w:vAlign w:val="bottom"/>
            <w:tcBorders>
              <w:bottom w:val="single" w:sz="8" w:color="auto"/>
              <w:right w:val="single" w:sz="8" w:color="auto"/>
            </w:tcBorders>
          </w:tcPr>
          <w:p>
            <w:pPr>
              <w:spacing w:after="0"/>
              <w:rPr>
                <w:sz w:val="19"/>
                <w:szCs w:val="19"/>
                <w:color w:val="auto"/>
              </w:rPr>
            </w:pPr>
          </w:p>
        </w:tc>
      </w:tr>
    </w:tbl>
    <w:p>
      <w:pPr>
        <w:spacing w:after="0" w:line="283" w:lineRule="exact"/>
        <w:rPr>
          <w:sz w:val="20"/>
          <w:szCs w:val="20"/>
          <w:color w:val="auto"/>
        </w:rPr>
      </w:pPr>
    </w:p>
    <w:p>
      <w:pPr>
        <w:ind w:right="20" w:firstLine="656"/>
        <w:spacing w:after="0" w:line="277" w:lineRule="auto"/>
        <w:tabs>
          <w:tab w:leader="none" w:pos="129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the Original Receivables Financing Agreement is hereby deleted and replaced in its entirety with the schedule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firstLine="656"/>
        <w:spacing w:after="0" w:line="277" w:lineRule="auto"/>
        <w:tabs>
          <w:tab w:leader="none" w:pos="129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to the Original Receivables Financing Agreement is hereby deleted and replaced in its entirety with the schedule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u w:val="single" w:color="auto"/>
          <w:color w:val="auto"/>
        </w:rPr>
        <w:t>SECTION 3. Representations, Warranties and Enforceability</w:t>
      </w:r>
      <w:r>
        <w:rPr>
          <w:rFonts w:ascii="Arial" w:cs="Arial" w:eastAsia="Arial" w:hAnsi="Arial"/>
          <w:sz w:val="17"/>
          <w:szCs w:val="17"/>
          <w:color w:val="auto"/>
        </w:rPr>
        <w:t>. Each of the Borrower and the Servicer hereby represents and warrants to the Administrative Agent, the Group Agents and the Lenders, as applicable, as of the date hereof with respect to itself, as follows:the representations and warranties of it contained in Section 6.01 and Section 6.02, as applicable, of the Receivables Financing Agreement are true and correct in all material respects (unless such representations and warranties contain a materiality qualification, in which case, such representations and warranties shall be true and correct as made) on and as of the date hereof as though made on and as of such date unless such representations and warranties by their terms refer to an earlier date, in which case they shall be true and correct in all material respects (unless such representations and warranties contain a materiality qualification, in which case such representations and warranties shall be true and correct as made) on and as of such earlier date; and</w:t>
      </w:r>
    </w:p>
    <w:p>
      <w:pPr>
        <w:spacing w:after="0" w:line="177" w:lineRule="exact"/>
        <w:rPr>
          <w:sz w:val="20"/>
          <w:szCs w:val="20"/>
          <w:color w:val="auto"/>
        </w:rPr>
      </w:pPr>
    </w:p>
    <w:p>
      <w:pPr>
        <w:jc w:val="both"/>
        <w:ind w:firstLine="656"/>
        <w:spacing w:after="0" w:line="259" w:lineRule="auto"/>
        <w:tabs>
          <w:tab w:leader="none" w:pos="921"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the execution and delivery by it of this Amendment, and the performance of its obligations under this Amendment and the Receivables Financing Agreement, as amended hereby, are within its organizational powers and have been duly authorized by all necessary action on its part and (ii) this Amendment and the Receivables Financing Agreement, as amended hereby, are its valid and legally binding obligations, enforceable in accordance with their respective terms.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SECTION 4. Conditions Precedent</w:t>
      </w:r>
      <w:r>
        <w:rPr>
          <w:rFonts w:ascii="Arial" w:cs="Arial" w:eastAsia="Arial" w:hAnsi="Arial"/>
          <w:sz w:val="16"/>
          <w:szCs w:val="16"/>
          <w:color w:val="auto"/>
        </w:rPr>
        <w:t>. The effectiveness of this Amendment is subject to the satisfaction of all of the following conditions precedent:</w:t>
      </w:r>
    </w:p>
    <w:p>
      <w:pPr>
        <w:spacing w:after="0" w:line="248" w:lineRule="exact"/>
        <w:rPr>
          <w:sz w:val="20"/>
          <w:szCs w:val="20"/>
          <w:color w:val="auto"/>
        </w:rPr>
      </w:pPr>
    </w:p>
    <w:p>
      <w:pPr>
        <w:jc w:val="both"/>
        <w:ind w:firstLine="656"/>
        <w:spacing w:after="0" w:line="259" w:lineRule="auto"/>
        <w:tabs>
          <w:tab w:leader="none" w:pos="12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Administrative Agent shall have received a fully executed counterpart of (i) this Amendment, (ii) the Amended and Restated Fee Letter, dated as of the date hereof, by and among PNC, as the Administrative Agent, as a Committed Lender and as a Group Agent, Mizuho, as a Committed Lender and as a Group Agent, and the Structuring Agent, and acknowledged and agreed to by the Borrower, and (iii) the Assignment, Acceptance and Assumption, dated as of the date hereof, by and between PNC, as Assignor, and Mizuho, as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Assignee, and accepted by the Administrative Agent and the Borrower (collectively, the “</w:t>
      </w:r>
      <w:r>
        <w:rPr>
          <w:rFonts w:ascii="Arial" w:cs="Arial" w:eastAsia="Arial" w:hAnsi="Arial"/>
          <w:sz w:val="18"/>
          <w:szCs w:val="18"/>
          <w:u w:val="single" w:color="auto"/>
          <w:color w:val="auto"/>
        </w:rPr>
        <w:t>Amendment Documents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024" w:right="339" w:bottom="1440" w:gutter="0" w:footer="0" w:header="0"/>
        </w:sectPr>
      </w:pPr>
    </w:p>
    <w:bookmarkStart w:id="82" w:name="page83"/>
    <w:bookmarkEnd w:id="82"/>
    <w:p>
      <w:pPr>
        <w:jc w:val="both"/>
        <w:ind w:firstLine="656"/>
        <w:spacing w:after="0" w:line="273" w:lineRule="auto"/>
        <w:tabs>
          <w:tab w:leader="none" w:pos="129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PNC, as the Administrative Agent, as a Committed Lender and as the Group Agent for the PNC Group and Mizuho, as a Committed Lender and as the Group Agent for the Mizuho Group, in each case, under the Receivables Financing Agreement, as applicable, shall have received all fees and other amounts due and payable to it under the Transaction Documents and in connection with the Amendment Documents on or prior to the date hereof, including, to the extent invoiced, payment or reimbursement of all fees and expenses (including reasonable and documented out-of-pocket fees, charges and disbursements of counsel) required to be paid or reimbursed on or prior to the date hereof. To the extent such fees and other amounts have not yet been invoiced, the Borrower agrees to remit payment to the applicable party promptly upon receipt of such invoice.</w:t>
      </w:r>
    </w:p>
    <w:p>
      <w:pPr>
        <w:spacing w:after="0" w:line="177" w:lineRule="exact"/>
        <w:rPr>
          <w:rFonts w:ascii="Arial" w:cs="Arial" w:eastAsia="Arial" w:hAnsi="Arial"/>
          <w:sz w:val="17"/>
          <w:szCs w:val="17"/>
          <w:color w:val="auto"/>
        </w:rPr>
      </w:pPr>
    </w:p>
    <w:p>
      <w:pPr>
        <w:ind w:right="20" w:firstLine="656"/>
        <w:spacing w:after="0" w:line="277" w:lineRule="auto"/>
        <w:tabs>
          <w:tab w:leader="none" w:pos="12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Event of Default or Unmatured Event of Default, as set forth in Section 9.01 of the Receivables Financing Agreement, shall have occurred and be continuing.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SECTION 5. Amendment</w:t>
      </w:r>
      <w:r>
        <w:rPr>
          <w:rFonts w:ascii="Arial" w:cs="Arial" w:eastAsia="Arial" w:hAnsi="Arial"/>
          <w:sz w:val="18"/>
          <w:szCs w:val="18"/>
          <w:color w:val="auto"/>
        </w:rPr>
        <w:t xml:space="preserve">. The Borrower, the Servicer, the Administrative Agent, the Group Agents, the Lenders, and, with respect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the Performance Guarantor, hereby agree that the provisions and effectiveness of this Amendment shall apply to the Receivables Financing Agreement as of the date hereof. Except as amended by this Amendment, the Receivables Financing Agreement remains unchanged and in full force and effect. This Amendment is a Transaction Document.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SECTION 6. Counterparts</w:t>
      </w:r>
      <w:r>
        <w:rPr>
          <w:rFonts w:ascii="Arial" w:cs="Arial" w:eastAsia="Arial" w:hAnsi="Arial"/>
          <w:sz w:val="18"/>
          <w:szCs w:val="18"/>
          <w:color w:val="auto"/>
        </w:rPr>
        <w:t>. This Amendment may be executed in any number of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SECTION 7. Captions</w:t>
      </w:r>
      <w:r>
        <w:rPr>
          <w:rFonts w:ascii="Arial" w:cs="Arial" w:eastAsia="Arial" w:hAnsi="Arial"/>
          <w:sz w:val="18"/>
          <w:szCs w:val="18"/>
          <w:color w:val="auto"/>
        </w:rPr>
        <w:t>. The headings of the Sections of this Amendment are provided solely for convenience of reference and shall not modify, define, expand or limit any of the terms or provisions of this Amendment.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SECTION 8. Successors and permitted assigns</w:t>
      </w:r>
      <w:r>
        <w:rPr>
          <w:rFonts w:ascii="Arial" w:cs="Arial" w:eastAsia="Arial" w:hAnsi="Arial"/>
          <w:sz w:val="18"/>
          <w:szCs w:val="18"/>
          <w:color w:val="auto"/>
        </w:rPr>
        <w:t xml:space="preserve">. The terms of this Amendment shall be binding upon, and shall inure to the benefit of, the Borrower, the Servicer, the Administrative Agent, the Group Agents, the Lenders, and, with respect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the Performance Guarantor and their respective successors and permitted assigns.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SECTION 9. Severability</w:t>
      </w:r>
      <w:r>
        <w:rPr>
          <w:rFonts w:ascii="Arial" w:cs="Arial" w:eastAsia="Arial" w:hAnsi="Arial"/>
          <w:sz w:val="18"/>
          <w:szCs w:val="18"/>
          <w:color w:val="auto"/>
        </w:rPr>
        <w:t>.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u w:val="single" w:color="auto"/>
          <w:color w:val="auto"/>
        </w:rPr>
        <w:t>SECTION 10. Governing Law and Jurisdiction</w:t>
      </w:r>
      <w:r>
        <w:rPr>
          <w:rFonts w:ascii="Arial" w:cs="Arial" w:eastAsia="Arial" w:hAnsi="Arial"/>
          <w:sz w:val="17"/>
          <w:szCs w:val="17"/>
          <w:color w:val="auto"/>
        </w:rPr>
        <w:t>. The provisions of the Receivables Financing Agreement with respect to governing law, jurisdiction, and agent for service of process are incorporated in this Amendment by reference as if such provisions were set forth herein.</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u w:val="single" w:color="auto"/>
          <w:color w:val="auto"/>
        </w:rPr>
        <w:t>SECTION 11. Ratification of Performance Guarantee</w:t>
      </w:r>
      <w:r>
        <w:rPr>
          <w:rFonts w:ascii="Arial" w:cs="Arial" w:eastAsia="Arial" w:hAnsi="Arial"/>
          <w:sz w:val="17"/>
          <w:szCs w:val="17"/>
          <w:color w:val="auto"/>
        </w:rPr>
        <w:t>. After giving effect to the Amendment Documents, all of the provisions of the Performance Guaranty shall remain in full force and effect and the Performance Guarantor hereby ratifies and affirms the Performance Guaranty and acknowledges that the Performance Guaranty has continued and shall continue in full force and effect in accordance with its terms.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003" w:right="339" w:bottom="1440" w:gutter="0" w:footer="0" w:header="0"/>
        </w:sectPr>
      </w:pPr>
    </w:p>
    <w:bookmarkStart w:id="83" w:name="page84"/>
    <w:bookmarkEnd w:id="83"/>
    <w:p>
      <w:pPr>
        <w:ind w:left="640"/>
        <w:spacing w:after="0"/>
        <w:rPr>
          <w:sz w:val="20"/>
          <w:szCs w:val="20"/>
          <w:color w:val="auto"/>
        </w:rPr>
      </w:pPr>
      <w:r>
        <w:rPr>
          <w:rFonts w:ascii="Arial" w:cs="Arial" w:eastAsia="Arial" w:hAnsi="Arial"/>
          <w:sz w:val="16"/>
          <w:szCs w:val="16"/>
          <w:color w:val="auto"/>
        </w:rPr>
        <w:t>IN WITNESS WHEREOF, the parties hereto have executed this Amendment by their duly authorized officers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 RECEIVABLES LLC,</w:t>
      </w:r>
    </w:p>
    <w:p>
      <w:pPr>
        <w:spacing w:after="0"/>
        <w:rPr>
          <w:sz w:val="20"/>
          <w:szCs w:val="20"/>
          <w:color w:val="auto"/>
        </w:rPr>
      </w:pPr>
      <w:r>
        <w:rPr>
          <w:rFonts w:ascii="Arial" w:cs="Arial" w:eastAsia="Arial" w:hAnsi="Arial"/>
          <w:sz w:val="18"/>
          <w:szCs w:val="18"/>
          <w:color w:val="auto"/>
        </w:rPr>
        <w:t>as the Borrower</w:t>
      </w:r>
    </w:p>
    <w:p>
      <w:pPr>
        <w:spacing w:after="0" w:line="2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Sravan K. Emany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6350</wp:posOffset>
            </wp:positionV>
            <wp:extent cx="3531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Name:</w:t>
        <w:tab/>
        <w:t>Sravan K. Emany</w:t>
      </w:r>
    </w:p>
    <w:p>
      <w:pPr>
        <w:spacing w:after="0" w:line="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 LIFESCIENCES SALES LLC,</w:t>
      </w:r>
    </w:p>
    <w:p>
      <w:pPr>
        <w:spacing w:after="0" w:line="203" w:lineRule="auto"/>
        <w:rPr>
          <w:sz w:val="20"/>
          <w:szCs w:val="20"/>
          <w:color w:val="auto"/>
        </w:rPr>
      </w:pPr>
      <w:r>
        <w:rPr>
          <w:rFonts w:ascii="Arial" w:cs="Arial" w:eastAsia="Arial" w:hAnsi="Arial"/>
          <w:sz w:val="18"/>
          <w:szCs w:val="18"/>
          <w:color w:val="auto"/>
        </w:rPr>
        <w:t>as the Servicer</w:t>
      </w:r>
    </w:p>
    <w:p>
      <w:pPr>
        <w:spacing w:after="0"/>
        <w:rPr>
          <w:sz w:val="20"/>
          <w:szCs w:val="20"/>
          <w:color w:val="auto"/>
        </w:rPr>
      </w:pPr>
      <w:r>
        <w:rPr>
          <w:rFonts w:ascii="Arial" w:cs="Arial" w:eastAsia="Arial" w:hAnsi="Arial"/>
          <w:sz w:val="18"/>
          <w:szCs w:val="18"/>
          <w:color w:val="auto"/>
        </w:rPr>
        <w:t>By: Integra LifeSciences Corporation, its sole member</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Sravan K. Emany</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560" w:type="dxa"/>
            <w:vAlign w:val="bottom"/>
          </w:tcPr>
          <w:p>
            <w:pPr>
              <w:ind w:left="20"/>
              <w:spacing w:after="0"/>
              <w:rPr>
                <w:sz w:val="20"/>
                <w:szCs w:val="20"/>
                <w:color w:val="auto"/>
              </w:rPr>
            </w:pPr>
            <w:r>
              <w:rPr>
                <w:rFonts w:ascii="Arial" w:cs="Arial" w:eastAsia="Arial" w:hAnsi="Arial"/>
                <w:sz w:val="18"/>
                <w:szCs w:val="18"/>
                <w:color w:val="auto"/>
              </w:rPr>
              <w:t>Sravan K. Emany</w:t>
            </w:r>
          </w:p>
        </w:tc>
      </w:t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560" w:type="dxa"/>
            <w:vAlign w:val="bottom"/>
          </w:tcPr>
          <w:p>
            <w:pPr>
              <w:ind w:left="20"/>
              <w:spacing w:after="0"/>
              <w:rPr>
                <w:sz w:val="20"/>
                <w:szCs w:val="20"/>
                <w:color w:val="auto"/>
              </w:rPr>
            </w:pPr>
            <w:r>
              <w:rPr>
                <w:rFonts w:ascii="Arial" w:cs="Arial" w:eastAsia="Arial" w:hAnsi="Arial"/>
                <w:sz w:val="18"/>
                <w:szCs w:val="18"/>
                <w:color w:val="auto"/>
              </w:rPr>
              <w:t>Vice President -Treasurer, Investor Relations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 xml:space="preserve">Amendment 1 to RFA (Integra) </w:t>
      </w:r>
      <w:r>
        <w:rPr>
          <w:rFonts w:ascii="Arial" w:cs="Arial" w:eastAsia="Arial" w:hAnsi="Arial"/>
          <w:sz w:val="18"/>
          <w:szCs w:val="18"/>
          <w:color w:val="auto"/>
        </w:rPr>
        <w:t>S-1</w:t>
      </w:r>
    </w:p>
    <w:p>
      <w:pPr>
        <w:sectPr>
          <w:pgSz w:w="11900" w:h="16838" w:orient="portrait"/>
          <w:cols w:equalWidth="0" w:num="1">
            <w:col w:w="10960"/>
          </w:cols>
          <w:pgMar w:left="340" w:top="773" w:right="599" w:bottom="1440" w:gutter="0" w:footer="0" w:header="0"/>
        </w:sectPr>
      </w:pPr>
    </w:p>
    <w:bookmarkStart w:id="84" w:name="page85"/>
    <w:bookmarkEnd w:id="84"/>
    <w:p>
      <w:pPr>
        <w:ind w:right="3339" w:hanging="8"/>
        <w:spacing w:after="0" w:line="277" w:lineRule="auto"/>
        <w:rPr>
          <w:sz w:val="20"/>
          <w:szCs w:val="20"/>
          <w:color w:val="auto"/>
        </w:rPr>
      </w:pPr>
      <w:r>
        <w:rPr>
          <w:rFonts w:ascii="Arial" w:cs="Arial" w:eastAsia="Arial" w:hAnsi="Arial"/>
          <w:sz w:val="18"/>
          <w:szCs w:val="18"/>
          <w:color w:val="auto"/>
        </w:rPr>
        <w:t xml:space="preserve">Acknowledged and reaffirmed by, with respect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INTEGRA LIFESCIENCES HOLDINGS</w:t>
      </w:r>
    </w:p>
    <w:p>
      <w:pPr>
        <w:ind w:left="20"/>
        <w:spacing w:after="0" w:line="203" w:lineRule="auto"/>
        <w:rPr>
          <w:sz w:val="20"/>
          <w:szCs w:val="20"/>
          <w:color w:val="auto"/>
        </w:rPr>
      </w:pPr>
      <w:r>
        <w:rPr>
          <w:rFonts w:ascii="Arial" w:cs="Arial" w:eastAsia="Arial" w:hAnsi="Arial"/>
          <w:sz w:val="18"/>
          <w:szCs w:val="18"/>
          <w:b w:val="1"/>
          <w:bCs w:val="1"/>
          <w:color w:val="auto"/>
        </w:rPr>
        <w:t>CORPORATION,</w:t>
      </w:r>
    </w:p>
    <w:p>
      <w:pPr>
        <w:ind w:left="20"/>
        <w:spacing w:after="0"/>
        <w:rPr>
          <w:sz w:val="20"/>
          <w:szCs w:val="20"/>
          <w:color w:val="auto"/>
        </w:rPr>
      </w:pPr>
      <w:r>
        <w:rPr>
          <w:rFonts w:ascii="Arial" w:cs="Arial" w:eastAsia="Arial" w:hAnsi="Arial"/>
          <w:sz w:val="18"/>
          <w:szCs w:val="18"/>
          <w:color w:val="auto"/>
        </w:rPr>
        <w:t>as the Performance Guarantor</w:t>
      </w:r>
    </w:p>
    <w:p>
      <w:pPr>
        <w:spacing w:after="0" w:line="293"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Sravan K. Emany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6350</wp:posOffset>
            </wp:positionV>
            <wp:extent cx="21856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Sravan K. Emany</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Vice President -Treasurer, Investor</w:t>
      </w:r>
    </w:p>
    <w:p>
      <w:pPr>
        <w:ind w:left="20"/>
        <w:spacing w:after="0"/>
        <w:tabs>
          <w:tab w:leader="none" w:pos="580" w:val="left"/>
        </w:tabs>
        <w:rPr>
          <w:sz w:val="20"/>
          <w:szCs w:val="20"/>
          <w:color w:val="auto"/>
        </w:rPr>
      </w:pPr>
      <w:r>
        <w:rPr>
          <w:rFonts w:ascii="Arial" w:cs="Arial" w:eastAsia="Arial" w:hAnsi="Arial"/>
          <w:sz w:val="18"/>
          <w:szCs w:val="18"/>
          <w:color w:val="auto"/>
        </w:rPr>
        <w:t>Title</w:t>
        <w:tab/>
        <w:t>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1459"/>
        <w:spacing w:after="0"/>
        <w:rPr>
          <w:sz w:val="20"/>
          <w:szCs w:val="20"/>
          <w:color w:val="auto"/>
        </w:rPr>
      </w:pPr>
      <w:r>
        <w:rPr>
          <w:rFonts w:ascii="Arial" w:cs="Arial" w:eastAsia="Arial" w:hAnsi="Arial"/>
          <w:sz w:val="18"/>
          <w:szCs w:val="18"/>
          <w:i w:val="1"/>
          <w:iCs w:val="1"/>
          <w:color w:val="auto"/>
        </w:rPr>
        <w:t xml:space="preserve">Amendment 1 to RFA (Integra) </w:t>
      </w:r>
      <w:r>
        <w:rPr>
          <w:rFonts w:ascii="Arial" w:cs="Arial" w:eastAsia="Arial" w:hAnsi="Arial"/>
          <w:sz w:val="18"/>
          <w:szCs w:val="18"/>
          <w:color w:val="auto"/>
        </w:rPr>
        <w:t>S-2</w:t>
      </w:r>
    </w:p>
    <w:p>
      <w:pPr>
        <w:sectPr>
          <w:pgSz w:w="11900" w:h="16838" w:orient="portrait"/>
          <w:cols w:equalWidth="0" w:num="1">
            <w:col w:w="10139"/>
          </w:cols>
          <w:pgMar w:left="320" w:top="1354" w:right="1440"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PNC BANK, NATIONAL ASSOCIATION,</w:t>
      </w:r>
    </w:p>
    <w:p>
      <w:pPr>
        <w:spacing w:after="0"/>
        <w:rPr>
          <w:sz w:val="20"/>
          <w:szCs w:val="20"/>
          <w:color w:val="auto"/>
        </w:rPr>
      </w:pPr>
      <w:r>
        <w:rPr>
          <w:rFonts w:ascii="Arial" w:cs="Arial" w:eastAsia="Arial" w:hAnsi="Arial"/>
          <w:sz w:val="18"/>
          <w:szCs w:val="18"/>
          <w:color w:val="auto"/>
        </w:rPr>
        <w:t>as the Administrative Agent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Brown</w:t>
            </w: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Michael Brown</w:t>
            </w:r>
          </w:p>
        </w:tc>
      </w:t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BANK, NATIONAL ASSOCIATION,</w:t>
      </w:r>
    </w:p>
    <w:p>
      <w:pPr>
        <w:spacing w:after="0"/>
        <w:rPr>
          <w:sz w:val="20"/>
          <w:szCs w:val="20"/>
          <w:color w:val="auto"/>
        </w:rPr>
      </w:pPr>
      <w:r>
        <w:rPr>
          <w:rFonts w:ascii="Arial" w:cs="Arial" w:eastAsia="Arial" w:hAnsi="Arial"/>
          <w:sz w:val="18"/>
          <w:szCs w:val="18"/>
          <w:color w:val="auto"/>
        </w:rPr>
        <w:t>as the Group Agent for the PNC Group</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Brown</w:t>
            </w: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Michael Brown</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BANK, NATIONAL ASSOCIATION,</w:t>
      </w:r>
    </w:p>
    <w:p>
      <w:pPr>
        <w:spacing w:after="0"/>
        <w:rPr>
          <w:sz w:val="20"/>
          <w:szCs w:val="20"/>
          <w:color w:val="auto"/>
        </w:rPr>
      </w:pPr>
      <w:r>
        <w:rPr>
          <w:rFonts w:ascii="Arial" w:cs="Arial" w:eastAsia="Arial" w:hAnsi="Arial"/>
          <w:sz w:val="18"/>
          <w:szCs w:val="18"/>
          <w:color w:val="auto"/>
        </w:rPr>
        <w:t>as a Committed Lender</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Brown</w:t>
            </w: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Michael Brown</w:t>
            </w:r>
          </w:p>
        </w:tc>
      </w:t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1459"/>
        <w:spacing w:after="0"/>
        <w:rPr>
          <w:sz w:val="20"/>
          <w:szCs w:val="20"/>
          <w:color w:val="auto"/>
        </w:rPr>
      </w:pPr>
      <w:r>
        <w:rPr>
          <w:rFonts w:ascii="Arial" w:cs="Arial" w:eastAsia="Arial" w:hAnsi="Arial"/>
          <w:sz w:val="18"/>
          <w:szCs w:val="18"/>
          <w:i w:val="1"/>
          <w:iCs w:val="1"/>
          <w:color w:val="auto"/>
        </w:rPr>
        <w:t xml:space="preserve">Amendment 1 to RFA (Integra) </w:t>
      </w:r>
      <w:r>
        <w:rPr>
          <w:rFonts w:ascii="Arial" w:cs="Arial" w:eastAsia="Arial" w:hAnsi="Arial"/>
          <w:sz w:val="18"/>
          <w:szCs w:val="18"/>
          <w:color w:val="auto"/>
        </w:rPr>
        <w:t>S-3</w:t>
      </w:r>
    </w:p>
    <w:p>
      <w:pPr>
        <w:sectPr>
          <w:pgSz w:w="11900" w:h="16838" w:orient="portrait"/>
          <w:cols w:equalWidth="0" w:num="1">
            <w:col w:w="9479"/>
          </w:cols>
          <w:pgMar w:left="980" w:top="1066" w:right="1440"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Acknowledged and agreed to by,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CAPITAL MARKETS LLC,</w:t>
      </w:r>
    </w:p>
    <w:p>
      <w:pPr>
        <w:spacing w:after="0"/>
        <w:rPr>
          <w:sz w:val="20"/>
          <w:szCs w:val="20"/>
          <w:color w:val="auto"/>
        </w:rPr>
      </w:pPr>
      <w:r>
        <w:rPr>
          <w:rFonts w:ascii="Arial" w:cs="Arial" w:eastAsia="Arial" w:hAnsi="Arial"/>
          <w:sz w:val="18"/>
          <w:szCs w:val="18"/>
          <w:color w:val="auto"/>
        </w:rPr>
        <w:t>as the Structuring Agent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Brown</w:t>
            </w: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5560" w:type="dxa"/>
            <w:vAlign w:val="bottom"/>
          </w:tcPr>
          <w:p>
            <w:pPr>
              <w:ind w:left="20"/>
              <w:spacing w:after="0"/>
              <w:rPr>
                <w:sz w:val="20"/>
                <w:szCs w:val="20"/>
                <w:color w:val="auto"/>
              </w:rPr>
            </w:pPr>
            <w:r>
              <w:rPr>
                <w:rFonts w:ascii="Arial" w:cs="Arial" w:eastAsia="Arial" w:hAnsi="Arial"/>
                <w:sz w:val="18"/>
                <w:szCs w:val="18"/>
                <w:color w:val="auto"/>
              </w:rPr>
              <w:t>Michael Brown</w:t>
            </w: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556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ectPr>
          <w:pgSz w:w="11900" w:h="16838" w:orient="portrait"/>
          <w:cols w:equalWidth="0" w:num="1">
            <w:col w:w="10139"/>
          </w:cols>
          <w:pgMar w:left="320" w:top="7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6"/>
          <w:szCs w:val="16"/>
          <w:i w:val="1"/>
          <w:iCs w:val="1"/>
          <w:color w:val="auto"/>
        </w:rPr>
        <w:t xml:space="preserve">Amendment 1 to RFA (Integra) </w:t>
      </w:r>
      <w:r>
        <w:rPr>
          <w:rFonts w:ascii="Arial" w:cs="Arial" w:eastAsia="Arial" w:hAnsi="Arial"/>
          <w:sz w:val="16"/>
          <w:szCs w:val="16"/>
          <w:color w:val="auto"/>
        </w:rPr>
        <w:t>S-4</w:t>
      </w:r>
    </w:p>
    <w:p>
      <w:pPr>
        <w:sectPr>
          <w:pgSz w:w="11900" w:h="16838" w:orient="portrait"/>
          <w:cols w:equalWidth="0" w:num="1">
            <w:col w:w="10139"/>
          </w:cols>
          <w:pgMar w:left="320" w:top="773" w:right="1440"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MIZUHO BANK, LTD.,</w:t>
      </w:r>
    </w:p>
    <w:p>
      <w:pPr>
        <w:spacing w:after="0"/>
        <w:rPr>
          <w:sz w:val="20"/>
          <w:szCs w:val="20"/>
          <w:color w:val="auto"/>
        </w:rPr>
      </w:pPr>
      <w:r>
        <w:rPr>
          <w:rFonts w:ascii="Arial" w:cs="Arial" w:eastAsia="Arial" w:hAnsi="Arial"/>
          <w:sz w:val="18"/>
          <w:szCs w:val="18"/>
          <w:color w:val="auto"/>
        </w:rPr>
        <w:t>as a Committed Lender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Burke</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560" w:type="dxa"/>
            <w:vAlign w:val="bottom"/>
          </w:tcPr>
          <w:p>
            <w:pPr>
              <w:spacing w:after="0"/>
              <w:rPr>
                <w:sz w:val="20"/>
                <w:szCs w:val="20"/>
                <w:color w:val="auto"/>
              </w:rPr>
            </w:pPr>
            <w:r>
              <w:rPr>
                <w:rFonts w:ascii="Arial" w:cs="Arial" w:eastAsia="Arial" w:hAnsi="Arial"/>
                <w:sz w:val="18"/>
                <w:szCs w:val="18"/>
                <w:color w:val="auto"/>
              </w:rPr>
              <w:t>Richard A. Burke</w:t>
            </w:r>
          </w:p>
        </w:tc>
      </w:t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5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MIZUHO BANK, LTD.,</w:t>
      </w:r>
    </w:p>
    <w:p>
      <w:pPr>
        <w:spacing w:after="0"/>
        <w:rPr>
          <w:sz w:val="20"/>
          <w:szCs w:val="20"/>
          <w:color w:val="auto"/>
        </w:rPr>
      </w:pPr>
      <w:r>
        <w:rPr>
          <w:rFonts w:ascii="Arial" w:cs="Arial" w:eastAsia="Arial" w:hAnsi="Arial"/>
          <w:sz w:val="18"/>
          <w:szCs w:val="18"/>
          <w:color w:val="auto"/>
        </w:rPr>
        <w:t>as the Group Agent for Muzuho Group</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Burke</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560" w:type="dxa"/>
            <w:vAlign w:val="bottom"/>
          </w:tcPr>
          <w:p>
            <w:pPr>
              <w:spacing w:after="0"/>
              <w:rPr>
                <w:sz w:val="20"/>
                <w:szCs w:val="20"/>
                <w:color w:val="auto"/>
              </w:rPr>
            </w:pPr>
            <w:r>
              <w:rPr>
                <w:rFonts w:ascii="Arial" w:cs="Arial" w:eastAsia="Arial" w:hAnsi="Arial"/>
                <w:sz w:val="18"/>
                <w:szCs w:val="18"/>
                <w:color w:val="auto"/>
              </w:rPr>
              <w:t>Richard A. Burke</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5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1459"/>
        <w:spacing w:after="0"/>
        <w:rPr>
          <w:sz w:val="20"/>
          <w:szCs w:val="20"/>
          <w:color w:val="auto"/>
        </w:rPr>
      </w:pPr>
      <w:r>
        <w:rPr>
          <w:rFonts w:ascii="Arial" w:cs="Arial" w:eastAsia="Arial" w:hAnsi="Arial"/>
          <w:sz w:val="18"/>
          <w:szCs w:val="18"/>
          <w:i w:val="1"/>
          <w:iCs w:val="1"/>
          <w:color w:val="auto"/>
        </w:rPr>
        <w:t xml:space="preserve">Amendment 1 to RFA (Integra) </w:t>
      </w:r>
      <w:r>
        <w:rPr>
          <w:rFonts w:ascii="Arial" w:cs="Arial" w:eastAsia="Arial" w:hAnsi="Arial"/>
          <w:sz w:val="18"/>
          <w:szCs w:val="18"/>
          <w:color w:val="auto"/>
        </w:rPr>
        <w:t>S-5</w:t>
      </w:r>
    </w:p>
    <w:p>
      <w:pPr>
        <w:sectPr>
          <w:pgSz w:w="11900" w:h="16838" w:orient="portrait"/>
          <w:cols w:equalWidth="0" w:num="1">
            <w:col w:w="10119"/>
          </w:cols>
          <w:pgMar w:left="340" w:top="1066" w:right="1440" w:bottom="144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w w:val="94"/>
              </w:rPr>
              <w:t>Exhibit A to Amendment 1 to RFA</w:t>
            </w:r>
          </w:p>
        </w:tc>
      </w:tr>
      <w:tr>
        <w:trPr>
          <w:trHeight w:val="508"/>
        </w:trPr>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60" w:type="dxa"/>
            <w:vAlign w:val="bottom"/>
            <w:gridSpan w:val="4"/>
          </w:tcPr>
          <w:p>
            <w:pPr>
              <w:ind w:left="1160"/>
              <w:spacing w:after="0"/>
              <w:rPr>
                <w:sz w:val="20"/>
                <w:szCs w:val="20"/>
                <w:color w:val="auto"/>
              </w:rPr>
            </w:pPr>
            <w:r>
              <w:rPr>
                <w:rFonts w:ascii="Arial" w:cs="Arial" w:eastAsia="Arial" w:hAnsi="Arial"/>
                <w:sz w:val="18"/>
                <w:szCs w:val="18"/>
                <w:b w:val="1"/>
                <w:bCs w:val="1"/>
                <w:color w:val="auto"/>
              </w:rPr>
              <w:t>SCHEDULE I</w:t>
            </w: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560" w:type="dxa"/>
            <w:vAlign w:val="bottom"/>
            <w:gridSpan w:val="4"/>
          </w:tcPr>
          <w:p>
            <w:pPr>
              <w:ind w:left="1160"/>
              <w:spacing w:after="0"/>
              <w:rPr>
                <w:sz w:val="20"/>
                <w:szCs w:val="20"/>
                <w:color w:val="auto"/>
              </w:rPr>
            </w:pPr>
            <w:r>
              <w:rPr>
                <w:rFonts w:ascii="Arial" w:cs="Arial" w:eastAsia="Arial" w:hAnsi="Arial"/>
                <w:sz w:val="18"/>
                <w:szCs w:val="18"/>
                <w:b w:val="1"/>
                <w:bCs w:val="1"/>
                <w:color w:val="auto"/>
              </w:rPr>
              <w:t>Commitments</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81"/>
        </w:trPr>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r>
      <w:tr>
        <w:trPr>
          <w:trHeight w:val="223"/>
        </w:trPr>
        <w:tc>
          <w:tcPr>
            <w:tcW w:w="100" w:type="dxa"/>
            <w:vAlign w:val="bottom"/>
            <w:tcBorders>
              <w:left w:val="single" w:sz="8" w:color="auto"/>
              <w:bottom w:val="single" w:sz="8" w:color="auto"/>
            </w:tcBorders>
          </w:tcPr>
          <w:p>
            <w:pPr>
              <w:spacing w:after="0"/>
              <w:rPr>
                <w:sz w:val="19"/>
                <w:szCs w:val="19"/>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PNC Group</w:t>
            </w:r>
          </w:p>
        </w:tc>
        <w:tc>
          <w:tcPr>
            <w:tcW w:w="19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2300" w:type="dxa"/>
            <w:vAlign w:val="bottom"/>
            <w:gridSpan w:val="2"/>
          </w:tcPr>
          <w:p>
            <w:pPr>
              <w:spacing w:after="0" w:line="196" w:lineRule="exact"/>
              <w:rPr>
                <w:sz w:val="20"/>
                <w:szCs w:val="20"/>
                <w:color w:val="auto"/>
              </w:rPr>
            </w:pPr>
            <w:r>
              <w:rPr>
                <w:rFonts w:ascii="Arial" w:cs="Arial" w:eastAsia="Arial" w:hAnsi="Arial"/>
                <w:sz w:val="18"/>
                <w:szCs w:val="18"/>
                <w:color w:val="auto"/>
              </w:rPr>
              <w:t>Party</w:t>
            </w:r>
          </w:p>
        </w:tc>
        <w:tc>
          <w:tcPr>
            <w:tcW w:w="19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5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Capacity</w:t>
            </w:r>
          </w:p>
        </w:tc>
        <w:tc>
          <w:tcPr>
            <w:tcW w:w="80" w:type="dxa"/>
            <w:vAlign w:val="bottom"/>
          </w:tcPr>
          <w:p>
            <w:pPr>
              <w:spacing w:after="0"/>
              <w:rPr>
                <w:sz w:val="17"/>
                <w:szCs w:val="17"/>
                <w:color w:val="auto"/>
              </w:rPr>
            </w:pPr>
          </w:p>
        </w:tc>
        <w:tc>
          <w:tcPr>
            <w:tcW w:w="32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Maximum Commitment</w:t>
            </w:r>
          </w:p>
        </w:tc>
      </w:tr>
      <w:tr>
        <w:trPr>
          <w:trHeight w:val="48"/>
        </w:trPr>
        <w:tc>
          <w:tcPr>
            <w:tcW w:w="100" w:type="dxa"/>
            <w:vAlign w:val="bottom"/>
            <w:tcBorders>
              <w:left w:val="single" w:sz="8" w:color="auto"/>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740" w:type="dxa"/>
            <w:vAlign w:val="bottom"/>
            <w:tcBorders>
              <w:top w:val="single" w:sz="8" w:color="auto"/>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r>
      <w:tr>
        <w:trPr>
          <w:trHeight w:val="223"/>
        </w:trPr>
        <w:tc>
          <w:tcPr>
            <w:tcW w:w="100" w:type="dxa"/>
            <w:vAlign w:val="bottom"/>
            <w:tcBorders>
              <w:left w:val="single" w:sz="8" w:color="auto"/>
              <w:bottom w:val="single" w:sz="8" w:color="auto"/>
            </w:tcBorders>
          </w:tcPr>
          <w:p>
            <w:pPr>
              <w:spacing w:after="0"/>
              <w:rPr>
                <w:sz w:val="19"/>
                <w:szCs w:val="19"/>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PNC</w:t>
            </w:r>
          </w:p>
        </w:tc>
        <w:tc>
          <w:tcPr>
            <w:tcW w:w="19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Committed Lender</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$100,000,000</w:t>
            </w:r>
          </w:p>
        </w:tc>
        <w:tc>
          <w:tcPr>
            <w:tcW w:w="1480" w:type="dxa"/>
            <w:vAlign w:val="bottom"/>
            <w:tcBorders>
              <w:bottom w:val="single" w:sz="8" w:color="auto"/>
              <w:right w:val="single" w:sz="8" w:color="auto"/>
            </w:tcBorders>
          </w:tcPr>
          <w:p>
            <w:pPr>
              <w:spacing w:after="0"/>
              <w:rPr>
                <w:sz w:val="19"/>
                <w:szCs w:val="19"/>
                <w:color w:val="auto"/>
              </w:rPr>
            </w:pPr>
          </w:p>
        </w:tc>
      </w:tr>
      <w:tr>
        <w:trPr>
          <w:trHeight w:val="223"/>
        </w:trPr>
        <w:tc>
          <w:tcPr>
            <w:tcW w:w="100" w:type="dxa"/>
            <w:vAlign w:val="bottom"/>
            <w:tcBorders>
              <w:left w:val="single" w:sz="8" w:color="auto"/>
              <w:bottom w:val="single" w:sz="8" w:color="auto"/>
            </w:tcBorders>
          </w:tcPr>
          <w:p>
            <w:pPr>
              <w:spacing w:after="0"/>
              <w:rPr>
                <w:sz w:val="19"/>
                <w:szCs w:val="19"/>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PNC</w:t>
            </w:r>
          </w:p>
        </w:tc>
        <w:tc>
          <w:tcPr>
            <w:tcW w:w="19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Group Agent</w:t>
            </w:r>
          </w:p>
        </w:tc>
        <w:tc>
          <w:tcPr>
            <w:tcW w:w="8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w:t>
            </w:r>
          </w:p>
        </w:tc>
      </w:tr>
      <w:tr>
        <w:trPr>
          <w:trHeight w:val="237"/>
        </w:trPr>
        <w:tc>
          <w:tcPr>
            <w:tcW w:w="100" w:type="dxa"/>
            <w:vAlign w:val="bottom"/>
            <w:tcBorders>
              <w:left w:val="single" w:sz="8" w:color="auto"/>
            </w:tcBorders>
          </w:tcPr>
          <w:p>
            <w:pPr>
              <w:spacing w:after="0"/>
              <w:rPr>
                <w:sz w:val="20"/>
                <w:szCs w:val="20"/>
                <w:color w:val="auto"/>
              </w:rPr>
            </w:pPr>
          </w:p>
        </w:tc>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Mizuho Group</w:t>
            </w:r>
          </w:p>
        </w:tc>
        <w:tc>
          <w:tcPr>
            <w:tcW w:w="1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100" w:type="dxa"/>
            <w:vAlign w:val="bottom"/>
            <w:tcBorders>
              <w:left w:val="single" w:sz="8" w:color="auto"/>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2300" w:type="dxa"/>
            <w:vAlign w:val="bottom"/>
            <w:gridSpan w:val="2"/>
          </w:tcPr>
          <w:p>
            <w:pPr>
              <w:spacing w:after="0" w:line="196" w:lineRule="exact"/>
              <w:rPr>
                <w:sz w:val="20"/>
                <w:szCs w:val="20"/>
                <w:color w:val="auto"/>
              </w:rPr>
            </w:pPr>
            <w:r>
              <w:rPr>
                <w:rFonts w:ascii="Arial" w:cs="Arial" w:eastAsia="Arial" w:hAnsi="Arial"/>
                <w:sz w:val="18"/>
                <w:szCs w:val="18"/>
                <w:color w:val="auto"/>
              </w:rPr>
              <w:t>Party</w:t>
            </w:r>
          </w:p>
        </w:tc>
        <w:tc>
          <w:tcPr>
            <w:tcW w:w="19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5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Capacity</w:t>
            </w:r>
          </w:p>
        </w:tc>
        <w:tc>
          <w:tcPr>
            <w:tcW w:w="80" w:type="dxa"/>
            <w:vAlign w:val="bottom"/>
          </w:tcPr>
          <w:p>
            <w:pPr>
              <w:spacing w:after="0"/>
              <w:rPr>
                <w:sz w:val="17"/>
                <w:szCs w:val="17"/>
                <w:color w:val="auto"/>
              </w:rPr>
            </w:pPr>
          </w:p>
        </w:tc>
        <w:tc>
          <w:tcPr>
            <w:tcW w:w="32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Maximum Commitment</w:t>
            </w:r>
          </w:p>
        </w:tc>
      </w:tr>
      <w:tr>
        <w:trPr>
          <w:trHeight w:val="48"/>
        </w:trPr>
        <w:tc>
          <w:tcPr>
            <w:tcW w:w="100" w:type="dxa"/>
            <w:vAlign w:val="bottom"/>
            <w:tcBorders>
              <w:left w:val="single" w:sz="8" w:color="auto"/>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740" w:type="dxa"/>
            <w:vAlign w:val="bottom"/>
            <w:tcBorders>
              <w:top w:val="single" w:sz="8" w:color="auto"/>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r>
      <w:tr>
        <w:trPr>
          <w:trHeight w:val="223"/>
        </w:trPr>
        <w:tc>
          <w:tcPr>
            <w:tcW w:w="100" w:type="dxa"/>
            <w:vAlign w:val="bottom"/>
            <w:tcBorders>
              <w:left w:val="single" w:sz="8" w:color="auto"/>
              <w:bottom w:val="single" w:sz="8" w:color="auto"/>
            </w:tcBorders>
          </w:tcPr>
          <w:p>
            <w:pPr>
              <w:spacing w:after="0"/>
              <w:rPr>
                <w:sz w:val="19"/>
                <w:szCs w:val="19"/>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Mizuho</w:t>
            </w:r>
          </w:p>
        </w:tc>
        <w:tc>
          <w:tcPr>
            <w:tcW w:w="19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Committed Lender</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$50,000,000</w:t>
            </w:r>
          </w:p>
        </w:tc>
        <w:tc>
          <w:tcPr>
            <w:tcW w:w="1480" w:type="dxa"/>
            <w:vAlign w:val="bottom"/>
            <w:tcBorders>
              <w:bottom w:val="single" w:sz="8" w:color="auto"/>
              <w:right w:val="single" w:sz="8" w:color="auto"/>
            </w:tcBorders>
          </w:tcPr>
          <w:p>
            <w:pPr>
              <w:spacing w:after="0"/>
              <w:rPr>
                <w:sz w:val="19"/>
                <w:szCs w:val="19"/>
                <w:color w:val="auto"/>
              </w:rPr>
            </w:pPr>
          </w:p>
        </w:tc>
      </w:tr>
      <w:tr>
        <w:trPr>
          <w:trHeight w:val="223"/>
        </w:trPr>
        <w:tc>
          <w:tcPr>
            <w:tcW w:w="100" w:type="dxa"/>
            <w:vAlign w:val="bottom"/>
            <w:tcBorders>
              <w:left w:val="single" w:sz="8" w:color="auto"/>
              <w:bottom w:val="single" w:sz="8" w:color="auto"/>
            </w:tcBorders>
          </w:tcPr>
          <w:p>
            <w:pPr>
              <w:spacing w:after="0"/>
              <w:rPr>
                <w:sz w:val="19"/>
                <w:szCs w:val="19"/>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Mizuho</w:t>
            </w:r>
          </w:p>
        </w:tc>
        <w:tc>
          <w:tcPr>
            <w:tcW w:w="19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Group Agent</w:t>
            </w:r>
          </w:p>
        </w:tc>
        <w:tc>
          <w:tcPr>
            <w:tcW w:w="8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 xml:space="preserve">Amendment 1 to RFA (Integra) </w:t>
      </w:r>
      <w:r>
        <w:rPr>
          <w:rFonts w:ascii="Arial" w:cs="Arial" w:eastAsia="Arial" w:hAnsi="Arial"/>
          <w:sz w:val="18"/>
          <w:szCs w:val="18"/>
          <w:color w:val="auto"/>
        </w:rPr>
        <w:t>Exh. B-1</w:t>
      </w:r>
    </w:p>
    <w:p>
      <w:pPr>
        <w:sectPr>
          <w:pgSz w:w="11900" w:h="16838" w:orient="portrait"/>
          <w:cols w:equalWidth="0" w:num="1">
            <w:col w:w="11260"/>
          </w:cols>
          <w:pgMar w:left="320" w:top="1151" w:right="319" w:bottom="1440" w:gutter="0" w:footer="0" w:header="0"/>
        </w:sectPr>
      </w:pPr>
    </w:p>
    <w:bookmarkStart w:id="89" w:name="page90"/>
    <w:bookmarkEnd w:id="89"/>
    <w:p>
      <w:pPr>
        <w:ind w:left="8672"/>
        <w:spacing w:after="0"/>
        <w:rPr>
          <w:sz w:val="20"/>
          <w:szCs w:val="20"/>
          <w:color w:val="auto"/>
        </w:rPr>
      </w:pPr>
      <w:r>
        <w:rPr>
          <w:rFonts w:ascii="Arial" w:cs="Arial" w:eastAsia="Arial" w:hAnsi="Arial"/>
          <w:sz w:val="16"/>
          <w:szCs w:val="16"/>
          <w:color w:val="auto"/>
        </w:rPr>
        <w:t>Exhibit B to Amendment 1 to RFA</w:t>
      </w:r>
    </w:p>
    <w:p>
      <w:pPr>
        <w:spacing w:after="0" w:line="46" w:lineRule="exact"/>
        <w:rPr>
          <w:sz w:val="20"/>
          <w:szCs w:val="20"/>
          <w:color w:val="auto"/>
        </w:rPr>
      </w:pPr>
    </w:p>
    <w:p>
      <w:pPr>
        <w:ind w:left="4992"/>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ind w:left="4952"/>
        <w:spacing w:after="0"/>
        <w:rPr>
          <w:sz w:val="20"/>
          <w:szCs w:val="20"/>
          <w:color w:val="auto"/>
        </w:rPr>
      </w:pPr>
      <w:r>
        <w:rPr>
          <w:rFonts w:ascii="Arial" w:cs="Arial" w:eastAsia="Arial" w:hAnsi="Arial"/>
          <w:sz w:val="18"/>
          <w:szCs w:val="18"/>
          <w:b w:val="1"/>
          <w:bCs w:val="1"/>
          <w:color w:val="auto"/>
        </w:rPr>
        <w:t>Notice Addresses</w:t>
      </w:r>
    </w:p>
    <w:p>
      <w:pPr>
        <w:spacing w:after="0" w:line="305" w:lineRule="exact"/>
        <w:rPr>
          <w:sz w:val="20"/>
          <w:szCs w:val="20"/>
          <w:color w:val="auto"/>
        </w:rPr>
      </w:pPr>
    </w:p>
    <w:p>
      <w:pPr>
        <w:ind w:left="632" w:hanging="632"/>
        <w:spacing w:after="0"/>
        <w:tabs>
          <w:tab w:leader="none" w:pos="6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the Borrower, at the following address:</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Integra Receivables LLC</w:t>
      </w:r>
    </w:p>
    <w:p>
      <w:pPr>
        <w:spacing w:after="0" w:line="23" w:lineRule="exact"/>
        <w:rPr>
          <w:sz w:val="20"/>
          <w:szCs w:val="20"/>
          <w:color w:val="auto"/>
        </w:rPr>
      </w:pPr>
    </w:p>
    <w:p>
      <w:pPr>
        <w:ind w:left="1292" w:right="7720" w:firstLine="4"/>
        <w:spacing w:after="0" w:line="288" w:lineRule="auto"/>
        <w:tabs>
          <w:tab w:leader="none" w:pos="1665" w:val="left"/>
        </w:tabs>
        <w:numPr>
          <w:ilvl w:val="1"/>
          <w:numId w:val="69"/>
        </w:numPr>
        <w:rPr>
          <w:rFonts w:ascii="Arial" w:cs="Arial" w:eastAsia="Arial" w:hAnsi="Arial"/>
          <w:sz w:val="16"/>
          <w:szCs w:val="16"/>
          <w:color w:val="auto"/>
        </w:rPr>
      </w:pPr>
      <w:r>
        <w:rPr>
          <w:rFonts w:ascii="Arial" w:cs="Arial" w:eastAsia="Arial" w:hAnsi="Arial"/>
          <w:sz w:val="16"/>
          <w:szCs w:val="16"/>
          <w:color w:val="auto"/>
        </w:rPr>
        <w:t>Enterprise Drive Plainsboro, New Jersey 08536 Attention: Sravan Emany Telephone: 609-936-2488 Facsimile: 609-750-4245</w:t>
      </w:r>
    </w:p>
    <w:p>
      <w:pPr>
        <w:spacing w:after="0" w:line="3" w:lineRule="exact"/>
        <w:rPr>
          <w:rFonts w:ascii="Arial" w:cs="Arial" w:eastAsia="Arial" w:hAnsi="Arial"/>
          <w:sz w:val="16"/>
          <w:szCs w:val="16"/>
          <w:color w:val="auto"/>
        </w:rPr>
      </w:pPr>
    </w:p>
    <w:p>
      <w:pPr>
        <w:ind w:left="1292"/>
        <w:spacing w:after="0"/>
        <w:rPr>
          <w:rFonts w:ascii="Arial" w:cs="Arial" w:eastAsia="Arial" w:hAnsi="Arial"/>
          <w:sz w:val="16"/>
          <w:szCs w:val="16"/>
          <w:color w:val="auto"/>
        </w:rPr>
      </w:pPr>
      <w:r>
        <w:rPr>
          <w:rFonts w:ascii="Arial" w:cs="Arial" w:eastAsia="Arial" w:hAnsi="Arial"/>
          <w:sz w:val="18"/>
          <w:szCs w:val="18"/>
          <w:color w:val="auto"/>
        </w:rPr>
        <w:t>Email: sravan.emany@integralife.com</w:t>
      </w:r>
    </w:p>
    <w:p>
      <w:pPr>
        <w:spacing w:after="0" w:line="197" w:lineRule="exact"/>
        <w:rPr>
          <w:rFonts w:ascii="Arial" w:cs="Arial" w:eastAsia="Arial" w:hAnsi="Arial"/>
          <w:sz w:val="16"/>
          <w:szCs w:val="16"/>
          <w:color w:val="auto"/>
        </w:rPr>
      </w:pPr>
    </w:p>
    <w:p>
      <w:pPr>
        <w:ind w:left="652" w:hanging="652"/>
        <w:spacing w:after="0"/>
        <w:tabs>
          <w:tab w:leader="none" w:pos="6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case of the Servicer, at the following address:</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Integra LifeSciences Sales LLC</w:t>
      </w:r>
    </w:p>
    <w:p>
      <w:pPr>
        <w:spacing w:after="0" w:line="23" w:lineRule="exact"/>
        <w:rPr>
          <w:sz w:val="20"/>
          <w:szCs w:val="20"/>
          <w:color w:val="auto"/>
        </w:rPr>
      </w:pPr>
    </w:p>
    <w:p>
      <w:pPr>
        <w:jc w:val="both"/>
        <w:ind w:left="1292" w:right="8060" w:firstLine="4"/>
        <w:spacing w:after="0" w:line="288" w:lineRule="auto"/>
        <w:tabs>
          <w:tab w:leader="none" w:pos="1665" w:val="left"/>
        </w:tabs>
        <w:numPr>
          <w:ilvl w:val="1"/>
          <w:numId w:val="70"/>
        </w:numPr>
        <w:rPr>
          <w:rFonts w:ascii="Arial" w:cs="Arial" w:eastAsia="Arial" w:hAnsi="Arial"/>
          <w:sz w:val="16"/>
          <w:szCs w:val="16"/>
          <w:color w:val="auto"/>
        </w:rPr>
      </w:pPr>
      <w:r>
        <w:rPr>
          <w:rFonts w:ascii="Arial" w:cs="Arial" w:eastAsia="Arial" w:hAnsi="Arial"/>
          <w:sz w:val="16"/>
          <w:szCs w:val="16"/>
          <w:color w:val="auto"/>
        </w:rPr>
        <w:t>Enterprise Drive Plainsboro, NJ 08536 Attention: Sravan Emany Telephone: 609-936-2488 Facsimile: 609-750-4245</w:t>
      </w:r>
    </w:p>
    <w:p>
      <w:pPr>
        <w:spacing w:after="0" w:line="3" w:lineRule="exact"/>
        <w:rPr>
          <w:rFonts w:ascii="Arial" w:cs="Arial" w:eastAsia="Arial" w:hAnsi="Arial"/>
          <w:sz w:val="16"/>
          <w:szCs w:val="16"/>
          <w:color w:val="auto"/>
        </w:rPr>
      </w:pPr>
    </w:p>
    <w:p>
      <w:pPr>
        <w:ind w:left="1292"/>
        <w:spacing w:after="0"/>
        <w:rPr>
          <w:rFonts w:ascii="Arial" w:cs="Arial" w:eastAsia="Arial" w:hAnsi="Arial"/>
          <w:sz w:val="16"/>
          <w:szCs w:val="16"/>
          <w:color w:val="auto"/>
        </w:rPr>
      </w:pPr>
      <w:r>
        <w:rPr>
          <w:rFonts w:ascii="Arial" w:cs="Arial" w:eastAsia="Arial" w:hAnsi="Arial"/>
          <w:sz w:val="18"/>
          <w:szCs w:val="18"/>
          <w:color w:val="auto"/>
        </w:rPr>
        <w:t>Email: sravan.emany@integralife.com</w:t>
      </w:r>
    </w:p>
    <w:p>
      <w:pPr>
        <w:spacing w:after="0" w:line="210" w:lineRule="exact"/>
        <w:rPr>
          <w:rFonts w:ascii="Arial" w:cs="Arial" w:eastAsia="Arial" w:hAnsi="Arial"/>
          <w:sz w:val="16"/>
          <w:szCs w:val="16"/>
          <w:color w:val="auto"/>
        </w:rPr>
      </w:pPr>
    </w:p>
    <w:p>
      <w:pPr>
        <w:ind w:left="652" w:hanging="652"/>
        <w:spacing w:after="0"/>
        <w:tabs>
          <w:tab w:leader="none" w:pos="6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 PNC or the Administrative Agent, at the following address:</w:t>
      </w:r>
    </w:p>
    <w:p>
      <w:pPr>
        <w:spacing w:after="0" w:line="212"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300 Fifth Avenue</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Pittsburgh, PA 15222</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Attention: Robyn Reeher</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Telephone: (412) 768-3090</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Facsimile: (412) 762-9184</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Email: robyn.reeher@pnc.com</w:t>
      </w:r>
    </w:p>
    <w:p>
      <w:pPr>
        <w:spacing w:after="0" w:line="197" w:lineRule="exact"/>
        <w:rPr>
          <w:sz w:val="20"/>
          <w:szCs w:val="20"/>
          <w:color w:val="auto"/>
        </w:rPr>
      </w:pPr>
    </w:p>
    <w:p>
      <w:pPr>
        <w:ind w:left="632" w:hanging="632"/>
        <w:spacing w:after="0"/>
        <w:tabs>
          <w:tab w:leader="none" w:pos="6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Mizuho, at the following address:</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Mizuho Bank, Ltd.</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Attention: Johan Andreasson</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Telephone: (212)282-3544</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Email: johan.andreasson@mizuhogroup.com</w:t>
      </w:r>
    </w:p>
    <w:p>
      <w:pPr>
        <w:spacing w:after="0" w:line="211" w:lineRule="exact"/>
        <w:rPr>
          <w:sz w:val="20"/>
          <w:szCs w:val="20"/>
          <w:color w:val="auto"/>
        </w:rPr>
      </w:pPr>
    </w:p>
    <w:p>
      <w:pPr>
        <w:ind w:left="652" w:hanging="652"/>
        <w:spacing w:after="0" w:line="277" w:lineRule="auto"/>
        <w:tabs>
          <w:tab w:leader="none" w:pos="6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any other Person, at the address for such Person specified in the other Transaction Documents; in each case, or at such other address as shall be designated by such Person in a written notice to the other parties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172"/>
        <w:spacing w:after="0"/>
        <w:rPr>
          <w:sz w:val="20"/>
          <w:szCs w:val="20"/>
          <w:color w:val="auto"/>
        </w:rPr>
      </w:pPr>
      <w:r>
        <w:rPr>
          <w:rFonts w:ascii="Arial" w:cs="Arial" w:eastAsia="Arial" w:hAnsi="Arial"/>
          <w:sz w:val="18"/>
          <w:szCs w:val="18"/>
          <w:i w:val="1"/>
          <w:iCs w:val="1"/>
          <w:color w:val="auto"/>
        </w:rPr>
        <w:t xml:space="preserve">Amendment 1 to RFA (Integra) </w:t>
      </w:r>
      <w:r>
        <w:rPr>
          <w:rFonts w:ascii="Arial" w:cs="Arial" w:eastAsia="Arial" w:hAnsi="Arial"/>
          <w:sz w:val="18"/>
          <w:szCs w:val="18"/>
          <w:color w:val="auto"/>
        </w:rPr>
        <w:t>Exh. B-1</w:t>
      </w:r>
    </w:p>
    <w:p>
      <w:pPr>
        <w:sectPr>
          <w:pgSz w:w="11900" w:h="16838" w:orient="portrait"/>
          <w:cols w:equalWidth="0" w:num="1">
            <w:col w:w="11212"/>
          </w:cols>
          <w:pgMar w:left="328" w:top="773" w:right="35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7"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4"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7"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294"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715"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7"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294"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ind w:left="240"/>
              <w:spacing w:after="0"/>
              <w:rPr>
                <w:sz w:val="20"/>
                <w:szCs w:val="20"/>
                <w:color w:val="auto"/>
              </w:rPr>
            </w:pPr>
            <w:r>
              <w:rPr>
                <w:rFonts w:ascii="Arial" w:cs="Arial" w:eastAsia="Arial" w:hAnsi="Arial"/>
                <w:sz w:val="18"/>
                <w:szCs w:val="18"/>
                <w:color w:val="auto"/>
              </w:rPr>
              <w:t>July 29, 2021</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J. Arduini</w:t>
            </w:r>
          </w:p>
        </w:tc>
      </w:tr>
      <w:tr>
        <w:trPr>
          <w:trHeight w:val="222"/>
        </w:trPr>
        <w:tc>
          <w:tcPr>
            <w:tcW w:w="6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30"/>
        </w:trPr>
        <w:tc>
          <w:tcPr>
            <w:tcW w:w="6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Carrie L. Anderson, certify that:</w:t>
      </w:r>
    </w:p>
    <w:p>
      <w:pPr>
        <w:spacing w:after="0" w:line="117"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7"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4"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7"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294"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71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7"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294"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220"/>
              <w:spacing w:after="0"/>
              <w:rPr>
                <w:sz w:val="20"/>
                <w:szCs w:val="20"/>
                <w:color w:val="auto"/>
              </w:rPr>
            </w:pPr>
            <w:r>
              <w:rPr>
                <w:rFonts w:ascii="Arial" w:cs="Arial" w:eastAsia="Arial" w:hAnsi="Arial"/>
                <w:sz w:val="18"/>
                <w:szCs w:val="18"/>
                <w:color w:val="auto"/>
              </w:rPr>
              <w:t>July 29, 2021</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Carrie L. Anderson</w:t>
            </w:r>
          </w:p>
        </w:tc>
      </w:tr>
      <w:tr>
        <w:trPr>
          <w:trHeight w:val="222"/>
        </w:trPr>
        <w:tc>
          <w:tcPr>
            <w:tcW w:w="6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Carrie L. Anderson</w:t>
            </w:r>
          </w:p>
        </w:tc>
      </w:tr>
      <w:tr>
        <w:trPr>
          <w:trHeight w:val="176"/>
        </w:trPr>
        <w:tc>
          <w:tcPr>
            <w:tcW w:w="6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Executive Vice President, Chief Financial Officer, and</w:t>
            </w:r>
          </w:p>
        </w:tc>
      </w:tr>
      <w:tr>
        <w:trPr>
          <w:trHeight w:val="230"/>
        </w:trPr>
        <w:tc>
          <w:tcPr>
            <w:tcW w:w="6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Treasurer</w:t>
            </w:r>
          </w:p>
        </w:tc>
      </w:tr>
    </w:tbl>
    <w:p>
      <w:pPr>
        <w:sectPr>
          <w:pgSz w:w="11900" w:h="16838" w:orient="portrait"/>
          <w:cols w:equalWidth="0" w:num="1">
            <w:col w:w="11240"/>
          </w:cols>
          <w:pgMar w:left="320" w:top="89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2021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ind w:left="140"/>
              <w:spacing w:after="0"/>
              <w:rPr>
                <w:sz w:val="20"/>
                <w:szCs w:val="20"/>
                <w:color w:val="auto"/>
              </w:rPr>
            </w:pPr>
            <w:r>
              <w:rPr>
                <w:rFonts w:ascii="Arial" w:cs="Arial" w:eastAsia="Arial" w:hAnsi="Arial"/>
                <w:sz w:val="18"/>
                <w:szCs w:val="18"/>
                <w:color w:val="auto"/>
              </w:rPr>
              <w:t>July 29, 2021</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J. Arduini</w:t>
            </w:r>
          </w:p>
        </w:tc>
      </w:tr>
      <w:tr>
        <w:trPr>
          <w:trHeight w:val="222"/>
        </w:trPr>
        <w:tc>
          <w:tcPr>
            <w:tcW w:w="5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30"/>
        </w:trPr>
        <w:tc>
          <w:tcPr>
            <w:tcW w:w="5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Carrie L. Anderson,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2021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Pr>
          <w:p>
            <w:pPr>
              <w:ind w:left="140"/>
              <w:spacing w:after="0"/>
              <w:rPr>
                <w:sz w:val="20"/>
                <w:szCs w:val="20"/>
                <w:color w:val="auto"/>
              </w:rPr>
            </w:pPr>
            <w:r>
              <w:rPr>
                <w:rFonts w:ascii="Arial" w:cs="Arial" w:eastAsia="Arial" w:hAnsi="Arial"/>
                <w:sz w:val="18"/>
                <w:szCs w:val="18"/>
                <w:color w:val="auto"/>
              </w:rPr>
              <w:t>July 29, 2021</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Carrie L. Anderson</w:t>
            </w:r>
          </w:p>
        </w:tc>
      </w:tr>
      <w:tr>
        <w:trPr>
          <w:trHeight w:val="222"/>
        </w:trPr>
        <w:tc>
          <w:tcPr>
            <w:tcW w:w="5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Carrie L. Anderson</w:t>
            </w:r>
          </w:p>
        </w:tc>
      </w:tr>
      <w:tr>
        <w:trPr>
          <w:trHeight w:val="176"/>
        </w:trPr>
        <w:tc>
          <w:tcPr>
            <w:tcW w:w="5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Executive Vice President, Chief Financial Officer, and</w:t>
            </w:r>
          </w:p>
        </w:tc>
      </w:tr>
      <w:tr>
        <w:trPr>
          <w:trHeight w:val="230"/>
        </w:trPr>
        <w:tc>
          <w:tcPr>
            <w:tcW w:w="5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Treasurer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1)"/>
      <w:numFmt w:val="decimal"/>
      <w:start w:val="1"/>
    </w:lvl>
  </w:abstractNum>
  <w:abstractNum w:abstractNumId="4">
    <w:nsid w:val="580BD78F"/>
    <w:multiLevelType w:val="hybridMultilevel"/>
    <w:lvl w:ilvl="0">
      <w:lvlJc w:val="left"/>
      <w:lvlText w:val="%1."/>
      <w:numFmt w:val="lowerRoman"/>
      <w:start w:val="1"/>
    </w:lvl>
    <w:lvl w:ilvl="1">
      <w:lvlJc w:val="left"/>
      <w:lvlText w:val="%2."/>
      <w:numFmt w:val="decimal"/>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1)"/>
      <w:numFmt w:val="decimal"/>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lvl w:ilvl="1">
      <w:lvlJc w:val="left"/>
      <w:lvlText w:val="#"/>
      <w:numFmt w:val="bullet"/>
      <w:start w:val="1"/>
    </w:lvl>
    <w:lvl w:ilvl="2">
      <w:lvlJc w:val="left"/>
      <w:lvlText w:val="(%3)"/>
      <w:numFmt w:val="lowerRoman"/>
      <w:start w:val="4"/>
    </w:lvl>
  </w:abstractNum>
  <w:abstractNum w:abstractNumId="12">
    <w:nsid w:val="2CD89A32"/>
    <w:multiLevelType w:val="hybridMultilevel"/>
    <w:lvl w:ilvl="0">
      <w:lvlJc w:val="left"/>
      <w:lvlText w:val="(%1)"/>
      <w:numFmt w:val="lowerLetter"/>
      <w:start w:val="1"/>
    </w:lvl>
  </w:abstractNum>
  <w:abstractNum w:abstractNumId="13">
    <w:nsid w:val="57E4CCAF"/>
    <w:multiLevelType w:val="hybridMultilevel"/>
    <w:lvl w:ilvl="0">
      <w:lvlJc w:val="left"/>
      <w:lvlText w:val="(%1)"/>
      <w:numFmt w:val="lowerLetter"/>
      <w:start w:val="2"/>
    </w:lvl>
    <w:lvl w:ilvl="1">
      <w:lvlJc w:val="left"/>
      <w:lvlText w:val="(%2)"/>
      <w:numFmt w:val="lowerLetter"/>
      <w:start w:val="2"/>
    </w:lvl>
  </w:abstractNum>
  <w:abstractNum w:abstractNumId="14">
    <w:nsid w:val="7A6D8D3C"/>
    <w:multiLevelType w:val="hybridMultilevel"/>
    <w:lvl w:ilvl="0">
      <w:lvlJc w:val="left"/>
      <w:lvlText w:val="(%1)"/>
      <w:numFmt w:val="lowerLetter"/>
      <w:start w:val="4"/>
    </w:lvl>
  </w:abstractNum>
  <w:abstractNum w:abstractNumId="15">
    <w:nsid w:val="4B588F54"/>
    <w:multiLevelType w:val="hybridMultilevel"/>
    <w:lvl w:ilvl="0">
      <w:lvlJc w:val="left"/>
      <w:lvlText w:val="(%1)"/>
      <w:numFmt w:val="lowerLetter"/>
      <w:start w:val="1"/>
    </w:lvl>
  </w:abstractNum>
  <w:abstractNum w:abstractNumId="16">
    <w:nsid w:val="542289EC"/>
    <w:multiLevelType w:val="hybridMultilevel"/>
    <w:lvl w:ilvl="0">
      <w:lvlJc w:val="left"/>
      <w:lvlText w:val="(%1)"/>
      <w:numFmt w:val="lowerLetter"/>
      <w:start w:val="3"/>
    </w:lvl>
  </w:abstractNum>
  <w:abstractNum w:abstractNumId="17">
    <w:nsid w:val="6DE91B18"/>
    <w:multiLevelType w:val="hybridMultilevel"/>
    <w:lvl w:ilvl="0">
      <w:lvlJc w:val="left"/>
      <w:lvlText w:val="(%1)"/>
      <w:numFmt w:val="lowerLetter"/>
      <w:start w:val="6"/>
    </w:lvl>
  </w:abstractNum>
  <w:abstractNum w:abstractNumId="18">
    <w:nsid w:val="38437FDB"/>
    <w:multiLevelType w:val="hybridMultilevel"/>
    <w:lvl w:ilvl="0">
      <w:lvlJc w:val="left"/>
      <w:lvlText w:val="(%1)"/>
      <w:numFmt w:val="lowerLetter"/>
      <w:start w:val="7"/>
    </w:lvl>
  </w:abstractNum>
  <w:abstractNum w:abstractNumId="19">
    <w:nsid w:val="7644A45C"/>
    <w:multiLevelType w:val="hybridMultilevel"/>
    <w:lvl w:ilvl="0">
      <w:lvlJc w:val="left"/>
      <w:lvlText w:val="(%1)"/>
      <w:numFmt w:val="lowerRoman"/>
      <w:start w:val="10"/>
    </w:lvl>
  </w:abstractNum>
  <w:abstractNum w:abstractNumId="20">
    <w:nsid w:val="32FFF902"/>
    <w:multiLevelType w:val="hybridMultilevel"/>
    <w:lvl w:ilvl="0">
      <w:lvlJc w:val="left"/>
      <w:lvlText w:val="(%1)"/>
      <w:numFmt w:val="decimal"/>
      <w:start w:val="1"/>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1"/>
      <w:numFmt w:val="decimal"/>
      <w:start w:val="1"/>
    </w:lvl>
    <w:lvl w:ilvl="1">
      <w:lvlJc w:val="left"/>
      <w:lvlText w:val="(%2)"/>
      <w:numFmt w:val="lowerLetter"/>
      <w:start w:val="1"/>
    </w:lvl>
  </w:abstractNum>
  <w:abstractNum w:abstractNumId="23">
    <w:nsid w:val="749ABB43"/>
    <w:multiLevelType w:val="hybridMultilevel"/>
    <w:lvl w:ilvl="0">
      <w:lvlJc w:val="left"/>
      <w:lvlText w:val="(%1)"/>
      <w:numFmt w:val="decimal"/>
      <w:start w:val="2"/>
    </w:lvl>
    <w:lvl w:ilvl="1">
      <w:lvlJc w:val="left"/>
      <w:lvlText w:val="%2"/>
      <w:numFmt w:val="lowerLetter"/>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1)"/>
      <w:numFmt w:val="decimal"/>
      <w:start w:val="2"/>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decimal"/>
      <w:start w:val="2"/>
    </w:lvl>
  </w:abstractNum>
  <w:abstractNum w:abstractNumId="29">
    <w:nsid w:val="70C6A529"/>
    <w:multiLevelType w:val="hybridMultilevel"/>
    <w:lvl w:ilvl="0">
      <w:lvlJc w:val="left"/>
      <w:lvlText w:val="(%1)"/>
      <w:numFmt w:val="lowerLetter"/>
      <w:start w:val="5"/>
    </w:lvl>
  </w:abstractNum>
  <w:abstractNum w:abstractNumId="30">
    <w:nsid w:val="520EEDD1"/>
    <w:multiLevelType w:val="hybridMultilevel"/>
    <w:lvl w:ilvl="0">
      <w:lvlJc w:val="left"/>
      <w:lvlText w:val="(%1)"/>
      <w:numFmt w:val="lowerLetter"/>
      <w:start w:val="1"/>
    </w:lvl>
  </w:abstractNum>
  <w:abstractNum w:abstractNumId="31">
    <w:nsid w:val="374A3FE6"/>
    <w:multiLevelType w:val="hybridMultilevel"/>
    <w:lvl w:ilvl="0">
      <w:lvlJc w:val="left"/>
      <w:lvlText w:val="(%1)"/>
      <w:numFmt w:val="lowerLetter"/>
      <w:start w:val="6"/>
    </w:lvl>
  </w:abstractNum>
  <w:abstractNum w:abstractNumId="32">
    <w:nsid w:val="4F4EF005"/>
    <w:multiLevelType w:val="hybridMultilevel"/>
    <w:lvl w:ilvl="0">
      <w:lvlJc w:val="left"/>
      <w:lvlText w:val="(%1)"/>
      <w:numFmt w:val="lowerLetter"/>
      <w:start w:val="7"/>
    </w:lvl>
  </w:abstractNum>
  <w:abstractNum w:abstractNumId="33">
    <w:nsid w:val="23F9C13C"/>
    <w:multiLevelType w:val="hybridMultilevel"/>
    <w:lvl w:ilvl="0">
      <w:lvlJc w:val="left"/>
      <w:lvlText w:val="(%1)"/>
      <w:numFmt w:val="lowerLetter"/>
      <w:start w:val="2"/>
    </w:lvl>
  </w:abstractNum>
  <w:abstractNum w:abstractNumId="34">
    <w:nsid w:val="649BB77C"/>
    <w:multiLevelType w:val="hybridMultilevel"/>
    <w:lvl w:ilvl="0">
      <w:lvlJc w:val="left"/>
      <w:lvlText w:val="(%1)"/>
      <w:numFmt w:val="lowerLetter"/>
      <w:start w:val="1"/>
    </w:lvl>
  </w:abstractNum>
  <w:abstractNum w:abstractNumId="35">
    <w:nsid w:val="275AC794"/>
    <w:multiLevelType w:val="hybridMultilevel"/>
    <w:lvl w:ilvl="0">
      <w:lvlJc w:val="left"/>
      <w:lvlText w:val="(%1)"/>
      <w:numFmt w:val="upperLetter"/>
      <w:start w:val="1"/>
    </w:lvl>
  </w:abstractNum>
  <w:abstractNum w:abstractNumId="36">
    <w:nsid w:val="39386575"/>
    <w:multiLevelType w:val="hybridMultilevel"/>
    <w:lvl w:ilvl="0">
      <w:lvlJc w:val="left"/>
      <w:lvlText w:val="(%1)"/>
      <w:numFmt w:val="upperLetter"/>
      <w:start w:val="1"/>
    </w:lvl>
    <w:lvl w:ilvl="1">
      <w:lvlJc w:val="left"/>
      <w:lvlText w:val="•"/>
      <w:numFmt w:val="bullet"/>
      <w:start w:val="1"/>
    </w:lvl>
  </w:abstractNum>
  <w:abstractNum w:abstractNumId="37">
    <w:nsid w:val="1CF10FD8"/>
    <w:multiLevelType w:val="hybridMultilevel"/>
    <w:lvl w:ilvl="0">
      <w:lvlJc w:val="left"/>
      <w:lvlText w:val="(%1)"/>
      <w:numFmt w:val="upperLetter"/>
      <w:start w:val="2"/>
    </w:lvl>
    <w:lvl w:ilvl="1">
      <w:lvlJc w:val="left"/>
      <w:lvlText w:val="•"/>
      <w:numFmt w:val="bullet"/>
      <w:start w:val="1"/>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lowerLetter"/>
      <w:start w:val="2"/>
    </w:lvl>
  </w:abstractNum>
  <w:abstractNum w:abstractNumId="40">
    <w:nsid w:val="47398C89"/>
    <w:multiLevelType w:val="hybridMultilevel"/>
    <w:lvl w:ilvl="0">
      <w:lvlJc w:val="left"/>
      <w:lvlText w:val="(%1)"/>
      <w:numFmt w:val="lowerLetter"/>
      <w:start w:val="3"/>
    </w:lvl>
  </w:abstractNum>
  <w:abstractNum w:abstractNumId="41">
    <w:nsid w:val="354FE9F9"/>
    <w:multiLevelType w:val="hybridMultilevel"/>
    <w:lvl w:ilvl="0">
      <w:lvlJc w:val="left"/>
      <w:lvlText w:val="(%1)"/>
      <w:numFmt w:val="lowerLetter"/>
      <w:start w:val="1"/>
    </w:lvl>
  </w:abstractNum>
  <w:abstractNum w:abstractNumId="42">
    <w:nsid w:val="15B5AF5C"/>
    <w:multiLevelType w:val="hybridMultilevel"/>
    <w:lvl w:ilvl="0">
      <w:lvlJc w:val="left"/>
      <w:lvlText w:val="(%1)"/>
      <w:numFmt w:val="lowerLetter"/>
      <w:start w:val="4"/>
    </w:lvl>
    <w:lvl w:ilvl="1">
      <w:lvlJc w:val="left"/>
      <w:lvlText w:val="(%2)"/>
      <w:numFmt w:val="lowerLetter"/>
      <w:start w:val="1"/>
    </w:lvl>
  </w:abstractNum>
  <w:abstractNum w:abstractNumId="43">
    <w:nsid w:val="741226BB"/>
    <w:multiLevelType w:val="hybridMultilevel"/>
    <w:lvl w:ilvl="0">
      <w:lvlJc w:val="left"/>
      <w:lvlText w:val="%1"/>
      <w:numFmt w:val="lowerLetter"/>
      <w:start w:val="1"/>
    </w:lvl>
    <w:lvl w:ilvl="1">
      <w:lvlJc w:val="left"/>
      <w:lvlText w:val="(%2)"/>
      <w:numFmt w:val="lowerLetter"/>
      <w:start w:val="2"/>
    </w:lvl>
  </w:abstractNum>
  <w:abstractNum w:abstractNumId="44">
    <w:nsid w:val="D34B6A8"/>
    <w:multiLevelType w:val="hybridMultilevel"/>
    <w:lvl w:ilvl="0">
      <w:lvlJc w:val="left"/>
      <w:lvlText w:val="(%1)"/>
      <w:numFmt w:val="lowerLetter"/>
      <w:start w:val="6"/>
    </w:lvl>
    <w:lvl w:ilvl="1">
      <w:lvlJc w:val="left"/>
      <w:lvlText w:val="%2"/>
      <w:numFmt w:val="lowerLetter"/>
      <w:start w:val="1"/>
    </w:lvl>
  </w:abstractNum>
  <w:abstractNum w:abstractNumId="45">
    <w:nsid w:val="10233C99"/>
    <w:multiLevelType w:val="hybridMultilevel"/>
    <w:lvl w:ilvl="0">
      <w:lvlJc w:val="left"/>
      <w:lvlText w:val="%1"/>
      <w:numFmt w:val="lowerLetter"/>
      <w:start w:val="1"/>
    </w:lvl>
    <w:lvl w:ilvl="1">
      <w:lvlJc w:val="left"/>
      <w:lvlText w:val="(%2)"/>
      <w:numFmt w:val="lowerLetter"/>
      <w:start w:val="1"/>
    </w:lvl>
  </w:abstractNum>
  <w:abstractNum w:abstractNumId="46">
    <w:nsid w:val="3F6AB60F"/>
    <w:multiLevelType w:val="hybridMultilevel"/>
    <w:lvl w:ilvl="0">
      <w:lvlJc w:val="left"/>
      <w:lvlText w:val="(%1)"/>
      <w:numFmt w:val="lowerLetter"/>
      <w:start w:val="9"/>
    </w:lvl>
    <w:lvl w:ilvl="1">
      <w:lvlJc w:val="left"/>
      <w:lvlText w:val="(%2)"/>
      <w:numFmt w:val="lowerLetter"/>
      <w:start w:val="2"/>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1)"/>
      <w:numFmt w:val="decimal"/>
      <w:start w:val="2"/>
    </w:lvl>
  </w:abstractNum>
  <w:abstractNum w:abstractNumId="51">
    <w:nsid w:val="310C50B3"/>
    <w:multiLevelType w:val="hybridMultilevel"/>
    <w:lvl w:ilvl="0">
      <w:lvlJc w:val="left"/>
      <w:lvlText w:val="(%1)"/>
      <w:numFmt w:val="lowerLetter"/>
      <w:start w:val="8"/>
    </w:lvl>
  </w:abstractNum>
  <w:abstractNum w:abstractNumId="52">
    <w:nsid w:val="5FF87E05"/>
    <w:multiLevelType w:val="hybridMultilevel"/>
    <w:lvl w:ilvl="0">
      <w:lvlJc w:val="left"/>
      <w:lvlText w:val="(%1)"/>
      <w:numFmt w:val="lowerRoman"/>
      <w:start w:val="1"/>
    </w:lvl>
  </w:abstractNum>
  <w:abstractNum w:abstractNumId="53">
    <w:nsid w:val="2F305DEF"/>
    <w:multiLevelType w:val="hybridMultilevel"/>
    <w:lvl w:ilvl="0">
      <w:lvlJc w:val="left"/>
      <w:lvlText w:val="(%1)"/>
      <w:numFmt w:val="lowerLetter"/>
      <w:start w:val="10"/>
    </w:lvl>
  </w:abstractNum>
  <w:abstractNum w:abstractNumId="54">
    <w:nsid w:val="25A70BF7"/>
    <w:multiLevelType w:val="hybridMultilevel"/>
    <w:lvl w:ilvl="0">
      <w:lvlJc w:val="left"/>
      <w:lvlText w:val="(%1)"/>
      <w:numFmt w:val="lowerLetter"/>
      <w:start w:val="6"/>
    </w:lvl>
  </w:abstractNum>
  <w:abstractNum w:abstractNumId="55">
    <w:nsid w:val="1DBABF00"/>
    <w:multiLevelType w:val="hybridMultilevel"/>
    <w:lvl w:ilvl="0">
      <w:lvlJc w:val="left"/>
      <w:lvlText w:val="(%1)"/>
      <w:numFmt w:val="lowerLetter"/>
      <w:start w:val="2"/>
    </w:lvl>
  </w:abstractNum>
  <w:abstractNum w:abstractNumId="56">
    <w:nsid w:val="4AD084E9"/>
    <w:multiLevelType w:val="hybridMultilevel"/>
    <w:lvl w:ilvl="0">
      <w:lvlJc w:val="left"/>
      <w:lvlText w:val="(%1)"/>
      <w:numFmt w:val="lowerLetter"/>
      <w:start w:val="1"/>
    </w:lvl>
  </w:abstractNum>
  <w:abstractNum w:abstractNumId="57">
    <w:nsid w:val="1F48EAA1"/>
    <w:multiLevelType w:val="hybridMultilevel"/>
    <w:lvl w:ilvl="0">
      <w:lvlJc w:val="left"/>
      <w:lvlText w:val="(%1)"/>
      <w:numFmt w:val="lowerLetter"/>
      <w:start w:val="1"/>
    </w:lvl>
  </w:abstractNum>
  <w:abstractNum w:abstractNumId="58">
    <w:nsid w:val="1381823A"/>
    <w:multiLevelType w:val="hybridMultilevel"/>
    <w:lvl w:ilvl="0">
      <w:lvlJc w:val="left"/>
      <w:lvlText w:val="(%1)"/>
      <w:numFmt w:val="lowerLetter"/>
      <w:start w:val="2"/>
    </w:lvl>
  </w:abstractNum>
  <w:abstractNum w:abstractNumId="59">
    <w:nsid w:val="5DB70AE5"/>
    <w:multiLevelType w:val="hybridMultilevel"/>
    <w:lvl w:ilvl="0">
      <w:lvlJc w:val="left"/>
      <w:lvlText w:val="(%1)"/>
      <w:numFmt w:val="lowerLetter"/>
      <w:start w:val="3"/>
    </w:lvl>
  </w:abstractNum>
  <w:abstractNum w:abstractNumId="60">
    <w:nsid w:val="100F8FCA"/>
    <w:multiLevelType w:val="hybridMultilevel"/>
    <w:lvl w:ilvl="0">
      <w:lvlJc w:val="left"/>
      <w:lvlText w:val="%1"/>
      <w:numFmt w:val="lowerLetter"/>
      <w:start w:val="1"/>
    </w:lvl>
    <w:lvl w:ilvl="1">
      <w:lvlJc w:val="left"/>
      <w:lvlText w:val="(%2)"/>
      <w:numFmt w:val="lowerLetter"/>
      <w:start w:val="8"/>
    </w:lvl>
  </w:abstractNum>
  <w:abstractNum w:abstractNumId="61">
    <w:nsid w:val="6590700B"/>
    <w:multiLevelType w:val="hybridMultilevel"/>
    <w:lvl w:ilvl="0">
      <w:lvlJc w:val="left"/>
      <w:lvlText w:val="(%1)"/>
      <w:numFmt w:val="lowerLetter"/>
      <w:start w:val="5"/>
    </w:lvl>
    <w:lvl w:ilvl="1">
      <w:lvlJc w:val="left"/>
      <w:lvlText w:val="%2"/>
      <w:numFmt w:val="lowerLetter"/>
      <w:start w:val="1"/>
    </w:lvl>
  </w:abstractNum>
  <w:abstractNum w:abstractNumId="62">
    <w:nsid w:val="15014ACB"/>
    <w:multiLevelType w:val="hybridMultilevel"/>
    <w:lvl w:ilvl="0">
      <w:lvlJc w:val="left"/>
      <w:lvlText w:val="(%1)"/>
      <w:numFmt w:val="lowerLetter"/>
      <w:start w:val="6"/>
    </w:lvl>
  </w:abstractNum>
  <w:abstractNum w:abstractNumId="63">
    <w:nsid w:val="5F5E7FD0"/>
    <w:multiLevelType w:val="hybridMultilevel"/>
    <w:lvl w:ilvl="0">
      <w:lvlJc w:val="left"/>
      <w:lvlText w:val="(%1)"/>
      <w:numFmt w:val="lowerLetter"/>
      <w:start w:val="7"/>
    </w:lvl>
  </w:abstractNum>
  <w:abstractNum w:abstractNumId="64">
    <w:nsid w:val="98A3148"/>
    <w:multiLevelType w:val="hybridMultilevel"/>
    <w:lvl w:ilvl="0">
      <w:lvlJc w:val="left"/>
      <w:lvlText w:val="(%1)"/>
      <w:numFmt w:val="lowerLetter"/>
      <w:start w:val="2"/>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lowerLetter"/>
      <w:start w:val="2"/>
    </w:lvl>
  </w:abstractNum>
  <w:abstractNum w:abstractNumId="67">
    <w:nsid w:val="42C296BD"/>
    <w:multiLevelType w:val="hybridMultilevel"/>
    <w:lvl w:ilvl="0">
      <w:lvlJc w:val="left"/>
      <w:lvlText w:val="(%1)"/>
      <w:numFmt w:val="upperLetter"/>
      <w:start w:val="1"/>
    </w:lvl>
  </w:abstractNum>
  <w:abstractNum w:abstractNumId="68">
    <w:nsid w:val="168E121F"/>
    <w:multiLevelType w:val="hybridMultilevel"/>
    <w:lvl w:ilvl="0">
      <w:lvlJc w:val="left"/>
      <w:lvlText w:val="(%1)"/>
      <w:numFmt w:val="upperLetter"/>
      <w:start w:val="1"/>
    </w:lvl>
    <w:lvl w:ilvl="1">
      <w:lvlJc w:val="left"/>
      <w:lvlText w:val="•"/>
      <w:numFmt w:val="bullet"/>
      <w:start w:val="1"/>
    </w:lvl>
  </w:abstractNum>
  <w:abstractNum w:abstractNumId="69">
    <w:nsid w:val="1EBA5D23"/>
    <w:multiLevelType w:val="hybridMultilevel"/>
    <w:lvl w:ilvl="0">
      <w:lvlJc w:val="left"/>
      <w:lvlText w:val="(%1)"/>
      <w:numFmt w:val="upperLetter"/>
      <w:start w:val="2"/>
    </w:lvl>
    <w:lvl w:ilvl="1">
      <w:lvlJc w:val="left"/>
      <w:lvlText w:val="•"/>
      <w:numFmt w:val="bullet"/>
      <w:start w:val="1"/>
    </w:lvl>
  </w:abstractNum>
  <w:abstractNum w:abstractNumId="70">
    <w:nsid w:val="661E3F1E"/>
    <w:multiLevelType w:val="hybridMultilevel"/>
    <w:lvl w:ilvl="0">
      <w:lvlJc w:val="left"/>
      <w:lvlText w:val="(%1)"/>
      <w:numFmt w:val="upperLetter"/>
      <w:start w:val="4"/>
    </w:lvl>
  </w:abstractNum>
  <w:abstractNum w:abstractNumId="71">
    <w:nsid w:val="5DC79EA8"/>
    <w:multiLevelType w:val="hybridMultilevel"/>
    <w:lvl w:ilvl="0">
      <w:lvlJc w:val="left"/>
      <w:lvlText w:val="(%1)"/>
      <w:numFmt w:val="upperLetter"/>
      <w:start w:val="5"/>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2021-07-29T16:16:24Z</dcterms:created>
  <dcterms:modified xsi:type="dcterms:W3CDTF">2021-07-29T16:16:24Z</dcterms:modified>
</cp:coreProperties>
</file>