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July 28, 2011</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Integra LifeSciences Holdings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932"/>
              <w:spacing w:after="0"/>
              <w:rPr>
                <w:sz w:val="20"/>
                <w:szCs w:val="20"/>
                <w:color w:val="auto"/>
              </w:rPr>
            </w:pPr>
            <w:r>
              <w:rPr>
                <w:rFonts w:ascii="Arial" w:cs="Arial" w:eastAsia="Arial" w:hAnsi="Arial"/>
                <w:sz w:val="18"/>
                <w:szCs w:val="18"/>
                <w:color w:val="auto"/>
              </w:rPr>
              <w:t>000-26244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510317849</w:t>
            </w:r>
          </w:p>
        </w:tc>
      </w:tr>
      <w:tr>
        <w:trPr>
          <w:trHeight w:val="216"/>
        </w:trPr>
        <w:tc>
          <w:tcPr>
            <w:tcW w:w="3280" w:type="dxa"/>
            <w:vAlign w:val="bottom"/>
          </w:tcPr>
          <w:p>
            <w:pPr>
              <w:jc w:val="right"/>
              <w:ind w:right="65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80" w:type="dxa"/>
            <w:vAlign w:val="bottom"/>
          </w:tcPr>
          <w:p>
            <w:pPr>
              <w:jc w:val="center"/>
              <w:spacing w:after="0"/>
              <w:rPr>
                <w:sz w:val="20"/>
                <w:szCs w:val="20"/>
                <w:color w:val="auto"/>
              </w:rPr>
            </w:pPr>
            <w:r>
              <w:rPr>
                <w:rFonts w:ascii="Arial" w:cs="Arial" w:eastAsia="Arial" w:hAnsi="Arial"/>
                <w:sz w:val="18"/>
                <w:szCs w:val="18"/>
                <w:color w:val="auto"/>
                <w:w w:val="88"/>
              </w:rPr>
              <w:t>311 Enterprise Drive, Plainsboro, New Jersey</w:t>
            </w:r>
          </w:p>
        </w:tc>
        <w:tc>
          <w:tcPr>
            <w:tcW w:w="456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08536</w:t>
            </w:r>
          </w:p>
        </w:tc>
      </w:tr>
      <w:tr>
        <w:trPr>
          <w:trHeight w:val="216"/>
        </w:trPr>
        <w:tc>
          <w:tcPr>
            <w:tcW w:w="3280" w:type="dxa"/>
            <w:vAlign w:val="bottom"/>
          </w:tcPr>
          <w:p>
            <w:pPr>
              <w:jc w:val="right"/>
              <w:ind w:right="132"/>
              <w:spacing w:after="0"/>
              <w:rPr>
                <w:sz w:val="20"/>
                <w:szCs w:val="20"/>
                <w:color w:val="auto"/>
              </w:rPr>
            </w:pPr>
            <w:r>
              <w:rPr>
                <w:rFonts w:ascii="Arial" w:cs="Arial" w:eastAsia="Arial" w:hAnsi="Arial"/>
                <w:sz w:val="18"/>
                <w:szCs w:val="18"/>
                <w:color w:val="auto"/>
                <w:w w:val="92"/>
              </w:rPr>
              <w:t>_________________________________</w:t>
            </w:r>
          </w:p>
        </w:tc>
        <w:tc>
          <w:tcPr>
            <w:tcW w:w="456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40" w:type="dxa"/>
            <w:vAlign w:val="bottom"/>
            <w:gridSpan w:val="2"/>
          </w:tcPr>
          <w:p>
            <w:pPr>
              <w:ind w:left="8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609-275-0500</w:t>
            </w:r>
          </w:p>
        </w:tc>
      </w:tr>
      <w:tr>
        <w:trPr>
          <w:trHeight w:val="426"/>
        </w:trPr>
        <w:tc>
          <w:tcPr>
            <w:tcW w:w="3280" w:type="dxa"/>
            <w:vAlign w:val="bottom"/>
          </w:tcPr>
          <w:p>
            <w:pPr>
              <w:spacing w:after="0"/>
              <w:rPr>
                <w:sz w:val="24"/>
                <w:szCs w:val="24"/>
                <w:color w:val="auto"/>
              </w:rPr>
            </w:pPr>
          </w:p>
        </w:tc>
        <w:tc>
          <w:tcPr>
            <w:tcW w:w="4560" w:type="dxa"/>
            <w:vAlign w:val="bottom"/>
          </w:tcPr>
          <w:p>
            <w:pPr>
              <w:ind w:left="160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July 28, 2011, Integra LifeSciences Holdings Corporation (the "Company") issued a press release announcing financial results for the quarter ended June 30, 2011 (the "Press Release"). A copy of the Press Release is attached as Exhibit 99.1 to this Current Report on Form 8-K and is incorporated by reference into this Item. In the financial statements portion of the Press Release, the Company has included a reconciliation of GAAP revenues to adjusted revenues for the quarter ended June 30, 2011, and GAAP net income to adjusted earnings before interest, taxes, depreciation and amortization ("EBITDA") and adjusted EBITDA excluding stock-based compensation, GAAP net income to adjusted net income, and GAAP earnings per diluted share to adjusted earnings per diluted share used by management for the quarters ended June 30, 2011 and 2010, as well as GAAP net income to adjusted net income and GAAP earnings per diluted share to adjusted earnings per diluted share used by management for guidance for the year ending December 31, 2011.</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Adjusted Financial Measures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our GAAP results, we provide adjusted revenues, adjusted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certain employee termination and related charges; (iii) intangible asset impairment charges; (iv) charges associated with discontinued or withdrawn product lines; (v) systems implementation charges; (vi) facility consolidation, manufacturing and distribution transfer charges; (vii) charges related to restructuring our European entities; (viii) charges related to extending our Chief Executive Officer’s employment contract; (ix) expenses related to the refinancing of our senior credit facility; (x) expenses related to our Chief Operating Officer joining the Company; (xi) non-cash amortization of imputed interest for convertible debt; (xii) intangible asset amortization expense; and (xiii) income tax expense related to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June 30, 2011 and GAAP net income to adjusted EBITDA, adjusted EBITDA excluding stock-based compensation and adjusted net income, and GAAP earnings per diluted share to adjusted earnings per diluted share for the quarters ended June 30, 2011 and 2010 appear in the financial tables in the Press Release.</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Management uses non-GAAP financial measures in the form of adjusted revenues, adjusted EBITDA, adjusted EBITDA excluding stock-based compensation, adjusted net income and adjusted earnings per diluted share when evaluating operating performance because we believe that the inclusion or exclusion of the items described below, for which the amounts and/or timing may vary significantly depending upon the Company’s acquisition, integration, and restructuring activities, for which the amounts are non-cash in nature, provides a supplemental measure of our operating results that facilitates comparability of our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revenues, adjusted EBITDA, adjusted EBITDA excluding stock-based compensation, adjusted net income and adjusted earnings per diluted share are significant measures used by management for purposes of:</w:t>
      </w:r>
    </w:p>
    <w:p>
      <w:pPr>
        <w:spacing w:after="0" w:line="18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comparability from period to period;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measure of adjusted revenues that we report reflects the growth in total revenues for the quarter ended June 30, 2011 adjusted for the effects of currency exchange rates on current period revenues. We provide this measure because changes in foreign currency exchange rates can distort our revenue growth favorably or unfavorably, depending upon the strength of the U.S. dollar in relation to the various foreign currencies in which we generate revenues. We generate significant revenues outside the United States in multiple foreign currencies including euros, British pounds, Swiss francs and Australian and Canadian dollars. We believe this measure provides useful information to determine the success of our international selling organizations in increasing sales of products in their local currencies without regard to fluctuations in currency exchanges rates, for which we have no control over.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25" w:lineRule="exact"/>
        <w:rPr>
          <w:sz w:val="20"/>
          <w:szCs w:val="20"/>
          <w:color w:val="auto"/>
        </w:rPr>
      </w:pPr>
    </w:p>
    <w:p>
      <w:pPr>
        <w:ind w:firstLine="8"/>
        <w:spacing w:after="0" w:line="287" w:lineRule="auto"/>
        <w:tabs>
          <w:tab w:leader="none" w:pos="10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Acquisition-related charges. Acquisition-related charges include up-front fees and milestone payments that are expensed as incurred in connection with acquiring licenses or rights to technology for which no product has been approved for sale by regulatory authorities and such approval is not reasonably assured at the time such up-front fees or milestone payments are made, and in-process research and development charges when accounting rules require them to be expensed, inventory fair value purchase accounting adjustments, and legal, accounting and other outside consultants expenses directly related to acquisitions. Inventory fair value purchase accounting adjustments consist of the increase to cost of goods sold that occur as a result of expensing the "step up" in the fair value of inventory that we purchased in connection with acquisitions as that inventory is sold during the financial period. Although recurring given the ongoing character of our development and acquisition programs, these acquisition and in-licensing related charges are not factored into the evaluation of our performance by management after completion of development programs or acquisitions because they are of a temporary nature, they are not related to our core operating performance and the frequency and amount of such charges vary significantly based on the timing and magnitude of our development and acquisition transactions as well as the level of inventory on hand at the time of acquisition.</w:t>
      </w:r>
    </w:p>
    <w:p>
      <w:pPr>
        <w:sectPr>
          <w:pgSz w:w="11900" w:h="16838" w:orient="portrait"/>
          <w:cols w:equalWidth="0" w:num="1">
            <w:col w:w="11420"/>
          </w:cols>
          <w:pgMar w:left="240" w:top="125" w:right="239" w:bottom="0" w:gutter="0" w:footer="0" w:header="0"/>
        </w:sectPr>
      </w:pPr>
    </w:p>
    <w:bookmarkStart w:id="2" w:name="page3"/>
    <w:bookmarkEnd w:id="2"/>
    <w:p>
      <w:pPr>
        <w:ind w:right="140" w:firstLine="8"/>
        <w:spacing w:after="0" w:line="256"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employee termination and related charges. Certain employee termination and related charges consist of charges related to certain significant reductions in force that are not initiated in connection with facility consolidations or manufacturing transfers and senior management level terminations. Management excludes these items when evaluating the Company’s operating performance because these amounts do not affect our core operations and because of the infrequent and/or large scale nature of these activities.</w:t>
      </w:r>
    </w:p>
    <w:p>
      <w:pPr>
        <w:spacing w:after="0" w:line="197" w:lineRule="exact"/>
        <w:rPr>
          <w:rFonts w:ascii="Arial" w:cs="Arial" w:eastAsia="Arial" w:hAnsi="Arial"/>
          <w:sz w:val="18"/>
          <w:szCs w:val="18"/>
          <w:color w:val="auto"/>
        </w:rPr>
      </w:pPr>
    </w:p>
    <w:p>
      <w:pPr>
        <w:ind w:right="40"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Intangible asset impairment charges. This represents impairment charges recorded against various intangible assets, including completed or core technology, customer relationships, and tradenames. Such impairments result primarily from management decisions to discontinue or significantly reduce promoting certain product lines or tradenames, the inability to incorporate existing product technologies into product development programs, and other circumstances. Management excludes this item when evaluating the Company’s operating performance because of the infrequent and non-cash nature of this activity.</w:t>
      </w:r>
    </w:p>
    <w:p>
      <w:pPr>
        <w:spacing w:after="0" w:line="166" w:lineRule="exact"/>
        <w:rPr>
          <w:rFonts w:ascii="Arial" w:cs="Arial" w:eastAsia="Arial" w:hAnsi="Arial"/>
          <w:sz w:val="16"/>
          <w:szCs w:val="16"/>
          <w:color w:val="auto"/>
        </w:rPr>
      </w:pPr>
    </w:p>
    <w:p>
      <w:pPr>
        <w:ind w:right="34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associated with discontinued or withdrawn product lines. These charges represent charges taken in connection with product lines that the Company discontinues or withdraws. Management excludes this item when evaluating the Company’s operating performance because of the infrequent nature of this activity or because many such product discontinuations are related to recent acquisitions.</w:t>
      </w:r>
    </w:p>
    <w:p>
      <w:pPr>
        <w:spacing w:after="0" w:line="194" w:lineRule="exact"/>
        <w:rPr>
          <w:rFonts w:ascii="Arial" w:cs="Arial" w:eastAsia="Arial" w:hAnsi="Arial"/>
          <w:sz w:val="18"/>
          <w:szCs w:val="18"/>
          <w:color w:val="auto"/>
        </w:rPr>
      </w:pPr>
    </w:p>
    <w:p>
      <w:pPr>
        <w:ind w:right="20" w:firstLine="8"/>
        <w:spacing w:after="0" w:line="289"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Systems implementation charges. Systems implementation charges consist of the non-capitalizable portion of internal labor and outside consulting costs related to the implementation of a global enterprise resource planning ("ERP") system. We have inherited many diverse business processes and different information systems through our numerous acquisitions. Accordingly, we are undertaking this initiative in order to standardize business processes globally and to better integrate all of our existing and acquired operations using one information system. Although recurring in nature given the expected timeframe to complete the implementation for our existing operations and our expectation to continue to acquire new businesses and operations, management excludes these charges when evaluating the operating performance of the Company because the frequency and amount of such charges vary significantly based on the timing and magnitude of the Company’s implementation activities. In addition, once the global ERP project enters its application development phase, most costs of the project will be capitalized and, therefore, are not comparable to earlier periods.</w:t>
      </w:r>
    </w:p>
    <w:p>
      <w:pPr>
        <w:spacing w:after="0" w:line="172" w:lineRule="exact"/>
        <w:rPr>
          <w:rFonts w:ascii="Arial" w:cs="Arial" w:eastAsia="Arial" w:hAnsi="Arial"/>
          <w:sz w:val="16"/>
          <w:szCs w:val="16"/>
          <w:color w:val="auto"/>
        </w:rPr>
      </w:pPr>
    </w:p>
    <w:p>
      <w:pPr>
        <w:ind w:firstLine="8"/>
        <w:spacing w:after="0" w:line="290"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Facility consolidation, manufacturing and distribution transfer charges. These charges, which include employee termination and other costs associated with exit or disposal activities, costs related to transferring manufacturing and/or distribution activities to different locations, result from rationalizing and enhancing our existing manufacturing, distribution and administrative infrastructure. Many of these cost-saving and efficiency-driven activities are identified as opportunities in connection with acquisitions that provide the Company with additional capacity or economies of scale. Although recurring in nature given management’s ongoing review of the efficiency of our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jc w:val="both"/>
        <w:ind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related to restructuring our European entities. These amounts represent charges recorded in operating or non-operating expenses such as levies and fees paid to government authorities, legal, tax, accounting and consulting fees, and foreign currency gains and losses related to intercompany loan agreements incurred directly as a result of reorganizing our European entities and transfers of business assets between these legal entities. Management excludes this item when evaluating the Company’s operating performance because of the infrequent nature of this activity.</w:t>
      </w:r>
    </w:p>
    <w:p>
      <w:pPr>
        <w:spacing w:after="0" w:line="166" w:lineRule="exact"/>
        <w:rPr>
          <w:rFonts w:ascii="Arial" w:cs="Arial" w:eastAsia="Arial" w:hAnsi="Arial"/>
          <w:sz w:val="16"/>
          <w:szCs w:val="16"/>
          <w:color w:val="auto"/>
        </w:rPr>
      </w:pPr>
    </w:p>
    <w:p>
      <w:pPr>
        <w:jc w:val="both"/>
        <w:ind w:right="24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related to extending our Chief Executive Officer’s employment contract. This charge was recognized in the second quarter of 2011 upon the grant of contract stock units that were fully vested at the time of the grant on May 17, 2011. Management excludes this item when evaluating the Company’s operating performance because of the infrequent nature of this item.</w:t>
      </w:r>
    </w:p>
    <w:p>
      <w:pPr>
        <w:spacing w:after="0" w:line="194" w:lineRule="exact"/>
        <w:rPr>
          <w:rFonts w:ascii="Arial" w:cs="Arial" w:eastAsia="Arial" w:hAnsi="Arial"/>
          <w:sz w:val="18"/>
          <w:szCs w:val="18"/>
          <w:color w:val="auto"/>
        </w:rPr>
      </w:pPr>
    </w:p>
    <w:p>
      <w:pPr>
        <w:ind w:right="80" w:firstLine="8"/>
        <w:spacing w:after="0" w:line="256"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related to the refinancing of our senior credit facility. These expenses related to (i) the remaining unamortized balance of previously capitalized issuance costs relating to certain lenders who are no longer parties to our revised senior credit facility and (ii) a portion of the new issuance costs in connection with amending the credit facility. Management excludes this item when evaluating the Company’s operating performance because of the infrequent nature of this item.</w:t>
      </w:r>
    </w:p>
    <w:p>
      <w:pPr>
        <w:spacing w:after="0" w:line="197" w:lineRule="exact"/>
        <w:rPr>
          <w:rFonts w:ascii="Arial" w:cs="Arial" w:eastAsia="Arial" w:hAnsi="Arial"/>
          <w:sz w:val="18"/>
          <w:szCs w:val="18"/>
          <w:color w:val="auto"/>
        </w:rPr>
      </w:pPr>
    </w:p>
    <w:p>
      <w:pPr>
        <w:ind w:right="14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related to our Chief Operating Officer joining the Company. These amounts represent expenses incurred in connection with the hiring of our Chief Operating Officer, primarily related to the grant of contract stock units that were fully vested on the grant date. Management excludes this item when evaluating the Company‘s operating performance because of the infrequent nature of this activity.</w:t>
      </w:r>
    </w:p>
    <w:p>
      <w:pPr>
        <w:spacing w:after="0" w:line="194" w:lineRule="exact"/>
        <w:rPr>
          <w:rFonts w:ascii="Arial" w:cs="Arial" w:eastAsia="Arial" w:hAnsi="Arial"/>
          <w:sz w:val="18"/>
          <w:szCs w:val="18"/>
          <w:color w:val="auto"/>
        </w:rPr>
      </w:pPr>
    </w:p>
    <w:p>
      <w:pPr>
        <w:ind w:right="40" w:firstLine="8"/>
        <w:spacing w:after="0" w:line="256"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amortization of imputed interest for convertible debt. The convertible debt accounting requires separate accounting for the liability and equity components of the Company’s convertible debt instruments, which may be settled in cash upon conversion, in a manner that reflects an applicable nonconvertible debt borrowing rate at the time that we issued such convertible debt instruments. Management excludes this item when evaluating the Company’s operating performance because of the non-cash nature of the expense.</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Intangible asset amortization expense. Management excludes this item when evaluating the Company’s operating performance because it is a non-cash expense.</w:t>
      </w:r>
    </w:p>
    <w:p>
      <w:pPr>
        <w:spacing w:after="0" w:line="259" w:lineRule="exact"/>
        <w:rPr>
          <w:rFonts w:ascii="Arial" w:cs="Arial" w:eastAsia="Arial" w:hAnsi="Arial"/>
          <w:sz w:val="15"/>
          <w:szCs w:val="15"/>
          <w:color w:val="auto"/>
        </w:rPr>
      </w:pPr>
    </w:p>
    <w:p>
      <w:pPr>
        <w:ind w:right="360"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related to (i) the above adjustments and (ii) quarterly adjustments to income tax expense related to the cumulative impact of changes in estimated tax rates and certain infrequently occurring items that affected the reported tax rate.</w:t>
      </w:r>
    </w:p>
    <w:p>
      <w:pPr>
        <w:spacing w:after="0" w:line="186" w:lineRule="exact"/>
        <w:rPr>
          <w:sz w:val="20"/>
          <w:szCs w:val="20"/>
          <w:color w:val="auto"/>
        </w:rPr>
      </w:pPr>
    </w:p>
    <w:p>
      <w:pPr>
        <w:ind w:firstLine="8"/>
        <w:spacing w:after="0" w:line="332"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tax expense is adjusted by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139" w:lineRule="exact"/>
        <w:rPr>
          <w:rFonts w:ascii="Arial" w:cs="Arial" w:eastAsia="Arial" w:hAnsi="Arial"/>
          <w:sz w:val="16"/>
          <w:szCs w:val="16"/>
          <w:color w:val="auto"/>
        </w:rPr>
      </w:pPr>
    </w:p>
    <w:p>
      <w:pPr>
        <w:ind w:firstLine="8"/>
        <w:spacing w:after="0" w:line="294"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tax expense in the current quarter is adjusted by the cumulative impacts in that quarter of changes in income tax rates (statutory and estimated effective tax rates) and certain other infrequently occurring items that relate to prior periods. Management excludes these items when evaluating the Company’s current quarter operating performance because the cumulative impact in the current quarter of these items applies to prior periods and thus distorts the Company’s adjusted income tax rate in the current quarter. The year-to-date adjusted net income and adjusted diluted earnings per share measures are not adjusted by these items, as the cumulative impacts are properly reflected in the year-to-date adjusted results.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Adjusted revenues, adjusted EBITDA, adjusted EBITDA excluding stock-based compensation, adjusted net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w:t>
      </w:r>
    </w:p>
    <w:p>
      <w:pPr>
        <w:sectPr>
          <w:pgSz w:w="11900" w:h="16838" w:orient="portrait"/>
          <w:cols w:equalWidth="0" w:num="1">
            <w:col w:w="11400"/>
          </w:cols>
          <w:pgMar w:left="240" w:top="347" w:right="25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financial measures are:</w:t>
      </w:r>
    </w:p>
    <w:p>
      <w:pPr>
        <w:spacing w:after="0" w:line="225" w:lineRule="exact"/>
        <w:rPr>
          <w:sz w:val="20"/>
          <w:szCs w:val="20"/>
          <w:color w:val="auto"/>
        </w:rPr>
      </w:pPr>
    </w:p>
    <w:p>
      <w:pPr>
        <w:ind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94" w:lineRule="exact"/>
        <w:rPr>
          <w:rFonts w:ascii="Arial" w:cs="Arial" w:eastAsia="Arial" w:hAnsi="Arial"/>
          <w:sz w:val="18"/>
          <w:szCs w:val="18"/>
          <w:color w:val="auto"/>
        </w:rPr>
      </w:pPr>
    </w:p>
    <w:p>
      <w:pPr>
        <w:ind w:right="80"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initiated a long term effort to implement a global enterprise resource planning system, and we expect to continue to incur significant systems implementation charges until that effort is completed. These costs can directly impact the amount of the Company’s available funds and reduce GAAP net income.</w:t>
      </w:r>
    </w:p>
    <w:p>
      <w:pPr>
        <w:spacing w:after="0" w:line="194" w:lineRule="exact"/>
        <w:rPr>
          <w:rFonts w:ascii="Arial" w:cs="Arial" w:eastAsia="Arial" w:hAnsi="Arial"/>
          <w:sz w:val="18"/>
          <w:szCs w:val="18"/>
          <w:color w:val="auto"/>
        </w:rPr>
      </w:pPr>
    </w:p>
    <w:p>
      <w:pPr>
        <w:jc w:val="both"/>
        <w:ind w:right="240"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financial tables portion of the Press Release, the Company has included a reconciliation of GAAP reported revenues to adjusted revenues for the quarter ended June 30, 2011 and GAAP net income to adjusted EBITDA and adjusted EBITDA excluding stock-based compensation, GAAP net income to adjusted net income, and GAAP earnings per diluted share to adjusted earnings per diluted share used by management for the quarters ended June 30, 2011 and 2010. Also included are reconciliations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99.1, and incorporated into this Item 7.01 by reference, is the Press Release issued on July 28, 2011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with attachments, dated July 28, 2011, issued by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Integra LifeSciences Holdings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July 28, 2011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B. Henneman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&amp; Administration, and Chief Financial</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86"/>
              </w:rPr>
              <w:t>Press release with attachments, dated July 28, 2011, issued by Integra</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LifeSciences Holdings Corporation</w:t>
            </w:r>
          </w:p>
        </w:tc>
      </w:tr>
    </w:tbl>
    <w:p>
      <w:pPr>
        <w:sectPr>
          <w:pgSz w:w="11900" w:h="16838" w:orient="portrait"/>
          <w:cols w:equalWidth="0" w:num="1">
            <w:col w:w="10219"/>
          </w:cols>
          <w:pgMar w:left="240" w:top="125"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i w:val="1"/>
          <w:iCs w:val="1"/>
          <w:color w:val="auto"/>
        </w:rPr>
        <w:t>News Release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Contacts:</w:t>
            </w:r>
          </w:p>
        </w:tc>
        <w:tc>
          <w:tcPr>
            <w:tcW w:w="56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527"/>
        </w:trPr>
        <w:tc>
          <w:tcPr>
            <w:tcW w:w="5500" w:type="dxa"/>
            <w:vAlign w:val="bottom"/>
            <w:gridSpan w:val="2"/>
          </w:tcPr>
          <w:p>
            <w:pPr>
              <w:spacing w:after="0"/>
              <w:rPr>
                <w:sz w:val="20"/>
                <w:szCs w:val="20"/>
                <w:color w:val="auto"/>
              </w:rPr>
            </w:pPr>
            <w:r>
              <w:rPr>
                <w:rFonts w:ascii="Arial" w:cs="Arial" w:eastAsia="Arial" w:hAnsi="Arial"/>
                <w:sz w:val="20"/>
                <w:szCs w:val="20"/>
                <w:color w:val="auto"/>
              </w:rPr>
              <w:t>Integra LifeSciences Holdings Corporation</w:t>
            </w: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627"/>
        </w:trPr>
        <w:tc>
          <w:tcPr>
            <w:tcW w:w="3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John B. Henneman, III</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Investor Relations:</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Executive Vice President,</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 Steinway</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Finance and Administration,</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and Chief Financial Officer</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5500" w:type="dxa"/>
            <w:vAlign w:val="bottom"/>
            <w:gridSpan w:val="2"/>
          </w:tcPr>
          <w:p>
            <w:pPr>
              <w:ind w:left="300"/>
              <w:spacing w:after="0"/>
              <w:rPr>
                <w:sz w:val="20"/>
                <w:szCs w:val="20"/>
                <w:color w:val="auto"/>
              </w:rPr>
            </w:pPr>
            <w:r>
              <w:rPr>
                <w:rFonts w:ascii="Arial" w:cs="Arial" w:eastAsia="Arial" w:hAnsi="Arial"/>
                <w:sz w:val="20"/>
                <w:szCs w:val="20"/>
                <w:color w:val="auto"/>
              </w:rPr>
              <w:t>(609) 275-0500</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(609) 936-2268</w:t>
            </w:r>
          </w:p>
        </w:tc>
      </w:tr>
      <w:tr>
        <w:trPr>
          <w:trHeight w:val="246"/>
        </w:trPr>
        <w:tc>
          <w:tcPr>
            <w:tcW w:w="3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jack.henneman@integralife.com</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angela.steinway@integralife.com</w:t>
            </w:r>
          </w:p>
        </w:tc>
      </w:tr>
      <w:tr>
        <w:trPr>
          <w:trHeight w:val="20"/>
        </w:trPr>
        <w:tc>
          <w:tcPr>
            <w:tcW w:w="30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5"/>
          <w:szCs w:val="25"/>
          <w:i w:val="1"/>
          <w:iCs w:val="1"/>
          <w:color w:val="auto"/>
        </w:rPr>
        <w:t>Integra LifeSciences Reports Second Quarter 2011 Financial Results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3"/>
          <w:szCs w:val="23"/>
          <w:i w:val="1"/>
          <w:iCs w:val="1"/>
          <w:color w:val="auto"/>
        </w:rPr>
        <w:t>Revenues for the second quarter increased to $193 million</w:t>
      </w:r>
    </w:p>
    <w:p>
      <w:pPr>
        <w:spacing w:after="0" w:line="25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Plainsboro, New Jersey, July 28, 2011 – Integra LifeSciences Holdings Corporation (NASDAQ: IART) today reported its financial results for the second quarter ending June 30, 2011. Total revenues for the second quarter were $193.3 million, reflecting an increase of $14.7 million, or 8%, over the second quarter of 2010. Excluding the impact of currency exchange rates, revenues increased 6% over the second quarter of 2010. We present revenues by product category in a table at the end of this press release.</w:t>
      </w:r>
    </w:p>
    <w:p>
      <w:pPr>
        <w:spacing w:after="0" w:line="204"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“All three categories demonstrated solid growth this quarter,” said Stuart Essig, Integra’s Chief Executive Officer. “In addition to the strong performance of our diverse business, we completed a tuck-in acquisition, refinanced our bank facility, issued $230 million in convertible notes, and bought back over one million shares of stock. We believe we are well-positioned to deliver long-term earnings growth.”</w:t>
      </w:r>
    </w:p>
    <w:p>
      <w:pPr>
        <w:spacing w:after="0" w:line="12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Company reported GAAP net income of $0.7 million, or $0.02 per diluted share, for the second quarter of 2011, compared to GAAP net income of $15.2 million, or $0.50 per diluted share, for the second quarter of 2010.</w:t>
      </w:r>
    </w:p>
    <w:p>
      <w:pPr>
        <w:spacing w:after="0" w:line="163"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Adjusted net income for the second quarter of 2011, computed with the adjustments to GAAP reporting set forth in the attached reconciliation, was $21.2 million, or $0.70 per diluted share, compared to $20.9 million, or $0.68 per diluted share, in the second quarter of 2010.</w:t>
      </w:r>
    </w:p>
    <w:p>
      <w:pPr>
        <w:spacing w:after="0" w:line="11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Integra generated $25.0 million in cash flows from operations and used $7.6 million of cash on capital expenditures in the second quarter of 2011. During the quarter, Integra completed several transactions, accomplishing the following:</w:t>
      </w:r>
    </w:p>
    <w:p>
      <w:pPr>
        <w:spacing w:after="0" w:line="177" w:lineRule="exact"/>
        <w:rPr>
          <w:sz w:val="20"/>
          <w:szCs w:val="20"/>
          <w:color w:val="auto"/>
        </w:rPr>
      </w:pPr>
    </w:p>
    <w:p>
      <w:pPr>
        <w:ind w:left="440" w:right="20" w:hanging="177"/>
        <w:spacing w:after="0" w:line="260" w:lineRule="auto"/>
        <w:tabs>
          <w:tab w:leader="none" w:pos="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established new terms under its $600 million credit facility, which decreased borrowing costs by 75 basis points and extended the maturity from August 10, 2015 to June 8, 2016;</w:t>
      </w:r>
    </w:p>
    <w:p>
      <w:pPr>
        <w:spacing w:after="0" w:line="176" w:lineRule="exact"/>
        <w:rPr>
          <w:rFonts w:ascii="Arial" w:cs="Arial" w:eastAsia="Arial" w:hAnsi="Arial"/>
          <w:sz w:val="20"/>
          <w:szCs w:val="20"/>
          <w:color w:val="auto"/>
        </w:rPr>
      </w:pPr>
    </w:p>
    <w:p>
      <w:pPr>
        <w:ind w:left="440" w:hanging="177"/>
        <w:spacing w:after="0"/>
        <w:tabs>
          <w:tab w:leader="none" w:pos="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issued $230 million of 1.625% convertible notes due December 2016;</w:t>
      </w:r>
    </w:p>
    <w:p>
      <w:pPr>
        <w:spacing w:after="0" w:line="215" w:lineRule="exact"/>
        <w:rPr>
          <w:rFonts w:ascii="Arial" w:cs="Arial" w:eastAsia="Arial" w:hAnsi="Arial"/>
          <w:sz w:val="20"/>
          <w:szCs w:val="20"/>
          <w:color w:val="auto"/>
        </w:rPr>
      </w:pPr>
    </w:p>
    <w:p>
      <w:pPr>
        <w:ind w:left="440" w:hanging="177"/>
        <w:spacing w:after="0"/>
        <w:tabs>
          <w:tab w:leader="none" w:pos="4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acquired SeaSpine, Inc., a provider of high quality, innovative products for the spine fusion market, for $89 million in cash; and</w:t>
      </w:r>
    </w:p>
    <w:p>
      <w:pPr>
        <w:spacing w:after="0" w:line="227" w:lineRule="exact"/>
        <w:rPr>
          <w:rFonts w:ascii="Arial" w:cs="Arial" w:eastAsia="Arial" w:hAnsi="Arial"/>
          <w:sz w:val="19"/>
          <w:szCs w:val="19"/>
          <w:color w:val="auto"/>
        </w:rPr>
      </w:pPr>
    </w:p>
    <w:p>
      <w:pPr>
        <w:ind w:left="440" w:hanging="177"/>
        <w:spacing w:after="0"/>
        <w:tabs>
          <w:tab w:leader="none" w:pos="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repurchased 1.1 million shares for $52.7 million in cash.</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SeaSpine acquisition, which brought both new products and excellent management to our spine business, is just the sort of acquisition that Integra has done so successfully in the past,” said Peter Arduini, President and Chief Operating Officer. “The quarter’s financing puts us in a great position to take advantage of similar opportunities in the future.”</w:t>
      </w:r>
    </w:p>
    <w:p>
      <w:pPr>
        <w:spacing w:after="0" w:line="15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Adjusted EBITDA for the second quarter of 2011, computed with the adjustments to GAAP reporting set forth in the attached reconciliation, was $38.5 million, an increase of 8% compared to the second quarter last year.</w:t>
      </w:r>
    </w:p>
    <w:p>
      <w:pPr>
        <w:spacing w:after="0" w:line="163"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Adjusted EBITDA excluding stock-based compensation for the second quarter of 2011, computed with the adjustments to GAAP reporting set forth in the attached reconciliation, was $42.0 million, an increase of 7% compared to the second quarter last year.</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Outlook for 2011</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9"/>
          <w:szCs w:val="19"/>
          <w:color w:val="auto"/>
        </w:rPr>
        <w:t>The Company is updating its revenue and earnings per share guidance for the full year 2011. The Company anticipates revenues between $785 million and $800 million. The Company is guiding to GAAP earnings per diluted share of between $1.40 and $1.50 and to adjusted earnings per diluted share of between $2.92 and $3.02. In accordance with our usual practice, expectations for financial performance do not include the impact of acquisitions or other strategic corporate transactions that have not yet closed.</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the future, the Company may record, or expects to record, certain additional revenues, gains, expenses or charges as described in the Discussion of Adjusted Financial measures below that it will exclude in the calculation of adjusted EBITDA and adjusted earnings per share for historical periods and in providing adjusted earnings per share guidance.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Conference Call</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Integra has scheduled a conference call for 8:30 AM ET on Thursday, July 28, 2011 to discuss financial results for the first quarter and forward-looking financial guidance. The conference call will be hosted by Integra’s senior management team and will be open to all listeners. Additional forward-looking information may be discussed in a question and answer session following the call.</w:t>
      </w:r>
    </w:p>
    <w:p>
      <w:pPr>
        <w:sectPr>
          <w:pgSz w:w="11900" w:h="16838" w:orient="portrait"/>
          <w:cols w:equalWidth="0" w:num="1">
            <w:col w:w="11420"/>
          </w:cols>
          <w:pgMar w:left="240" w:top="115" w:right="239" w:bottom="0" w:gutter="0" w:footer="0" w:header="0"/>
        </w:sectPr>
      </w:pPr>
    </w:p>
    <w:bookmarkStart w:id="7" w:name="page8"/>
    <w:bookmarkEnd w:id="7"/>
    <w:p>
      <w:pPr>
        <w:spacing w:after="0" w:line="72" w:lineRule="exact"/>
        <w:rPr>
          <w:sz w:val="20"/>
          <w:szCs w:val="20"/>
          <w:color w:val="auto"/>
        </w:rPr>
      </w:pPr>
    </w:p>
    <w:p>
      <w:pPr>
        <w:jc w:val="both"/>
        <w:ind w:right="160"/>
        <w:spacing w:after="0" w:line="292" w:lineRule="auto"/>
        <w:rPr>
          <w:sz w:val="20"/>
          <w:szCs w:val="20"/>
          <w:color w:val="auto"/>
        </w:rPr>
      </w:pPr>
      <w:r>
        <w:rPr>
          <w:rFonts w:ascii="Arial" w:cs="Arial" w:eastAsia="Arial" w:hAnsi="Arial"/>
          <w:sz w:val="18"/>
          <w:szCs w:val="18"/>
          <w:color w:val="auto"/>
        </w:rPr>
        <w:t>Access to the live call is available by dialing 719-457-2615 and using the passcode 2728148. The call can also be accessed through a webcast via a link provided on the Investor Relations homepage of Integra’s website at www.integralife.com. Access to the replay is available through August 11, 2011 by dialing 719-457-0820 and using the passcode 2728148. The webcast will also be archived on the website.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Integra LifeSciences, a world leader in medical devices, is dedicated to limiting uncertainty for surgeons, so they can concentrate on providing the best patient care. Integra offers innovative solutions in orthopedics, neurosurgery, spine, reconstructive and general surgery. For more information, please visit www.integralife.com.</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news release contains forward-looking statements within the meaning of the Private Securities Litigation Reform Act of 1995 that involve risks, uncertainties and reflect the Company’s judgment as of the date of this release. Forward-looking statements include, but are not limited to, statements concerning future financial performance, including projections for revenues, GAAP and adjusted net income, GAAP and adjusted earnings per diluted share, non-GAAP adjustments such as system implementations charges, acquisition-related charges, non-cash amortization of imputed interest for convertible debt, intangible asset amortization, and income tax expense (benefit) related to non-GAAP adjustments. Such forward-looking statements involve risks and uncertainties that could cause actual results to differ materially from predicted or expected results. Such risks and uncertainties include, but are not limited to: the Company’s ability to maintain relationships with customers of acquired entities; physicians’ willingness to adopt and third-party payors’ willingness to provide reimbursement for the Company’s recently launched and planned products; the Company’s ability to manufacture sufficient quantities of its products to meet its customers’ demand; initiatives launched by the Company’s competitors; the Company’s ability to secure regulatory approval for products in development; fluctuations in hospital spending for capital equipment; the Company’s ability to comply with and obtain approvals for products of human origin and comply with recently enacted regulations regarding products containing materials derived from animal sources; difficulties in controlling expenses, including costs to procure and manufacture our products; the impact of changes in management or staff levels; the Company’s ability to integrate acquired businesses; the Company’s ability to leverage its existing selling organizations and administrative infrastructure; the Company’s ability to increase product sales and gross margins, and control non-product costs; the amount and timing of acquisition and integration related costs; the geographic distribution of where the Company generates its taxable income; the effect of legislation effecting healthcare reform in the United States; fluctuations in foreign currency exchange rates; the amount of our convertible notes and bank borrowings outstanding, and the economic, competitive, governmental, technological and other risk factors and uncertainties identified under the heading “Risk Factors” included in Item 1A of Integra’s Annual Report on Form 10-K for the year ended December 31, 2010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Discussion of Adjusted Financial Measures</w:t>
      </w:r>
    </w:p>
    <w:p>
      <w:pPr>
        <w:spacing w:after="0" w:line="189"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In addition to our GAAP results, we provide adjusted revenues, adjusted earnings before interest, taxes, depreciation and amortization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w:t>
      </w:r>
    </w:p>
    <w:p>
      <w:pPr>
        <w:spacing w:after="0" w:line="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income and expense, (iv) income taxes, (v) those operating expenses also excluded from adjusted net income and, as appropriate</w:t>
      </w:r>
    </w:p>
    <w:p>
      <w:pPr>
        <w:spacing w:after="0" w:line="22" w:lineRule="exact"/>
        <w:rPr>
          <w:rFonts w:ascii="Arial" w:cs="Arial" w:eastAsia="Arial" w:hAnsi="Arial"/>
          <w:sz w:val="18"/>
          <w:szCs w:val="18"/>
          <w:color w:val="auto"/>
        </w:rPr>
      </w:pPr>
    </w:p>
    <w:p>
      <w:pPr>
        <w:ind w:firstLine="8"/>
        <w:spacing w:after="0" w:line="26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expense. The measure of adjusted net income consists of GAAP net income, excluding: (i) acquisition-related charges; (ii) certain employee termination and related charges; (iii) intangible asset impairment charges; (iv) charges associated with discontinued or withdrawn product lines; (v) systems implementation charges; (vi) facility consolidation, manufacturing and distribution transfer charges; (vii) charges related to restructuring our European entities; (viii) charges related to extending our Chief Executive Officer’s employment contract; (ix) expenses related to refinancing the senior credit facility; (x) expenses related to our Chief Operating Officer joining the Company; (xi) non-cash amortization of imputed interest for convertible debt; (xii) intangible asset amortization expense; and (xiii) income tax expense related to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June 30, 2011 and GAAP net income to adjusted EBITDA, adjusted EBITDA excluding stock-based compensation and adjusted net income, and GAAP earnings per diluted share to adjusted earnings per diluted share for the quarters ended June 30, 2011 and 2010 appear in the financial tables in this release.</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Integra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or on our website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www.integralife.com</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gridSpan w:val="3"/>
          </w:tcPr>
          <w:p>
            <w:pPr>
              <w:jc w:val="right"/>
              <w:ind w:right="109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15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revenues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2760" w:type="dxa"/>
            <w:vAlign w:val="bottom"/>
            <w:gridSpan w:val="3"/>
          </w:tcPr>
          <w:p>
            <w:pPr>
              <w:jc w:val="right"/>
              <w:ind w:right="5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726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$193,329</w:t>
            </w: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Borders>
              <w:top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$178,595</w:t>
            </w: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Costs and 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Cost of product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72,838</w:t>
            </w:r>
          </w:p>
        </w:tc>
        <w:tc>
          <w:tcPr>
            <w:tcW w:w="2760" w:type="dxa"/>
            <w:vAlign w:val="bottom"/>
            <w:gridSpan w:val="3"/>
          </w:tcPr>
          <w:p>
            <w:pPr>
              <w:jc w:val="right"/>
              <w:ind w:right="510"/>
              <w:spacing w:after="0"/>
              <w:rPr>
                <w:sz w:val="20"/>
                <w:szCs w:val="20"/>
                <w:color w:val="auto"/>
              </w:rPr>
            </w:pPr>
            <w:r>
              <w:rPr>
                <w:rFonts w:ascii="Arial" w:cs="Arial" w:eastAsia="Arial" w:hAnsi="Arial"/>
                <w:sz w:val="18"/>
                <w:szCs w:val="18"/>
                <w:color w:val="auto"/>
              </w:rPr>
              <w:t>64,464</w:t>
            </w:r>
          </w:p>
        </w:tc>
        <w:tc>
          <w:tcPr>
            <w:tcW w:w="0" w:type="dxa"/>
            <w:vAlign w:val="bottom"/>
          </w:tcPr>
          <w:p>
            <w:pPr>
              <w:spacing w:after="0"/>
              <w:rPr>
                <w:sz w:val="1"/>
                <w:szCs w:val="1"/>
                <w:color w:val="auto"/>
              </w:rPr>
            </w:pPr>
          </w:p>
        </w:tc>
      </w:tr>
    </w:tbl>
    <w:p>
      <w:pPr>
        <w:sectPr>
          <w:pgSz w:w="11900" w:h="16911" w:orient="portrait"/>
          <w:cols w:equalWidth="0" w:num="1">
            <w:col w:w="11380"/>
          </w:cols>
          <w:pgMar w:left="240" w:top="121" w:right="279" w:bottom="0" w:gutter="0" w:footer="0" w:header="0"/>
        </w:sectPr>
      </w:pPr>
    </w:p>
    <w:bookmarkStart w:id="8" w:name="page9"/>
    <w:bookmarkEnd w:id="8"/>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12,709</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95,732</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5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185,329</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Operating income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(6,722)</w:t>
            </w: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5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1,998</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c>
          <w:tcPr>
            <w:tcW w:w="25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Net income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Diluted net income per share *</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2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30,178</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194"/>
        <w:spacing w:after="0" w:line="297"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diluted net income per share for all periods shown above.</w:t>
      </w:r>
    </w:p>
    <w:p>
      <w:pPr>
        <w:spacing w:after="0" w:line="3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Listed below are the items included in GAAP revenues and GAAP net income that management excludes in computing the adjusted financial measures referred to in the text of this press release and further described under Discussion of Adjusted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Growth in total revenues excluding the effects of currency exchange rates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660" w:type="dxa"/>
            <w:vAlign w:val="bottom"/>
          </w:tcPr>
          <w:p>
            <w:pPr>
              <w:ind w:left="160"/>
              <w:spacing w:after="0"/>
              <w:rPr>
                <w:sz w:val="20"/>
                <w:szCs w:val="20"/>
                <w:color w:val="auto"/>
              </w:rPr>
            </w:pPr>
            <w:r>
              <w:rPr>
                <w:rFonts w:ascii="Arial" w:cs="Arial" w:eastAsia="Arial" w:hAnsi="Arial"/>
                <w:sz w:val="18"/>
                <w:szCs w:val="18"/>
                <w:color w:val="auto"/>
              </w:rPr>
              <w:t>(In thousands)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5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Arial" w:cs="Arial" w:eastAsia="Arial" w:hAnsi="Arial"/>
                <w:sz w:val="18"/>
                <w:szCs w:val="18"/>
                <w:color w:val="auto"/>
              </w:rPr>
              <w:t>Orthopedics</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2010</w:t>
            </w:r>
          </w:p>
        </w:tc>
        <w:tc>
          <w:tcPr>
            <w:tcW w:w="6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80,579</w:t>
            </w: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72,819</w:t>
            </w:r>
          </w:p>
        </w:tc>
        <w:tc>
          <w:tcPr>
            <w:tcW w:w="6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Borders>
              <w:top w:val="single" w:sz="8" w:color="auto"/>
            </w:tcBorders>
            <w:gridSpan w:val="3"/>
          </w:tcPr>
          <w:p>
            <w:pPr>
              <w:jc w:val="right"/>
              <w:ind w:right="40"/>
              <w:spacing w:after="0" w:line="195"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Neurosurgery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72,102</w:t>
            </w:r>
          </w:p>
        </w:tc>
        <w:tc>
          <w:tcPr>
            <w:tcW w:w="3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66,306</w:t>
            </w:r>
          </w:p>
        </w:tc>
        <w:tc>
          <w:tcPr>
            <w:tcW w:w="6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Instruments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40,648</w:t>
            </w:r>
          </w:p>
        </w:tc>
        <w:tc>
          <w:tcPr>
            <w:tcW w:w="3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39,470</w:t>
            </w:r>
          </w:p>
        </w:tc>
        <w:tc>
          <w:tcPr>
            <w:tcW w:w="6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193,329</w:t>
            </w:r>
          </w:p>
        </w:tc>
        <w:tc>
          <w:tcPr>
            <w:tcW w:w="3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178,595</w:t>
            </w:r>
          </w:p>
        </w:tc>
        <w:tc>
          <w:tcPr>
            <w:tcW w:w="6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Impact of changes in</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currency exchange rates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(4,190)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Total revenues excluding</w:t>
            </w:r>
          </w:p>
        </w:tc>
        <w:tc>
          <w:tcPr>
            <w:tcW w:w="5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the effects of currency</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exchange rates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189,139</w:t>
            </w:r>
          </w:p>
        </w:tc>
        <w:tc>
          <w:tcPr>
            <w:tcW w:w="3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178,595</w:t>
            </w:r>
          </w:p>
        </w:tc>
        <w:tc>
          <w:tcPr>
            <w:tcW w:w="68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500" w:firstLine="228"/>
        <w:spacing w:after="0" w:line="461" w:lineRule="auto"/>
        <w:rPr>
          <w:sz w:val="20"/>
          <w:szCs w:val="20"/>
          <w:color w:val="auto"/>
        </w:rPr>
      </w:pPr>
      <w:r>
        <w:rPr>
          <w:rFonts w:ascii="Arial" w:cs="Arial" w:eastAsia="Arial" w:hAnsi="Arial"/>
          <w:sz w:val="18"/>
          <w:szCs w:val="18"/>
          <w:color w:val="auto"/>
        </w:rPr>
        <w:t>Items included in GAAP net income and location where each item is recorded (In thousands)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Three Months Ended June 30, 2011</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120" w:type="dxa"/>
            <w:vAlign w:val="bottom"/>
          </w:tcPr>
          <w:p>
            <w:pPr>
              <w:spacing w:after="0"/>
              <w:rPr>
                <w:sz w:val="20"/>
                <w:szCs w:val="20"/>
                <w:color w:val="auto"/>
              </w:rPr>
            </w:pPr>
            <w:r>
              <w:rPr>
                <w:rFonts w:ascii="Arial" w:cs="Arial" w:eastAsia="Arial" w:hAnsi="Arial"/>
                <w:sz w:val="14"/>
                <w:szCs w:val="14"/>
                <w:color w:val="auto"/>
              </w:rPr>
              <w:t>Item</w:t>
            </w:r>
          </w:p>
        </w:tc>
        <w:tc>
          <w:tcPr>
            <w:tcW w:w="160" w:type="dxa"/>
            <w:vAlign w:val="bottom"/>
          </w:tcPr>
          <w:p>
            <w:pPr>
              <w:spacing w:after="0"/>
              <w:rPr>
                <w:sz w:val="14"/>
                <w:szCs w:val="14"/>
                <w:color w:val="auto"/>
              </w:rPr>
            </w:pPr>
          </w:p>
        </w:tc>
        <w:tc>
          <w:tcPr>
            <w:tcW w:w="1200" w:type="dxa"/>
            <w:vAlign w:val="bottom"/>
          </w:tcPr>
          <w:p>
            <w:pPr>
              <w:jc w:val="right"/>
              <w:ind w:right="139"/>
              <w:spacing w:after="0"/>
              <w:rPr>
                <w:sz w:val="20"/>
                <w:szCs w:val="20"/>
                <w:color w:val="auto"/>
              </w:rPr>
            </w:pPr>
            <w:r>
              <w:rPr>
                <w:rFonts w:ascii="Arial" w:cs="Arial" w:eastAsia="Arial" w:hAnsi="Arial"/>
                <w:sz w:val="14"/>
                <w:szCs w:val="14"/>
                <w:color w:val="auto"/>
              </w:rPr>
              <w:t>Total Amount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COPR(a)</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R&amp;D(b)</w:t>
            </w:r>
          </w:p>
        </w:tc>
        <w:tc>
          <w:tcPr>
            <w:tcW w:w="180" w:type="dxa"/>
            <w:vAlign w:val="bottom"/>
          </w:tcPr>
          <w:p>
            <w:pPr>
              <w:spacing w:after="0"/>
              <w:rPr>
                <w:sz w:val="14"/>
                <w:szCs w:val="1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color w:val="auto"/>
              </w:rPr>
              <w:t>SG&amp;A(c)</w:t>
            </w:r>
          </w:p>
        </w:tc>
        <w:tc>
          <w:tcPr>
            <w:tcW w:w="16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Amort.(d)</w:t>
            </w:r>
          </w:p>
        </w:tc>
        <w:tc>
          <w:tcPr>
            <w:tcW w:w="180" w:type="dxa"/>
            <w:vAlign w:val="bottom"/>
          </w:tcPr>
          <w:p>
            <w:pPr>
              <w:spacing w:after="0"/>
              <w:rPr>
                <w:sz w:val="14"/>
                <w:szCs w:val="14"/>
                <w:color w:val="auto"/>
              </w:rPr>
            </w:pP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Interest Exp(Inc)(e)</w:t>
            </w: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w w:val="93"/>
              </w:rPr>
              <w:t>Other Exp(Inc)(f)</w:t>
            </w:r>
          </w:p>
        </w:tc>
        <w:tc>
          <w:tcPr>
            <w:tcW w:w="1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4"/>
                <w:szCs w:val="14"/>
                <w:color w:val="auto"/>
              </w:rPr>
              <w:t>Tax(g)</w:t>
            </w:r>
          </w:p>
        </w:tc>
      </w:tr>
      <w:tr>
        <w:trPr>
          <w:trHeight w:val="195"/>
        </w:trPr>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Acquisition-related charges</w:t>
            </w:r>
          </w:p>
        </w:tc>
        <w:tc>
          <w:tcPr>
            <w:tcW w:w="160" w:type="dxa"/>
            <w:vAlign w:val="bottom"/>
          </w:tcPr>
          <w:p>
            <w:pPr>
              <w:spacing w:after="0"/>
              <w:rPr>
                <w:sz w:val="16"/>
                <w:szCs w:val="16"/>
                <w:color w:val="auto"/>
              </w:rPr>
            </w:pPr>
          </w:p>
        </w:tc>
        <w:tc>
          <w:tcPr>
            <w:tcW w:w="1200" w:type="dxa"/>
            <w:vAlign w:val="bottom"/>
            <w:tcBorders>
              <w:top w:val="single" w:sz="8" w:color="auto"/>
            </w:tcBorders>
          </w:tcPr>
          <w:p>
            <w:pPr>
              <w:jc w:val="right"/>
              <w:ind w:right="339"/>
              <w:spacing w:after="0" w:line="195" w:lineRule="exact"/>
              <w:rPr>
                <w:sz w:val="20"/>
                <w:szCs w:val="20"/>
                <w:color w:val="auto"/>
              </w:rPr>
            </w:pPr>
            <w:r>
              <w:rPr>
                <w:rFonts w:ascii="Arial" w:cs="Arial" w:eastAsia="Arial" w:hAnsi="Arial"/>
                <w:sz w:val="18"/>
                <w:szCs w:val="18"/>
                <w:color w:val="auto"/>
              </w:rPr>
              <w:t>$ 1,620</w:t>
            </w:r>
          </w:p>
        </w:tc>
        <w:tc>
          <w:tcPr>
            <w:tcW w:w="160" w:type="dxa"/>
            <w:vAlign w:val="bottom"/>
          </w:tcPr>
          <w:p>
            <w:pPr>
              <w:spacing w:after="0"/>
              <w:rPr>
                <w:sz w:val="16"/>
                <w:szCs w:val="16"/>
                <w:color w:val="auto"/>
              </w:rPr>
            </w:pPr>
          </w:p>
        </w:tc>
        <w:tc>
          <w:tcPr>
            <w:tcW w:w="680" w:type="dxa"/>
            <w:vAlign w:val="bottom"/>
            <w:tcBorders>
              <w:top w:val="single" w:sz="8" w:color="auto"/>
            </w:tcBorders>
          </w:tcPr>
          <w:p>
            <w:pPr>
              <w:jc w:val="right"/>
              <w:ind w:right="53"/>
              <w:spacing w:after="0" w:line="195" w:lineRule="exact"/>
              <w:rPr>
                <w:sz w:val="20"/>
                <w:szCs w:val="20"/>
                <w:color w:val="auto"/>
              </w:rPr>
            </w:pPr>
            <w:r>
              <w:rPr>
                <w:rFonts w:ascii="Arial" w:cs="Arial" w:eastAsia="Arial" w:hAnsi="Arial"/>
                <w:sz w:val="18"/>
                <w:szCs w:val="18"/>
                <w:color w:val="auto"/>
              </w:rPr>
              <w:t>$  554</w:t>
            </w:r>
          </w:p>
        </w:tc>
        <w:tc>
          <w:tcPr>
            <w:tcW w:w="16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960" w:type="dxa"/>
            <w:vAlign w:val="bottom"/>
            <w:tcBorders>
              <w:top w:val="single" w:sz="8" w:color="auto"/>
            </w:tcBorders>
          </w:tcPr>
          <w:p>
            <w:pPr>
              <w:jc w:val="right"/>
              <w:ind w:right="194"/>
              <w:spacing w:after="0" w:line="195" w:lineRule="exact"/>
              <w:rPr>
                <w:sz w:val="20"/>
                <w:szCs w:val="20"/>
                <w:color w:val="auto"/>
              </w:rPr>
            </w:pPr>
            <w:r>
              <w:rPr>
                <w:rFonts w:ascii="Arial" w:cs="Arial" w:eastAsia="Arial" w:hAnsi="Arial"/>
                <w:sz w:val="18"/>
                <w:szCs w:val="18"/>
                <w:color w:val="auto"/>
              </w:rPr>
              <w:t>$1,066</w:t>
            </w:r>
          </w:p>
        </w:tc>
        <w:tc>
          <w:tcPr>
            <w:tcW w:w="160" w:type="dxa"/>
            <w:vAlign w:val="bottom"/>
          </w:tcPr>
          <w:p>
            <w:pPr>
              <w:spacing w:after="0"/>
              <w:rPr>
                <w:sz w:val="16"/>
                <w:szCs w:val="16"/>
                <w:color w:val="auto"/>
              </w:rPr>
            </w:pPr>
          </w:p>
        </w:tc>
        <w:tc>
          <w:tcPr>
            <w:tcW w:w="860" w:type="dxa"/>
            <w:vAlign w:val="bottom"/>
            <w:tcBorders>
              <w:top w:val="single" w:sz="8" w:color="auto"/>
            </w:tcBorders>
          </w:tcPr>
          <w:p>
            <w:pPr>
              <w:jc w:val="right"/>
              <w:ind w:right="132"/>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392"/>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Certain employee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termination and related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94"/>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5"/>
              </w:rPr>
              <w:t>Intangible asset impairment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2,400</w:t>
            </w:r>
          </w:p>
        </w:tc>
        <w:tc>
          <w:tcPr>
            <w:tcW w:w="840" w:type="dxa"/>
            <w:vAlign w:val="bottom"/>
            <w:gridSpan w:val="2"/>
          </w:tcPr>
          <w:p>
            <w:pPr>
              <w:jc w:val="right"/>
              <w:ind w:right="53"/>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Charges associated with</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w w:val="94"/>
              </w:rPr>
              <w:t>discontinued or withdrawn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3,079</w:t>
            </w:r>
          </w:p>
        </w:tc>
        <w:tc>
          <w:tcPr>
            <w:tcW w:w="840" w:type="dxa"/>
            <w:vAlign w:val="bottom"/>
            <w:gridSpan w:val="2"/>
          </w:tcPr>
          <w:p>
            <w:pPr>
              <w:jc w:val="right"/>
              <w:ind w:right="53"/>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94"/>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Systems implementation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2,932</w:t>
            </w:r>
          </w:p>
        </w:tc>
        <w:tc>
          <w:tcPr>
            <w:tcW w:w="1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94"/>
              <w:spacing w:after="0"/>
              <w:rPr>
                <w:sz w:val="20"/>
                <w:szCs w:val="20"/>
                <w:color w:val="auto"/>
              </w:rPr>
            </w:pPr>
            <w:r>
              <w:rPr>
                <w:rFonts w:ascii="Arial" w:cs="Arial" w:eastAsia="Arial" w:hAnsi="Arial"/>
                <w:sz w:val="18"/>
                <w:szCs w:val="18"/>
                <w:color w:val="auto"/>
              </w:rPr>
              <w:t>2,932</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Facility consolidation,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manufacturing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distribution transfer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271</w:t>
            </w:r>
          </w:p>
        </w:tc>
        <w:tc>
          <w:tcPr>
            <w:tcW w:w="840" w:type="dxa"/>
            <w:vAlign w:val="bottom"/>
            <w:gridSpan w:val="2"/>
          </w:tcPr>
          <w:p>
            <w:pPr>
              <w:jc w:val="right"/>
              <w:ind w:right="53"/>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Charges related to</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w w:val="91"/>
              </w:rPr>
              <w:t>restructuring our European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entities</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94"/>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0"/>
              </w:rPr>
              <w:t>Charges related to extending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our Chief Executive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Officer’s employment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contract</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8,379</w:t>
            </w:r>
          </w:p>
        </w:tc>
        <w:tc>
          <w:tcPr>
            <w:tcW w:w="1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94"/>
              <w:spacing w:after="0"/>
              <w:rPr>
                <w:sz w:val="20"/>
                <w:szCs w:val="20"/>
                <w:color w:val="auto"/>
              </w:rPr>
            </w:pPr>
            <w:r>
              <w:rPr>
                <w:rFonts w:ascii="Arial" w:cs="Arial" w:eastAsia="Arial" w:hAnsi="Arial"/>
                <w:sz w:val="18"/>
                <w:szCs w:val="18"/>
                <w:color w:val="auto"/>
              </w:rPr>
              <w:t>8,379</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Expenses related to</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refinancing the senior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120" w:type="dxa"/>
            <w:vAlign w:val="bottom"/>
          </w:tcPr>
          <w:p>
            <w:pPr>
              <w:ind w:left="140"/>
              <w:spacing w:after="0"/>
              <w:rPr>
                <w:sz w:val="20"/>
                <w:szCs w:val="20"/>
                <w:color w:val="auto"/>
              </w:rPr>
            </w:pPr>
            <w:r>
              <w:rPr>
                <w:rFonts w:ascii="Arial" w:cs="Arial" w:eastAsia="Arial" w:hAnsi="Arial"/>
                <w:sz w:val="18"/>
                <w:szCs w:val="18"/>
                <w:color w:val="auto"/>
              </w:rPr>
              <w:t>credit facility</w:t>
            </w:r>
          </w:p>
        </w:tc>
        <w:tc>
          <w:tcPr>
            <w:tcW w:w="1360" w:type="dxa"/>
            <w:vAlign w:val="bottom"/>
            <w:gridSpan w:val="2"/>
          </w:tcPr>
          <w:p>
            <w:pPr>
              <w:jc w:val="right"/>
              <w:ind w:right="339"/>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20"/>
                <w:szCs w:val="20"/>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92"/>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20"/>
                <w:szCs w:val="20"/>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r>
    </w:tbl>
    <w:p>
      <w:pPr>
        <w:sectPr>
          <w:pgSz w:w="11900" w:h="16870" w:orient="portrait"/>
          <w:cols w:equalWidth="0" w:num="1">
            <w:col w:w="11360"/>
          </w:cols>
          <w:pgMar w:left="240" w:top="125" w:right="299" w:bottom="0" w:gutter="0" w:footer="0" w:header="0"/>
        </w:sectPr>
      </w:pPr>
    </w:p>
    <w:bookmarkStart w:id="9" w:name="page10"/>
    <w:bookmarkEnd w:id="9"/>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Non-cash amortization of</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1,998</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1,998</w:t>
            </w:r>
          </w:p>
        </w:tc>
        <w:tc>
          <w:tcPr>
            <w:tcW w:w="1080" w:type="dxa"/>
            <w:vAlign w:val="bottom"/>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imputed interest for</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convertible debt</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4,666</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1,515</w:t>
            </w:r>
          </w:p>
        </w:tc>
        <w:tc>
          <w:tcPr>
            <w:tcW w:w="820" w:type="dxa"/>
            <w:vAlign w:val="bottom"/>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3,151</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to above adjustments,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quarterly adjustments to</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w w:val="99"/>
              </w:rPr>
              <w:t>income tax expense related</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to the cumulative impact</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w w:val="99"/>
              </w:rPr>
              <w:t>of changes in estimated tax</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rates and certain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infrequently occurring</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items that affected the</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8"/>
                <w:szCs w:val="18"/>
                <w:color w:val="auto"/>
              </w:rPr>
              <w:t>reported tax rate</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(6,547)</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Depreciation expense**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6,246</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3,450</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61" w:lineRule="exact"/>
        <w:rPr>
          <w:sz w:val="20"/>
          <w:szCs w:val="20"/>
          <w:color w:val="auto"/>
        </w:rPr>
      </w:pPr>
    </w:p>
    <w:p>
      <w:pPr>
        <w:ind w:left="240"/>
        <w:spacing w:after="0" w:line="258" w:lineRule="auto"/>
        <w:rPr>
          <w:sz w:val="20"/>
          <w:szCs w:val="20"/>
          <w:color w:val="auto"/>
        </w:rPr>
      </w:pPr>
      <w:r>
        <w:rPr>
          <w:rFonts w:ascii="Arial" w:cs="Arial" w:eastAsia="Arial" w:hAnsi="Arial"/>
          <w:sz w:val="18"/>
          <w:szCs w:val="18"/>
          <w:color w:val="auto"/>
        </w:rPr>
        <w:t>*For the period ending June 30, 2011, “Intangible asset amortization expense” excludes $2,400 already included in “Intangible asset impairment charges” above.</w:t>
      </w:r>
    </w:p>
    <w:p>
      <w:pPr>
        <w:spacing w:after="0" w:line="1" w:lineRule="exact"/>
        <w:rPr>
          <w:sz w:val="20"/>
          <w:szCs w:val="20"/>
          <w:color w:val="auto"/>
        </w:rPr>
      </w:pPr>
    </w:p>
    <w:p>
      <w:pPr>
        <w:ind w:left="240" w:right="40"/>
        <w:spacing w:after="0" w:line="261" w:lineRule="auto"/>
        <w:rPr>
          <w:sz w:val="20"/>
          <w:szCs w:val="20"/>
          <w:color w:val="auto"/>
        </w:rPr>
      </w:pPr>
      <w:r>
        <w:rPr>
          <w:rFonts w:ascii="Arial" w:cs="Arial" w:eastAsia="Arial" w:hAnsi="Arial"/>
          <w:sz w:val="18"/>
          <w:szCs w:val="18"/>
          <w:color w:val="auto"/>
        </w:rPr>
        <w:t>**For the period ending June 30, 2011, “Depreciation expense” excluded $1,888 already included in “charges associated with discontinued or withdrawn product lines”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COPR – Cost of product revenues</w:t>
      </w:r>
    </w:p>
    <w:p>
      <w:pPr>
        <w:spacing w:after="0" w:line="225" w:lineRule="exact"/>
        <w:rPr>
          <w:sz w:val="20"/>
          <w:szCs w:val="20"/>
          <w:color w:val="auto"/>
        </w:rPr>
      </w:pPr>
    </w:p>
    <w:p>
      <w:pPr>
        <w:ind w:left="720" w:hanging="254"/>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R&amp;D – Research and development</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SG&amp;A – Selling, general and administrative</w:t>
      </w:r>
    </w:p>
    <w:p>
      <w:pPr>
        <w:spacing w:after="0" w:line="225" w:lineRule="exact"/>
        <w:rPr>
          <w:rFonts w:ascii="Arial" w:cs="Arial" w:eastAsia="Arial" w:hAnsi="Arial"/>
          <w:sz w:val="18"/>
          <w:szCs w:val="18"/>
          <w:color w:val="auto"/>
        </w:rPr>
      </w:pPr>
    </w:p>
    <w:p>
      <w:pPr>
        <w:ind w:left="720" w:hanging="254"/>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Amort. – Intangible asset amortization</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Interest Inc(Exp) – Interest income (expense), net</w:t>
      </w:r>
    </w:p>
    <w:p>
      <w:pPr>
        <w:spacing w:after="0" w:line="225" w:lineRule="exact"/>
        <w:rPr>
          <w:rFonts w:ascii="Arial" w:cs="Arial" w:eastAsia="Arial" w:hAnsi="Arial"/>
          <w:sz w:val="18"/>
          <w:szCs w:val="18"/>
          <w:color w:val="auto"/>
        </w:rPr>
      </w:pPr>
    </w:p>
    <w:p>
      <w:pPr>
        <w:ind w:left="680" w:hanging="22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Inc(Exp) – Other income (expense), net</w:t>
      </w:r>
    </w:p>
    <w:p>
      <w:pPr>
        <w:spacing w:after="0" w:line="225" w:lineRule="exact"/>
        <w:rPr>
          <w:rFonts w:ascii="Arial" w:cs="Arial" w:eastAsia="Arial" w:hAnsi="Arial"/>
          <w:sz w:val="18"/>
          <w:szCs w:val="18"/>
          <w:color w:val="auto"/>
        </w:rPr>
      </w:pPr>
    </w:p>
    <w:p>
      <w:pPr>
        <w:ind w:left="720" w:hanging="25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Tax – Income tax expense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Three Months Ended June 30, 2010</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960" w:type="dxa"/>
            <w:vAlign w:val="bottom"/>
          </w:tcPr>
          <w:p>
            <w:pPr>
              <w:spacing w:after="0"/>
              <w:rPr>
                <w:sz w:val="20"/>
                <w:szCs w:val="20"/>
                <w:color w:val="auto"/>
              </w:rPr>
            </w:pPr>
            <w:r>
              <w:rPr>
                <w:rFonts w:ascii="Arial" w:cs="Arial" w:eastAsia="Arial" w:hAnsi="Arial"/>
                <w:sz w:val="14"/>
                <w:szCs w:val="14"/>
                <w:color w:val="auto"/>
              </w:rPr>
              <w:t>Item</w:t>
            </w:r>
          </w:p>
        </w:tc>
        <w:tc>
          <w:tcPr>
            <w:tcW w:w="200" w:type="dxa"/>
            <w:vAlign w:val="bottom"/>
          </w:tcPr>
          <w:p>
            <w:pPr>
              <w:spacing w:after="0"/>
              <w:rPr>
                <w:sz w:val="14"/>
                <w:szCs w:val="1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color w:val="auto"/>
              </w:rPr>
              <w:t>Total Amount</w:t>
            </w:r>
          </w:p>
        </w:tc>
        <w:tc>
          <w:tcPr>
            <w:tcW w:w="20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COPR</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R&amp;D</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SG&amp;A</w:t>
            </w:r>
          </w:p>
        </w:tc>
        <w:tc>
          <w:tcPr>
            <w:tcW w:w="20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Amort.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9"/>
              </w:rPr>
              <w:t>Interest Exp(Inc)</w:t>
            </w:r>
          </w:p>
        </w:tc>
        <w:tc>
          <w:tcPr>
            <w:tcW w:w="1300" w:type="dxa"/>
            <w:vAlign w:val="bottom"/>
            <w:gridSpan w:val="3"/>
          </w:tcPr>
          <w:p>
            <w:pPr>
              <w:ind w:left="220"/>
              <w:spacing w:after="0"/>
              <w:rPr>
                <w:sz w:val="20"/>
                <w:szCs w:val="20"/>
                <w:color w:val="auto"/>
              </w:rPr>
            </w:pPr>
            <w:r>
              <w:rPr>
                <w:rFonts w:ascii="Arial" w:cs="Arial" w:eastAsia="Arial" w:hAnsi="Arial"/>
                <w:sz w:val="14"/>
                <w:szCs w:val="14"/>
                <w:color w:val="auto"/>
              </w:rPr>
              <w:t>Other Exp(Inc)</w:t>
            </w: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Tax</w:t>
            </w:r>
          </w:p>
        </w:tc>
      </w:tr>
      <w:tr>
        <w:trPr>
          <w:trHeight w:val="195"/>
        </w:trPr>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Acquisition-related charges</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ind w:right="279"/>
              <w:spacing w:after="0" w:line="195" w:lineRule="exact"/>
              <w:rPr>
                <w:sz w:val="20"/>
                <w:szCs w:val="20"/>
                <w:color w:val="auto"/>
              </w:rPr>
            </w:pPr>
            <w:r>
              <w:rPr>
                <w:rFonts w:ascii="Arial" w:cs="Arial" w:eastAsia="Arial" w:hAnsi="Arial"/>
                <w:sz w:val="18"/>
                <w:szCs w:val="18"/>
                <w:color w:val="auto"/>
              </w:rPr>
              <w:t>$  640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ind w:right="73"/>
              <w:spacing w:after="0" w:line="195" w:lineRule="exact"/>
              <w:rPr>
                <w:sz w:val="20"/>
                <w:szCs w:val="20"/>
                <w:color w:val="auto"/>
              </w:rPr>
            </w:pPr>
            <w:r>
              <w:rPr>
                <w:rFonts w:ascii="Arial" w:cs="Arial" w:eastAsia="Arial" w:hAnsi="Arial"/>
                <w:sz w:val="18"/>
                <w:szCs w:val="18"/>
                <w:color w:val="auto"/>
                <w:w w:val="95"/>
              </w:rPr>
              <w:t>$  386</w:t>
            </w:r>
          </w:p>
        </w:tc>
        <w:tc>
          <w:tcPr>
            <w:tcW w:w="200" w:type="dxa"/>
            <w:vAlign w:val="bottom"/>
          </w:tcPr>
          <w:p>
            <w:pPr>
              <w:spacing w:after="0"/>
              <w:rPr>
                <w:sz w:val="16"/>
                <w:szCs w:val="16"/>
                <w:color w:val="auto"/>
              </w:rPr>
            </w:pPr>
          </w:p>
        </w:tc>
        <w:tc>
          <w:tcPr>
            <w:tcW w:w="400" w:type="dxa"/>
            <w:vAlign w:val="bottom"/>
            <w:tcBorders>
              <w:top w:val="single" w:sz="8" w:color="auto"/>
            </w:tcBorders>
          </w:tcPr>
          <w:p>
            <w:pPr>
              <w:jc w:val="right"/>
              <w:ind w:right="12"/>
              <w:spacing w:after="0" w:line="195" w:lineRule="exact"/>
              <w:rPr>
                <w:sz w:val="20"/>
                <w:szCs w:val="20"/>
                <w:color w:val="auto"/>
              </w:rPr>
            </w:pPr>
            <w:r>
              <w:rPr>
                <w:rFonts w:ascii="Arial" w:cs="Arial" w:eastAsia="Arial" w:hAnsi="Arial"/>
                <w:sz w:val="18"/>
                <w:szCs w:val="18"/>
                <w:color w:val="auto"/>
                <w:w w:val="93"/>
              </w:rPr>
              <w:t>$48</w:t>
            </w:r>
          </w:p>
        </w:tc>
        <w:tc>
          <w:tcPr>
            <w:tcW w:w="200" w:type="dxa"/>
            <w:vAlign w:val="bottom"/>
          </w:tcPr>
          <w:p>
            <w:pPr>
              <w:spacing w:after="0"/>
              <w:rPr>
                <w:sz w:val="16"/>
                <w:szCs w:val="16"/>
                <w:color w:val="auto"/>
              </w:rPr>
            </w:pPr>
          </w:p>
        </w:tc>
        <w:tc>
          <w:tcPr>
            <w:tcW w:w="46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w w:val="84"/>
              </w:rPr>
              <w:t>$206</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ind w:right="73"/>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393"/>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6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ind w:right="132"/>
              <w:spacing w:after="0" w:line="195" w:lineRule="exact"/>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3"/>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and distribution transfer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236</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Non-cash amortization of imputed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interest for convertible debt</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93"/>
              <w:spacing w:after="0"/>
              <w:rPr>
                <w:sz w:val="20"/>
                <w:szCs w:val="20"/>
                <w:color w:val="auto"/>
              </w:rPr>
            </w:pPr>
            <w:r>
              <w:rPr>
                <w:rFonts w:ascii="Arial" w:cs="Arial" w:eastAsia="Arial" w:hAnsi="Arial"/>
                <w:sz w:val="18"/>
                <w:szCs w:val="18"/>
                <w:color w:val="auto"/>
              </w:rPr>
              <w:t>1,888</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5"/>
              </w:rPr>
              <w:t>Intangible asset amortization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4,211</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1,433</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9"/>
              </w:rPr>
              <w:t>Income tax expense related to above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w w:val="93"/>
              </w:rPr>
              <w:t>adjustments, quarterly adjustments to</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income tax expense related to the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cumulative impact of changes in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estimated tax rates and certain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infrequently occurring items that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affected the reported tax rate</w:t>
            </w:r>
          </w:p>
        </w:tc>
        <w:tc>
          <w:tcPr>
            <w:tcW w:w="1360" w:type="dxa"/>
            <w:vAlign w:val="bottom"/>
            <w:gridSpan w:val="2"/>
          </w:tcPr>
          <w:p>
            <w:pPr>
              <w:jc w:val="right"/>
              <w:ind w:right="219"/>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(2,593)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4,515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3,677</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6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*For the period ending June 30, 2010, “Intangible asset amortization expense” excludes $797 already included in “Intangible asset impairment charges” above.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RECONCILIATION OF NON-GAAP ADJUSTMENTS – GAAP NET INCOME TO ADJUSTED EBITDA AND ADJUSTED EBITDA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EXCLUDING STOCK BASED COMPENSATION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p>
      <w:pPr>
        <w:jc w:val="center"/>
        <w:ind w:left="82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22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p>
      <w:pPr>
        <w:ind w:left="8860"/>
        <w:spacing w:after="0"/>
        <w:tabs>
          <w:tab w:leader="none" w:pos="1040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-130810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14605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48" w:orient="portrait"/>
          <w:cols w:equalWidth="0" w:num="1">
            <w:col w:w="11320"/>
          </w:cols>
          <w:pgMar w:left="240" w:top="125" w:right="339" w:bottom="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GAAP net income</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699</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$15,157</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Non-GAAP adjustments: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 and intangible asset amortization</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Expense</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10,912</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8,726</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tcPr>
          <w:p>
            <w:pPr>
              <w:spacing w:after="0"/>
              <w:rPr>
                <w:sz w:val="18"/>
                <w:szCs w:val="18"/>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8"/>
                <w:szCs w:val="18"/>
                <w:color w:val="auto"/>
              </w:rPr>
              <w:t>(593)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6,595</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4,248</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1,299</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5,937</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Certain employee termination and related</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Charges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812</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3,079</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2,932</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Charges related to extending our Chief Executive Officer’s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employment contract</w:t>
            </w:r>
          </w:p>
        </w:tc>
        <w:tc>
          <w:tcPr>
            <w:tcW w:w="2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8,379</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2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37,822</w:t>
            </w:r>
          </w:p>
        </w:tc>
        <w:tc>
          <w:tcPr>
            <w:tcW w:w="5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20,369</w:t>
            </w:r>
          </w:p>
        </w:tc>
        <w:tc>
          <w:tcPr>
            <w:tcW w:w="40" w:type="dxa"/>
            <w:vAlign w:val="bottom"/>
          </w:tcPr>
          <w:p>
            <w:pPr>
              <w:spacing w:after="0"/>
              <w:rPr>
                <w:sz w:val="20"/>
                <w:szCs w:val="20"/>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Adjusted EBITDA</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38,521</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35,526</w:t>
            </w:r>
          </w:p>
        </w:tc>
        <w:tc>
          <w:tcPr>
            <w:tcW w:w="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3,450</w:t>
            </w:r>
          </w:p>
        </w:tc>
        <w:tc>
          <w:tcPr>
            <w:tcW w:w="5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3,677</w:t>
            </w:r>
          </w:p>
        </w:tc>
        <w:tc>
          <w:tcPr>
            <w:tcW w:w="40" w:type="dxa"/>
            <w:vAlign w:val="bottom"/>
          </w:tcPr>
          <w:p>
            <w:pPr>
              <w:spacing w:after="0"/>
              <w:rPr>
                <w:sz w:val="20"/>
                <w:szCs w:val="20"/>
                <w:color w:val="auto"/>
              </w:rPr>
            </w:pPr>
          </w:p>
        </w:tc>
      </w:tr>
      <w:tr>
        <w:trPr>
          <w:trHeight w:val="224"/>
        </w:trPr>
        <w:tc>
          <w:tcPr>
            <w:tcW w:w="6280" w:type="dxa"/>
            <w:vAlign w:val="bottom"/>
          </w:tcPr>
          <w:p>
            <w:pPr>
              <w:spacing w:after="0"/>
              <w:rPr>
                <w:sz w:val="20"/>
                <w:szCs w:val="20"/>
                <w:color w:val="auto"/>
              </w:rPr>
            </w:pPr>
            <w:r>
              <w:rPr>
                <w:rFonts w:ascii="Arial" w:cs="Arial" w:eastAsia="Arial" w:hAnsi="Arial"/>
                <w:sz w:val="18"/>
                <w:szCs w:val="18"/>
                <w:color w:val="auto"/>
              </w:rPr>
              <w:t>Adjusted EBITDA excluding stock-based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41,971</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39,203</w:t>
            </w:r>
          </w:p>
        </w:tc>
        <w:tc>
          <w:tcPr>
            <w:tcW w:w="40" w:type="dxa"/>
            <w:vAlign w:val="bottom"/>
          </w:tcPr>
          <w:p>
            <w:pPr>
              <w:spacing w:after="0"/>
              <w:rPr>
                <w:sz w:val="19"/>
                <w:szCs w:val="19"/>
                <w:color w:val="auto"/>
              </w:rPr>
            </w:pPr>
          </w:p>
        </w:tc>
      </w:tr>
    </w:tbl>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NON-GAAP ADJUSTMENTS – GAAP NET INCOME TO MEASURES OF ADJUSTED NET INCOME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ADJUSTED EARNINGS PER SHARE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7"/>
          </w:tcPr>
          <w:p>
            <w:pPr>
              <w:jc w:val="right"/>
              <w:ind w:right="7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8"/>
              </w:rPr>
              <w:t>June 30,</w:t>
            </w: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2011</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15,157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Certain employee termination and related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Charges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Charges related to restructuring</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our European entities</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Charges related to extending our Chief Executive Officer’s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employment contract</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Expenses related to refinancing the senior credit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facility</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Non-cash amortization of imputed interest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60"/>
              <w:spacing w:after="0"/>
              <w:rPr>
                <w:sz w:val="20"/>
                <w:szCs w:val="20"/>
                <w:color w:val="auto"/>
              </w:rPr>
            </w:pPr>
            <w:r>
              <w:rPr>
                <w:rFonts w:ascii="Arial" w:cs="Arial" w:eastAsia="Arial" w:hAnsi="Arial"/>
                <w:sz w:val="18"/>
                <w:szCs w:val="18"/>
                <w:color w:val="auto"/>
              </w:rPr>
              <w:t>for convertible debt</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Income tax expense related to</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above adjustments, quarterly adjustments to</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income tax expense related to the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cumulative impact of changes in estimated tax</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8"/>
                <w:szCs w:val="18"/>
                <w:color w:val="auto"/>
              </w:rPr>
              <w:t>rates and certain infrequently occurring items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40"/>
              <w:spacing w:after="0"/>
              <w:rPr>
                <w:sz w:val="20"/>
                <w:szCs w:val="20"/>
                <w:color w:val="auto"/>
              </w:rPr>
            </w:pPr>
            <w:r>
              <w:rPr>
                <w:rFonts w:ascii="Arial" w:cs="Arial" w:eastAsia="Arial" w:hAnsi="Arial"/>
                <w:sz w:val="18"/>
                <w:szCs w:val="18"/>
                <w:color w:val="auto"/>
              </w:rPr>
              <w:t>that affected the reported tax rate</w:t>
            </w:r>
          </w:p>
        </w:tc>
        <w:tc>
          <w:tcPr>
            <w:tcW w:w="420" w:type="dxa"/>
            <w:vAlign w:val="bottom"/>
          </w:tcPr>
          <w:p>
            <w:pPr>
              <w:spacing w:after="0"/>
              <w:rPr>
                <w:sz w:val="20"/>
                <w:szCs w:val="2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(6,547)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(2,593)</w:t>
            </w:r>
          </w:p>
        </w:tc>
        <w:tc>
          <w:tcPr>
            <w:tcW w:w="0" w:type="dxa"/>
            <w:vAlign w:val="bottom"/>
          </w:tcPr>
          <w:p>
            <w:pPr>
              <w:spacing w:after="0"/>
              <w:rPr>
                <w:sz w:val="1"/>
                <w:szCs w:val="1"/>
                <w:color w:val="auto"/>
              </w:rPr>
            </w:pPr>
          </w:p>
        </w:tc>
      </w:tr>
      <w:tr>
        <w:trPr>
          <w:trHeight w:val="223"/>
        </w:trPr>
        <w:tc>
          <w:tcPr>
            <w:tcW w:w="792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20,516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Adjusted 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21,215</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Adjusted diluted net income per share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for</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40"/>
              <w:spacing w:after="0"/>
              <w:rPr>
                <w:sz w:val="20"/>
                <w:szCs w:val="20"/>
                <w:color w:val="auto"/>
              </w:rPr>
            </w:pPr>
            <w:r>
              <w:rPr>
                <w:rFonts w:ascii="Arial" w:cs="Arial" w:eastAsia="Arial" w:hAnsi="Arial"/>
                <w:sz w:val="18"/>
                <w:szCs w:val="18"/>
                <w:color w:val="auto"/>
              </w:rPr>
              <w:t>diluted net income per share</w:t>
            </w:r>
          </w:p>
        </w:tc>
        <w:tc>
          <w:tcPr>
            <w:tcW w:w="4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30,178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30,399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194"/>
        <w:spacing w:after="0" w:line="297"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adjusted diluted net income per share for all periods shown above.</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BALANCE SHEET DATA</w:t>
      </w:r>
    </w:p>
    <w:p>
      <w:pPr>
        <w:sectPr>
          <w:pgSz w:w="11900" w:h="16838" w:orient="portrait"/>
          <w:cols w:equalWidth="0" w:num="1">
            <w:col w:w="11360"/>
          </w:cols>
          <w:pgMar w:left="240" w:top="125" w:right="299" w:bottom="0" w:gutter="0" w:footer="0" w:header="0"/>
        </w:sectPr>
      </w:pPr>
    </w:p>
    <w:bookmarkStart w:id="11" w:name="page12"/>
    <w:bookmarkEnd w:id="11"/>
    <w:p>
      <w:pPr>
        <w:jc w:val="center"/>
        <w:ind w:right="-279"/>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(In thousands)</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6460" w:type="dxa"/>
            <w:vAlign w:val="bottom"/>
          </w:tcPr>
          <w:p>
            <w:pPr>
              <w:spacing w:after="0"/>
              <w:rPr>
                <w:sz w:val="24"/>
                <w:szCs w:val="24"/>
                <w:color w:val="auto"/>
              </w:rPr>
            </w:pPr>
          </w:p>
        </w:tc>
        <w:tc>
          <w:tcPr>
            <w:tcW w:w="2040" w:type="dxa"/>
            <w:vAlign w:val="bottom"/>
          </w:tcPr>
          <w:p>
            <w:pPr>
              <w:jc w:val="right"/>
              <w:ind w:right="650"/>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24"/>
                <w:szCs w:val="24"/>
                <w:color w:val="auto"/>
              </w:rPr>
            </w:pPr>
          </w:p>
        </w:tc>
        <w:tc>
          <w:tcPr>
            <w:tcW w:w="2160" w:type="dxa"/>
            <w:vAlign w:val="bottom"/>
          </w:tcPr>
          <w:p>
            <w:pPr>
              <w:jc w:val="right"/>
              <w:ind w:right="4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460" w:type="dxa"/>
            <w:vAlign w:val="bottom"/>
            <w:vMerge w:val="restart"/>
          </w:tcPr>
          <w:p>
            <w:pPr>
              <w:ind w:left="30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770"/>
              <w:spacing w:after="0"/>
              <w:rPr>
                <w:sz w:val="20"/>
                <w:szCs w:val="20"/>
                <w:color w:val="auto"/>
              </w:rPr>
            </w:pPr>
            <w:r>
              <w:rPr>
                <w:rFonts w:ascii="Arial" w:cs="Arial" w:eastAsia="Arial" w:hAnsi="Arial"/>
                <w:sz w:val="18"/>
                <w:szCs w:val="18"/>
                <w:color w:val="auto"/>
              </w:rPr>
              <w:t>2011</w:t>
            </w:r>
          </w:p>
        </w:tc>
        <w:tc>
          <w:tcPr>
            <w:tcW w:w="2640" w:type="dxa"/>
            <w:vAlign w:val="bottom"/>
            <w:gridSpan w:val="2"/>
          </w:tcPr>
          <w:p>
            <w:pPr>
              <w:jc w:val="right"/>
              <w:ind w:right="8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6460" w:type="dxa"/>
            <w:vAlign w:val="bottom"/>
            <w:vMerge w:val="continue"/>
          </w:tcPr>
          <w:p>
            <w:pPr>
              <w:spacing w:after="0"/>
              <w:rPr>
                <w:sz w:val="16"/>
                <w:szCs w:val="16"/>
                <w:color w:val="auto"/>
              </w:rPr>
            </w:pPr>
          </w:p>
        </w:tc>
        <w:tc>
          <w:tcPr>
            <w:tcW w:w="2040" w:type="dxa"/>
            <w:vAlign w:val="bottom"/>
            <w:tcBorders>
              <w:top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$137,279</w:t>
            </w:r>
          </w:p>
        </w:tc>
        <w:tc>
          <w:tcPr>
            <w:tcW w:w="480" w:type="dxa"/>
            <w:vAlign w:val="bottom"/>
          </w:tcPr>
          <w:p>
            <w:pPr>
              <w:spacing w:after="0"/>
              <w:rPr>
                <w:sz w:val="16"/>
                <w:szCs w:val="16"/>
                <w:color w:val="auto"/>
              </w:rPr>
            </w:pPr>
          </w:p>
        </w:tc>
        <w:tc>
          <w:tcPr>
            <w:tcW w:w="216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116,179</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Inventory, net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174,460</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Term loan</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148,126</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Bank line of credit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144,375</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Convertible securities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345,687</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155,154</w:t>
            </w:r>
          </w:p>
        </w:tc>
        <w:tc>
          <w:tcPr>
            <w:tcW w:w="0" w:type="dxa"/>
            <w:vAlign w:val="bottom"/>
          </w:tcPr>
          <w:p>
            <w:pPr>
              <w:spacing w:after="0"/>
              <w:rPr>
                <w:sz w:val="1"/>
                <w:szCs w:val="1"/>
                <w:color w:val="auto"/>
              </w:rPr>
            </w:pPr>
          </w:p>
        </w:tc>
      </w:tr>
      <w:tr>
        <w:trPr>
          <w:trHeight w:val="230"/>
        </w:trPr>
        <w:tc>
          <w:tcPr>
            <w:tcW w:w="6460" w:type="dxa"/>
            <w:vAlign w:val="bottom"/>
          </w:tcPr>
          <w:p>
            <w:pPr>
              <w:ind w:left="300"/>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518,817</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499,963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80" w:type="dxa"/>
            <w:vAlign w:val="bottom"/>
            <w:gridSpan w:val="3"/>
          </w:tcPr>
          <w:p>
            <w:pPr>
              <w:jc w:val="right"/>
              <w:ind w:right="280"/>
              <w:spacing w:after="0"/>
              <w:rPr>
                <w:sz w:val="20"/>
                <w:szCs w:val="20"/>
                <w:color w:val="auto"/>
              </w:rPr>
            </w:pPr>
            <w:r>
              <w:rPr>
                <w:rFonts w:ascii="Arial" w:cs="Arial" w:eastAsia="Arial" w:hAnsi="Arial"/>
                <w:sz w:val="18"/>
                <w:szCs w:val="18"/>
                <w:color w:val="auto"/>
              </w:rPr>
              <w:t>Recorded Year to</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color w:val="auto"/>
              </w:rPr>
              <w:t>Projected Year Ended</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680" w:type="dxa"/>
            <w:vAlign w:val="bottom"/>
            <w:gridSpan w:val="3"/>
          </w:tcPr>
          <w:p>
            <w:pPr>
              <w:jc w:val="right"/>
              <w:ind w:right="420"/>
              <w:spacing w:after="0"/>
              <w:rPr>
                <w:sz w:val="20"/>
                <w:szCs w:val="20"/>
                <w:color w:val="auto"/>
              </w:rPr>
            </w:pPr>
            <w:r>
              <w:rPr>
                <w:rFonts w:ascii="Arial" w:cs="Arial" w:eastAsia="Arial" w:hAnsi="Arial"/>
                <w:sz w:val="18"/>
                <w:szCs w:val="18"/>
                <w:color w:val="auto"/>
              </w:rPr>
              <w:t>June 30, 2011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Borders>
              <w:top w:val="single" w:sz="8" w:color="auto"/>
            </w:tcBorders>
            <w:gridSpan w:val="3"/>
          </w:tcPr>
          <w:p>
            <w:pPr>
              <w:jc w:val="right"/>
              <w:ind w:right="880"/>
              <w:spacing w:after="0"/>
              <w:rPr>
                <w:sz w:val="20"/>
                <w:szCs w:val="20"/>
                <w:color w:val="auto"/>
              </w:rPr>
            </w:pPr>
            <w:r>
              <w:rPr>
                <w:rFonts w:ascii="Arial" w:cs="Arial" w:eastAsia="Arial" w:hAnsi="Arial"/>
                <w:sz w:val="18"/>
                <w:szCs w:val="18"/>
                <w:color w:val="auto"/>
                <w:w w:val="96"/>
              </w:rPr>
              <w:t>Low</w:t>
            </w:r>
          </w:p>
        </w:tc>
        <w:tc>
          <w:tcPr>
            <w:tcW w:w="1560" w:type="dxa"/>
            <w:vAlign w:val="bottom"/>
            <w:tcBorders>
              <w:top w:val="single" w:sz="8" w:color="auto"/>
            </w:tcBorders>
            <w:gridSpan w:val="3"/>
          </w:tcPr>
          <w:p>
            <w:pPr>
              <w:jc w:val="right"/>
              <w:ind w:right="900"/>
              <w:spacing w:after="0"/>
              <w:rPr>
                <w:sz w:val="20"/>
                <w:szCs w:val="20"/>
                <w:color w:val="auto"/>
              </w:rPr>
            </w:pPr>
            <w:r>
              <w:rPr>
                <w:rFonts w:ascii="Arial" w:cs="Arial" w:eastAsia="Arial" w:hAnsi="Arial"/>
                <w:sz w:val="18"/>
                <w:szCs w:val="18"/>
                <w:color w:val="auto"/>
              </w:rPr>
              <w:t>High</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GAAP net income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12,186</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41,450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44,450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Non-GAAP adjustments:</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Certain employee termination and related charges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2,648</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product lines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16,300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16,300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and distribution transfer charges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2,093</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Charges related to extending our Chief Executive Officer’s</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employment contract</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8,379</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8,379</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Expenses related to refinancing the senior credit</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facility</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Expenses related to our Chief Operating</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Officer joining the Company</w:t>
            </w:r>
          </w:p>
        </w:tc>
        <w:tc>
          <w:tcPr>
            <w:tcW w:w="14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Non-cash amortization of imputed interest</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for convertible debt</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10,450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20,825</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20,825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to above adjustments and certain</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infrequently occurring items</w:t>
            </w:r>
          </w:p>
        </w:tc>
        <w:tc>
          <w:tcPr>
            <w:tcW w:w="14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(10,430)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(27,927)</w:t>
            </w:r>
          </w:p>
        </w:tc>
        <w:tc>
          <w:tcPr>
            <w:tcW w:w="6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(27,927)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of non-GAAP adjustments</w:t>
            </w:r>
          </w:p>
        </w:tc>
        <w:tc>
          <w:tcPr>
            <w:tcW w:w="1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28,572</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45,250</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45,250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Adjusted net income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40,758</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86,700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89,700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GAAP diluted net income per share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Non-GAAP adjustments detailed above</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Adjusted diluted net income per share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1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1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30,154</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29,700</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29,700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500" w:firstLine="228"/>
        <w:spacing w:after="0" w:line="461" w:lineRule="auto"/>
        <w:rPr>
          <w:sz w:val="20"/>
          <w:szCs w:val="20"/>
          <w:color w:val="auto"/>
        </w:rPr>
      </w:pPr>
      <w:r>
        <w:rPr>
          <w:rFonts w:ascii="Arial" w:cs="Arial" w:eastAsia="Arial" w:hAnsi="Arial"/>
          <w:sz w:val="18"/>
          <w:szCs w:val="18"/>
          <w:color w:val="auto"/>
        </w:rPr>
        <w:t>Items included in GAAP net income guidance and location where each item is expected to be recorded (In thousands)</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Projected Year Ended December 31, 2011</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Item</w:t>
            </w:r>
          </w:p>
        </w:tc>
        <w:tc>
          <w:tcPr>
            <w:tcW w:w="180" w:type="dxa"/>
            <w:vAlign w:val="bottom"/>
          </w:tcPr>
          <w:p>
            <w:pPr>
              <w:spacing w:after="0"/>
              <w:rPr>
                <w:sz w:val="14"/>
                <w:szCs w:val="14"/>
                <w:color w:val="auto"/>
              </w:rPr>
            </w:pPr>
          </w:p>
        </w:tc>
        <w:tc>
          <w:tcPr>
            <w:tcW w:w="1280" w:type="dxa"/>
            <w:vAlign w:val="bottom"/>
          </w:tcPr>
          <w:p>
            <w:pPr>
              <w:jc w:val="right"/>
              <w:ind w:right="159"/>
              <w:spacing w:after="0"/>
              <w:rPr>
                <w:sz w:val="20"/>
                <w:szCs w:val="20"/>
                <w:color w:val="auto"/>
              </w:rPr>
            </w:pPr>
            <w:r>
              <w:rPr>
                <w:rFonts w:ascii="Arial" w:cs="Arial" w:eastAsia="Arial" w:hAnsi="Arial"/>
                <w:sz w:val="14"/>
                <w:szCs w:val="14"/>
                <w:color w:val="auto"/>
              </w:rPr>
              <w:t>Total Amount</w:t>
            </w:r>
          </w:p>
        </w:tc>
        <w:tc>
          <w:tcPr>
            <w:tcW w:w="180" w:type="dxa"/>
            <w:vAlign w:val="bottom"/>
          </w:tcPr>
          <w:p>
            <w:pPr>
              <w:spacing w:after="0"/>
              <w:rPr>
                <w:sz w:val="14"/>
                <w:szCs w:val="14"/>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color w:val="auto"/>
              </w:rPr>
              <w:t>COPR</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R&amp;D</w:t>
            </w:r>
          </w:p>
        </w:tc>
        <w:tc>
          <w:tcPr>
            <w:tcW w:w="16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color w:val="auto"/>
              </w:rPr>
              <w:t>SG&amp;A</w:t>
            </w:r>
          </w:p>
        </w:tc>
        <w:tc>
          <w:tcPr>
            <w:tcW w:w="16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color w:val="auto"/>
              </w:rPr>
              <w:t>Amort.</w:t>
            </w:r>
          </w:p>
        </w:tc>
        <w:tc>
          <w:tcPr>
            <w:tcW w:w="20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4"/>
                <w:szCs w:val="14"/>
                <w:color w:val="auto"/>
              </w:rPr>
              <w:t>Interest Exp(Inc)</w:t>
            </w:r>
          </w:p>
        </w:tc>
        <w:tc>
          <w:tcPr>
            <w:tcW w:w="1240" w:type="dxa"/>
            <w:vAlign w:val="bottom"/>
            <w:gridSpan w:val="3"/>
          </w:tcPr>
          <w:p>
            <w:pPr>
              <w:ind w:left="180"/>
              <w:spacing w:after="0"/>
              <w:rPr>
                <w:sz w:val="20"/>
                <w:szCs w:val="20"/>
                <w:color w:val="auto"/>
              </w:rPr>
            </w:pPr>
            <w:r>
              <w:rPr>
                <w:rFonts w:ascii="Arial" w:cs="Arial" w:eastAsia="Arial" w:hAnsi="Arial"/>
                <w:sz w:val="14"/>
                <w:szCs w:val="14"/>
                <w:color w:val="auto"/>
              </w:rPr>
              <w:t>Other Exp(Inc)</w:t>
            </w:r>
          </w:p>
        </w:tc>
        <w:tc>
          <w:tcPr>
            <w:tcW w:w="980" w:type="dxa"/>
            <w:vAlign w:val="bottom"/>
          </w:tcPr>
          <w:p>
            <w:pPr>
              <w:ind w:left="360"/>
              <w:spacing w:after="0"/>
              <w:rPr>
                <w:sz w:val="20"/>
                <w:szCs w:val="20"/>
                <w:color w:val="auto"/>
              </w:rPr>
            </w:pPr>
            <w:r>
              <w:rPr>
                <w:rFonts w:ascii="Arial" w:cs="Arial" w:eastAsia="Arial" w:hAnsi="Arial"/>
                <w:sz w:val="14"/>
                <w:szCs w:val="14"/>
                <w:color w:val="auto"/>
              </w:rPr>
              <w:t>Tax</w:t>
            </w:r>
          </w:p>
        </w:tc>
      </w:tr>
      <w:tr>
        <w:trPr>
          <w:trHeight w:val="195"/>
        </w:trPr>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Acquisition-related charges</w:t>
            </w: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ind w:right="339"/>
              <w:spacing w:after="0" w:line="195" w:lineRule="exact"/>
              <w:rPr>
                <w:sz w:val="20"/>
                <w:szCs w:val="20"/>
                <w:color w:val="auto"/>
              </w:rPr>
            </w:pPr>
            <w:r>
              <w:rPr>
                <w:rFonts w:ascii="Arial" w:cs="Arial" w:eastAsia="Arial" w:hAnsi="Arial"/>
                <w:sz w:val="18"/>
                <w:szCs w:val="18"/>
                <w:color w:val="auto"/>
              </w:rPr>
              <w:t>$  6,370</w:t>
            </w:r>
          </w:p>
        </w:tc>
        <w:tc>
          <w:tcPr>
            <w:tcW w:w="180" w:type="dxa"/>
            <w:vAlign w:val="bottom"/>
          </w:tcPr>
          <w:p>
            <w:pPr>
              <w:spacing w:after="0"/>
              <w:rPr>
                <w:sz w:val="16"/>
                <w:szCs w:val="16"/>
                <w:color w:val="auto"/>
              </w:rPr>
            </w:pPr>
          </w:p>
        </w:tc>
        <w:tc>
          <w:tcPr>
            <w:tcW w:w="680" w:type="dxa"/>
            <w:vAlign w:val="bottom"/>
            <w:tcBorders>
              <w:top w:val="single" w:sz="8" w:color="auto"/>
            </w:tcBorders>
          </w:tcPr>
          <w:p>
            <w:pPr>
              <w:jc w:val="right"/>
              <w:ind w:right="56"/>
              <w:spacing w:after="0" w:line="195" w:lineRule="exact"/>
              <w:rPr>
                <w:sz w:val="20"/>
                <w:szCs w:val="20"/>
                <w:color w:val="auto"/>
              </w:rPr>
            </w:pPr>
            <w:r>
              <w:rPr>
                <w:rFonts w:ascii="Arial" w:cs="Arial" w:eastAsia="Arial" w:hAnsi="Arial"/>
                <w:sz w:val="18"/>
                <w:szCs w:val="18"/>
                <w:color w:val="auto"/>
                <w:w w:val="94"/>
              </w:rPr>
              <w:t>$3,235</w:t>
            </w:r>
          </w:p>
        </w:tc>
        <w:tc>
          <w:tcPr>
            <w:tcW w:w="180" w:type="dxa"/>
            <w:vAlign w:val="bottom"/>
          </w:tcPr>
          <w:p>
            <w:pPr>
              <w:spacing w:after="0"/>
              <w:rPr>
                <w:sz w:val="16"/>
                <w:szCs w:val="16"/>
                <w:color w:val="auto"/>
              </w:rPr>
            </w:pPr>
          </w:p>
        </w:tc>
        <w:tc>
          <w:tcPr>
            <w:tcW w:w="46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w w:val="84"/>
              </w:rPr>
              <w:t>$364</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right"/>
              <w:ind w:right="56"/>
              <w:spacing w:after="0" w:line="195" w:lineRule="exact"/>
              <w:rPr>
                <w:sz w:val="20"/>
                <w:szCs w:val="20"/>
                <w:color w:val="auto"/>
              </w:rPr>
            </w:pPr>
            <w:r>
              <w:rPr>
                <w:rFonts w:ascii="Arial" w:cs="Arial" w:eastAsia="Arial" w:hAnsi="Arial"/>
                <w:sz w:val="18"/>
                <w:szCs w:val="18"/>
                <w:color w:val="auto"/>
              </w:rPr>
              <w:t>$ 2,771</w:t>
            </w:r>
          </w:p>
        </w:tc>
        <w:tc>
          <w:tcPr>
            <w:tcW w:w="160" w:type="dxa"/>
            <w:vAlign w:val="bottom"/>
          </w:tcPr>
          <w:p>
            <w:pPr>
              <w:spacing w:after="0"/>
              <w:rPr>
                <w:sz w:val="16"/>
                <w:szCs w:val="16"/>
                <w:color w:val="auto"/>
              </w:rPr>
            </w:pPr>
          </w:p>
        </w:tc>
        <w:tc>
          <w:tcPr>
            <w:tcW w:w="740" w:type="dxa"/>
            <w:vAlign w:val="bottom"/>
            <w:tcBorders>
              <w:top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80" w:type="dxa"/>
            <w:vAlign w:val="bottom"/>
            <w:tcBorders>
              <w:top w:val="single" w:sz="8" w:color="auto"/>
            </w:tcBorders>
          </w:tcPr>
          <w:p>
            <w:pPr>
              <w:ind w:left="70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8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w w:val="97"/>
              </w:rPr>
              <w:t>Certain employee termination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and related 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846</w:t>
            </w: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2,648</w:t>
            </w: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3"/>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Charges associated with</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discontinued or withdrawn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3,179</w:t>
            </w: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1,291</w:t>
            </w:r>
          </w:p>
        </w:tc>
        <w:tc>
          <w:tcPr>
            <w:tcW w:w="1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Systems implementation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16,300</w:t>
            </w:r>
          </w:p>
        </w:tc>
        <w:tc>
          <w:tcPr>
            <w:tcW w:w="18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
              <w:spacing w:after="0"/>
              <w:rPr>
                <w:sz w:val="20"/>
                <w:szCs w:val="20"/>
                <w:color w:val="auto"/>
              </w:rPr>
            </w:pPr>
            <w:r>
              <w:rPr>
                <w:rFonts w:ascii="Arial" w:cs="Arial" w:eastAsia="Arial" w:hAnsi="Arial"/>
                <w:sz w:val="18"/>
                <w:szCs w:val="18"/>
                <w:color w:val="auto"/>
              </w:rPr>
              <w:t>16,300</w:t>
            </w:r>
          </w:p>
        </w:tc>
        <w:tc>
          <w:tcPr>
            <w:tcW w:w="1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Facility consolidation,</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2,550</w:t>
            </w: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20"/>
                <w:szCs w:val="20"/>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140"/>
          </w:cols>
          <w:pgMar w:left="240" w:top="125" w:right="519" w:bottom="0" w:gutter="0" w:footer="0" w:header="0"/>
        </w:sectPr>
      </w:pPr>
    </w:p>
    <w:bookmarkStart w:id="12" w:name="page13"/>
    <w:bookmarkEnd w:id="1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manufacturing and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9"/>
              </w:rPr>
              <w:t>Charges related to restructuring</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our European entities</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640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640</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Charges related to extending</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our Chief Executive Officer’s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employment contract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8,379</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8,379</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9"/>
              </w:rPr>
              <w:t>Expenses related to refinancing</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the senior credit facility</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790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790</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Expenses related to our Chief</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Operating Officer joining the</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Company</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200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Non-cash amortization of</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imputed interest for</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convertible debt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10,450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10,450</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20,825</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6,095</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14,730</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Income tax expense related to</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above adjustments, quarterly</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adjustments to income tax</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expense related to the</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cumulative impact of changes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in estimated tax rates and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certain infrequently occurring</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items that affected the</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reported tax rate</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(27,927)</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(27,927)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Integra LifeSciences Holdings Corporation</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Roman"/>
      <w:start w:val="3"/>
    </w:lvl>
  </w:abstractNum>
  <w:abstractNum w:abstractNumId="8">
    <w:nsid w:val="1F16E9E8"/>
    <w:multiLevelType w:val="hybridMultilevel"/>
    <w:lvl w:ilvl="0">
      <w:lvlJc w:val="left"/>
      <w:lvlText w:val="(%1)"/>
      <w:numFmt w:val="lowerRoman"/>
      <w:start w:val="6"/>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Letter"/>
      <w:start w:val="2"/>
    </w:lvl>
  </w:abstractNum>
  <w:abstractNum w:abstractNumId="11">
    <w:nsid w:val="140E0F76"/>
    <w:multiLevelType w:val="hybridMultilevel"/>
    <w:lvl w:ilvl="0">
      <w:lvlJc w:val="left"/>
      <w:lvlText w:val="%1)"/>
      <w:numFmt w:val="lowerLetter"/>
      <w:start w:val="6"/>
    </w:lvl>
    <w:lvl w:ilvl="1">
      <w:lvlJc w:val="left"/>
      <w:lvlText w:val="%2)"/>
      <w:numFmt w:val="lowerLetter"/>
      <w:start w:val="7"/>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2019-12-10T12:34:43Z</dcterms:created>
  <dcterms:modified xsi:type="dcterms:W3CDTF">2019-12-10T12:34:43Z</dcterms:modified>
</cp:coreProperties>
</file>