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431165</wp:posOffset>
            </wp:positionV>
            <wp:extent cx="70377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457200</wp:posOffset>
            </wp:positionV>
            <wp:extent cx="70377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8"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32"/>
          <w:szCs w:val="32"/>
          <w:b w:val="1"/>
          <w:bCs w:val="1"/>
          <w:color w:val="auto"/>
        </w:rPr>
        <w:t>SCHEDULE 14A</w:t>
      </w:r>
    </w:p>
    <w:p>
      <w:pPr>
        <w:sectPr>
          <w:pgSz w:w="11900" w:h="16838" w:orient="portrait"/>
          <w:cols w:equalWidth="0" w:num="1">
            <w:col w:w="10700"/>
          </w:cols>
          <w:pgMar w:left="320" w:top="225" w:right="879" w:bottom="1440" w:gutter="0" w:footer="0" w:header="0"/>
        </w:sectPr>
      </w:pPr>
    </w:p>
    <w:p>
      <w:pPr>
        <w:spacing w:after="0" w:line="134" w:lineRule="exact"/>
        <w:rPr>
          <w:sz w:val="24"/>
          <w:szCs w:val="24"/>
          <w:color w:val="auto"/>
        </w:rPr>
      </w:pPr>
    </w:p>
    <w:p>
      <w:pPr>
        <w:ind w:left="3020" w:firstLine="530"/>
        <w:spacing w:after="0" w:line="259" w:lineRule="auto"/>
        <w:rPr>
          <w:sz w:val="20"/>
          <w:szCs w:val="20"/>
          <w:color w:val="auto"/>
        </w:rPr>
      </w:pPr>
      <w:r>
        <w:rPr>
          <w:rFonts w:ascii="Times New Roman" w:cs="Times New Roman" w:eastAsia="Times New Roman" w:hAnsi="Times New Roman"/>
          <w:sz w:val="22"/>
          <w:szCs w:val="22"/>
          <w:b w:val="1"/>
          <w:bCs w:val="1"/>
          <w:color w:val="auto"/>
        </w:rPr>
        <w:t xml:space="preserve">Proxy Statement Pursuant to Section 14(a) of the Securities Exchange Act of 1934 (Amendment No. </w:t>
      </w:r>
      <w:r>
        <w:rPr>
          <w:rFonts w:ascii="Times New Roman" w:cs="Times New Roman" w:eastAsia="Times New Roman" w:hAnsi="Times New Roman"/>
          <w:sz w:val="22"/>
          <w:szCs w:val="22"/>
          <w:color w:val="auto"/>
        </w:rPr>
        <w:t>_____________________</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t>
      </w:r>
    </w:p>
    <w:p>
      <w:pPr>
        <w:spacing w:after="0" w:line="371" w:lineRule="exact"/>
        <w:rPr>
          <w:sz w:val="24"/>
          <w:szCs w:val="24"/>
          <w:color w:val="auto"/>
        </w:rPr>
      </w:pPr>
    </w:p>
    <w:p>
      <w:pPr>
        <w:sectPr>
          <w:pgSz w:w="11900" w:h="16838" w:orient="portrait"/>
          <w:cols w:equalWidth="0" w:num="2">
            <w:col w:w="7940" w:space="220"/>
            <w:col w:w="2540"/>
          </w:cols>
          <w:pgMar w:left="320" w:top="225"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 xml:space="preserve">Filed by the Registrant </w:t>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36" w:lineRule="exact"/>
        <w:rPr>
          <w:sz w:val="24"/>
          <w:szCs w:val="24"/>
          <w:color w:val="auto"/>
        </w:rPr>
      </w:pPr>
    </w:p>
    <w:p>
      <w:pPr>
        <w:sectPr>
          <w:pgSz w:w="11900" w:h="16838" w:orient="portrait"/>
          <w:cols w:equalWidth="0" w:num="3">
            <w:col w:w="2060" w:space="720"/>
            <w:col w:w="2680" w:space="80"/>
            <w:col w:w="5160"/>
          </w:cols>
          <w:pgMar w:left="320" w:top="225" w:right="87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700"/>
          </w:cols>
          <w:pgMar w:left="320" w:top="225" w:right="879" w:bottom="1440" w:gutter="0" w:footer="0" w:header="0"/>
          <w:type w:val="continuous"/>
        </w:sectPr>
      </w:pPr>
    </w:p>
    <w:p>
      <w:pPr>
        <w:spacing w:after="0" w:line="167" w:lineRule="exact"/>
        <w:rPr>
          <w:sz w:val="24"/>
          <w:szCs w:val="24"/>
          <w:color w:val="auto"/>
        </w:rPr>
      </w:pPr>
    </w:p>
    <w:p>
      <w:pPr>
        <w:ind w:left="480" w:hanging="454"/>
        <w:spacing w:after="0"/>
        <w:tabs>
          <w:tab w:leader="none" w:pos="48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Preliminary Proxy Statement</w:t>
      </w:r>
    </w:p>
    <w:p>
      <w:pPr>
        <w:spacing w:after="0" w:line="56" w:lineRule="exact"/>
        <w:rPr>
          <w:rFonts w:ascii="Arial" w:cs="Arial" w:eastAsia="Arial" w:hAnsi="Arial"/>
          <w:sz w:val="16"/>
          <w:szCs w:val="16"/>
          <w:color w:val="auto"/>
        </w:rPr>
      </w:pPr>
    </w:p>
    <w:p>
      <w:pPr>
        <w:ind w:left="480" w:hanging="454"/>
        <w:spacing w:after="0"/>
        <w:tabs>
          <w:tab w:leader="none" w:pos="48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60"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color w:val="auto"/>
        </w:rPr>
        <w:t>x</w:t>
      </w:r>
      <w:r>
        <w:rPr>
          <w:rFonts w:ascii="Times New Roman" w:cs="Times New Roman" w:eastAsia="Times New Roman" w:hAnsi="Times New Roman"/>
          <w:sz w:val="16"/>
          <w:szCs w:val="16"/>
          <w:color w:val="auto"/>
        </w:rPr>
        <w:t>Definitive Proxy Statement</w:t>
      </w:r>
    </w:p>
    <w:p>
      <w:pPr>
        <w:spacing w:after="0" w:line="59" w:lineRule="exact"/>
        <w:rPr>
          <w:rFonts w:ascii="Arial" w:cs="Arial" w:eastAsia="Arial" w:hAnsi="Arial"/>
          <w:sz w:val="16"/>
          <w:szCs w:val="16"/>
          <w:color w:val="auto"/>
        </w:rPr>
      </w:pPr>
    </w:p>
    <w:p>
      <w:pPr>
        <w:ind w:left="480" w:hanging="454"/>
        <w:spacing w:after="0"/>
        <w:tabs>
          <w:tab w:leader="none" w:pos="48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Definitive Additional Materials</w:t>
      </w:r>
    </w:p>
    <w:p>
      <w:pPr>
        <w:spacing w:after="0" w:line="58" w:lineRule="exact"/>
        <w:rPr>
          <w:rFonts w:ascii="Arial" w:cs="Arial" w:eastAsia="Arial" w:hAnsi="Arial"/>
          <w:sz w:val="16"/>
          <w:szCs w:val="16"/>
          <w:color w:val="auto"/>
        </w:rPr>
      </w:pPr>
    </w:p>
    <w:p>
      <w:pPr>
        <w:ind w:left="480" w:hanging="454"/>
        <w:spacing w:after="0"/>
        <w:tabs>
          <w:tab w:leader="none" w:pos="48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Soliciting Material under §240.14a-12</w:t>
      </w:r>
    </w:p>
    <w:p>
      <w:pPr>
        <w:spacing w:after="0" w:line="194"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9"/>
          <w:szCs w:val="39"/>
          <w:b w:val="1"/>
          <w:bCs w:val="1"/>
          <w:color w:val="auto"/>
        </w:rPr>
        <w:t>INTEGRA LIFESCIENCES HOLDINGS CORPORATION</w:t>
      </w:r>
    </w:p>
    <w:p>
      <w:pPr>
        <w:spacing w:after="0" w:line="6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8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167" w:lineRule="exact"/>
        <w:rPr>
          <w:sz w:val="24"/>
          <w:szCs w:val="24"/>
          <w:color w:val="auto"/>
        </w:rPr>
      </w:pPr>
    </w:p>
    <w:p>
      <w:pPr>
        <w:ind w:left="360" w:hanging="334"/>
        <w:spacing w:after="0"/>
        <w:tabs>
          <w:tab w:leader="none" w:pos="36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color w:val="auto"/>
        </w:rPr>
        <w:t>No fee required.</w:t>
      </w:r>
    </w:p>
    <w:p>
      <w:pPr>
        <w:spacing w:after="0" w:line="148" w:lineRule="exact"/>
        <w:rPr>
          <w:sz w:val="24"/>
          <w:szCs w:val="24"/>
          <w:color w:val="auto"/>
        </w:rPr>
      </w:pPr>
    </w:p>
    <w:p>
      <w:pPr>
        <w:ind w:left="360" w:hanging="334"/>
        <w:spacing w:after="0"/>
        <w:tabs>
          <w:tab w:leader="none" w:pos="36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8"/>
          <w:szCs w:val="18"/>
          <w:color w:val="auto"/>
        </w:rPr>
        <w:t>Fee paid previously with preliminary materials.</w:t>
      </w:r>
    </w:p>
    <w:p>
      <w:pPr>
        <w:spacing w:after="0" w:line="144" w:lineRule="exact"/>
        <w:rPr>
          <w:rFonts w:ascii="Arial" w:cs="Arial" w:eastAsia="Arial" w:hAnsi="Arial"/>
          <w:sz w:val="16"/>
          <w:szCs w:val="16"/>
          <w:color w:val="auto"/>
        </w:rPr>
      </w:pPr>
    </w:p>
    <w:p>
      <w:pPr>
        <w:ind w:left="360" w:hanging="334"/>
        <w:spacing w:after="0"/>
        <w:tabs>
          <w:tab w:leader="none" w:pos="360" w:val="left"/>
        </w:tabs>
        <w:numPr>
          <w:ilvl w:val="0"/>
          <w:numId w:val="3"/>
        </w:numPr>
        <w:rPr>
          <w:rFonts w:ascii="Arial" w:cs="Arial" w:eastAsia="Arial" w:hAnsi="Arial"/>
          <w:sz w:val="16"/>
          <w:szCs w:val="16"/>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00"/>
          </w:cols>
          <w:pgMar w:left="320" w:top="225" w:right="879" w:bottom="1440" w:gutter="0" w:footer="0" w:header="0"/>
          <w:type w:val="continuous"/>
        </w:sectPr>
      </w:pPr>
    </w:p>
    <w:bookmarkStart w:id="1" w:name="page2"/>
    <w:bookmarkEnd w:id="1"/>
    <w:p>
      <w:pPr>
        <w:ind w:left="2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5728970</wp:posOffset>
            </wp:positionH>
            <wp:positionV relativeFrom="page">
              <wp:posOffset>106045</wp:posOffset>
            </wp:positionV>
            <wp:extent cx="1602740" cy="574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02740" cy="5740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HELD ON MAY 13, 2022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Integra LifeSciences Holdings Corporation:</w:t>
      </w:r>
    </w:p>
    <w:p>
      <w:pPr>
        <w:spacing w:after="0" w:line="117"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NOTICE IS HEREBY GIVEN that the 2022 Annual Meeting of Stockholders (the “Meeting”) of Integra LifeSciences Holdings Corporation (the “Company”) will be held as, and for the purposes, set forth below:</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9:00 a.m. local time on Friday, May 13, 2022</w:t>
            </w:r>
          </w:p>
        </w:tc>
        <w:tc>
          <w:tcPr>
            <w:tcW w:w="1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30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PLACE</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As part of our precautions regarding the COVID-19 pandemic, to assist in protecting the safety and well-being of our</w:t>
            </w:r>
          </w:p>
        </w:tc>
      </w:tr>
      <w:tr>
        <w:trPr>
          <w:trHeight w:val="216"/>
        </w:trPr>
        <w:tc>
          <w:tcPr>
            <w:tcW w:w="2500" w:type="dxa"/>
            <w:vAlign w:val="bottom"/>
          </w:tcPr>
          <w:p>
            <w:pPr>
              <w:spacing w:after="0"/>
              <w:rPr>
                <w:sz w:val="18"/>
                <w:szCs w:val="18"/>
                <w:color w:val="auto"/>
              </w:rPr>
            </w:pP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stockholders and employees, this year’s Meeting will be held virtually via the Internet. Stockholders will be able to</w:t>
            </w:r>
          </w:p>
        </w:tc>
      </w:tr>
      <w:tr>
        <w:trPr>
          <w:trHeight w:val="216"/>
        </w:trPr>
        <w:tc>
          <w:tcPr>
            <w:tcW w:w="250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listen,</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vote</w:t>
            </w:r>
          </w:p>
        </w:tc>
        <w:tc>
          <w:tcPr>
            <w:tcW w:w="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submit</w:t>
            </w:r>
          </w:p>
        </w:tc>
        <w:tc>
          <w:tcPr>
            <w:tcW w:w="1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questions</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regardless</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their</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location</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via</w:t>
            </w:r>
          </w:p>
        </w:tc>
        <w:tc>
          <w:tcPr>
            <w:tcW w:w="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Internet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w:t>
            </w:r>
          </w:p>
        </w:tc>
      </w:tr>
      <w:tr>
        <w:trPr>
          <w:trHeight w:val="194"/>
        </w:trPr>
        <w:tc>
          <w:tcPr>
            <w:tcW w:w="2500" w:type="dxa"/>
            <w:vAlign w:val="bottom"/>
          </w:tcPr>
          <w:p>
            <w:pPr>
              <w:spacing w:after="0"/>
              <w:rPr>
                <w:sz w:val="16"/>
                <w:szCs w:val="16"/>
                <w:color w:val="auto"/>
              </w:rPr>
            </w:pPr>
          </w:p>
        </w:tc>
        <w:tc>
          <w:tcPr>
            <w:tcW w:w="870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auto"/>
                <w:w w:val="99"/>
              </w:rPr>
              <w:t>www.virtualshareholdermeeting.com/IART2022 by using the 16-digit control number included on your notice regarding</w:t>
            </w:r>
          </w:p>
        </w:tc>
      </w:tr>
      <w:tr>
        <w:trPr>
          <w:trHeight w:val="20"/>
        </w:trPr>
        <w:tc>
          <w:tcPr>
            <w:tcW w:w="2500" w:type="dxa"/>
            <w:vAlign w:val="bottom"/>
          </w:tcPr>
          <w:p>
            <w:pPr>
              <w:spacing w:after="0" w:line="20" w:lineRule="exact"/>
              <w:rPr>
                <w:sz w:val="1"/>
                <w:szCs w:val="1"/>
                <w:color w:val="auto"/>
              </w:rPr>
            </w:pPr>
          </w:p>
        </w:tc>
        <w:tc>
          <w:tcPr>
            <w:tcW w:w="3540" w:type="dxa"/>
            <w:vAlign w:val="bottom"/>
            <w:gridSpan w:val="5"/>
            <w:shd w:val="clear" w:color="auto" w:fill="000000"/>
          </w:tcPr>
          <w:p>
            <w:pPr>
              <w:spacing w:after="0" w:line="20" w:lineRule="exact"/>
              <w:rPr>
                <w:sz w:val="1"/>
                <w:szCs w:val="1"/>
                <w:color w:val="auto"/>
              </w:rPr>
            </w:pPr>
          </w:p>
        </w:tc>
        <w:tc>
          <w:tcPr>
            <w:tcW w:w="5160" w:type="dxa"/>
            <w:vAlign w:val="bottom"/>
            <w:gridSpan w:val="8"/>
          </w:tcPr>
          <w:p>
            <w:pPr>
              <w:spacing w:after="0" w:line="20" w:lineRule="exact"/>
              <w:rPr>
                <w:sz w:val="1"/>
                <w:szCs w:val="1"/>
                <w:color w:val="auto"/>
              </w:rPr>
            </w:pPr>
          </w:p>
        </w:tc>
      </w:tr>
      <w:tr>
        <w:trPr>
          <w:trHeight w:val="218"/>
        </w:trPr>
        <w:tc>
          <w:tcPr>
            <w:tcW w:w="2500" w:type="dxa"/>
            <w:vAlign w:val="bottom"/>
          </w:tcPr>
          <w:p>
            <w:pPr>
              <w:spacing w:after="0"/>
              <w:rPr>
                <w:sz w:val="18"/>
                <w:szCs w:val="18"/>
                <w:color w:val="auto"/>
              </w:rPr>
            </w:pP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availability of proxy materials, proxy card (printed in the box and marked by the arrow) and the instructions that</w:t>
            </w:r>
          </w:p>
        </w:tc>
      </w:tr>
      <w:tr>
        <w:trPr>
          <w:trHeight w:val="216"/>
        </w:trPr>
        <w:tc>
          <w:tcPr>
            <w:tcW w:w="2500" w:type="dxa"/>
            <w:vAlign w:val="bottom"/>
          </w:tcPr>
          <w:p>
            <w:pPr>
              <w:spacing w:after="0"/>
              <w:rPr>
                <w:sz w:val="18"/>
                <w:szCs w:val="18"/>
                <w:color w:val="auto"/>
              </w:rPr>
            </w:pP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accompanied your proxy materials. The Meeting will be held for the purposes stated below, all as more fully described</w:t>
            </w:r>
          </w:p>
        </w:tc>
      </w:tr>
      <w:tr>
        <w:trPr>
          <w:trHeight w:val="234"/>
        </w:trPr>
        <w:tc>
          <w:tcPr>
            <w:tcW w:w="2500" w:type="dxa"/>
            <w:vAlign w:val="bottom"/>
          </w:tcPr>
          <w:p>
            <w:pPr>
              <w:spacing w:after="0"/>
              <w:rPr>
                <w:sz w:val="20"/>
                <w:szCs w:val="20"/>
                <w:color w:val="auto"/>
              </w:rPr>
            </w:pPr>
          </w:p>
        </w:tc>
        <w:tc>
          <w:tcPr>
            <w:tcW w:w="3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the accompanying Proxy Statement.</w:t>
            </w: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8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ITEMS OF BUSINESS</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160" w:type="dxa"/>
            <w:vAlign w:val="bottom"/>
            <w:gridSpan w:val="12"/>
          </w:tcPr>
          <w:p>
            <w:pPr>
              <w:jc w:val="right"/>
              <w:spacing w:after="0"/>
              <w:rPr>
                <w:sz w:val="20"/>
                <w:szCs w:val="20"/>
                <w:color w:val="auto"/>
              </w:rPr>
            </w:pPr>
            <w:r>
              <w:rPr>
                <w:rFonts w:ascii="Times New Roman" w:cs="Times New Roman" w:eastAsia="Times New Roman" w:hAnsi="Times New Roman"/>
                <w:sz w:val="18"/>
                <w:szCs w:val="18"/>
                <w:color w:val="auto"/>
              </w:rPr>
              <w:t>To elect eight directors of the Company to serve until the next annual meeting of stockholders and until their</w:t>
            </w:r>
          </w:p>
        </w:tc>
      </w:tr>
    </w:tbl>
    <w:p>
      <w:pPr>
        <w:ind w:left="2520"/>
        <w:spacing w:after="0"/>
        <w:rPr>
          <w:sz w:val="20"/>
          <w:szCs w:val="20"/>
          <w:color w:val="auto"/>
        </w:rPr>
      </w:pPr>
      <w:r>
        <w:rPr>
          <w:rFonts w:ascii="Times New Roman" w:cs="Times New Roman" w:eastAsia="Times New Roman" w:hAnsi="Times New Roman"/>
          <w:sz w:val="18"/>
          <w:szCs w:val="18"/>
          <w:color w:val="auto"/>
        </w:rPr>
        <w:t>successors are duly elected and qualified.</w:t>
      </w:r>
    </w:p>
    <w:p>
      <w:pPr>
        <w:spacing w:after="0" w:line="84" w:lineRule="exact"/>
        <w:rPr>
          <w:sz w:val="20"/>
          <w:szCs w:val="20"/>
          <w:color w:val="auto"/>
        </w:rPr>
      </w:pPr>
    </w:p>
    <w:p>
      <w:pPr>
        <w:ind w:left="2520" w:right="20" w:firstLine="3"/>
        <w:spacing w:after="0" w:line="282" w:lineRule="auto"/>
        <w:tabs>
          <w:tab w:leader="none" w:pos="31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PricewaterhouseCoopers LLP as the Company’s independent registered public accounting firm for the fiscal year 2022.</w:t>
      </w:r>
    </w:p>
    <w:p>
      <w:pPr>
        <w:spacing w:after="0" w:line="53" w:lineRule="exact"/>
        <w:rPr>
          <w:rFonts w:ascii="Times New Roman" w:cs="Times New Roman" w:eastAsia="Times New Roman" w:hAnsi="Times New Roman"/>
          <w:sz w:val="18"/>
          <w:szCs w:val="18"/>
          <w:color w:val="auto"/>
        </w:rPr>
      </w:pPr>
    </w:p>
    <w:p>
      <w:pPr>
        <w:ind w:left="3180" w:hanging="657"/>
        <w:spacing w:after="0"/>
        <w:tabs>
          <w:tab w:leader="none" w:pos="3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non-binding resolution to approve the compensation of our named executive officers.</w:t>
      </w:r>
    </w:p>
    <w:p>
      <w:pPr>
        <w:spacing w:after="0" w:line="63" w:lineRule="exact"/>
        <w:rPr>
          <w:rFonts w:ascii="Times New Roman" w:cs="Times New Roman" w:eastAsia="Times New Roman" w:hAnsi="Times New Roman"/>
          <w:sz w:val="18"/>
          <w:szCs w:val="18"/>
          <w:color w:val="auto"/>
        </w:rPr>
      </w:pPr>
    </w:p>
    <w:p>
      <w:pPr>
        <w:ind w:left="3180" w:hanging="657"/>
        <w:spacing w:after="0"/>
        <w:tabs>
          <w:tab w:leader="none" w:pos="3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upon any other matters properly coming before the Meeting or any adjournment or postponement</w:t>
      </w:r>
    </w:p>
    <w:p>
      <w:pPr>
        <w:spacing w:after="0" w:line="27" w:lineRule="exact"/>
        <w:rPr>
          <w:rFonts w:ascii="Times New Roman" w:cs="Times New Roman" w:eastAsia="Times New Roman" w:hAnsi="Times New Roman"/>
          <w:sz w:val="18"/>
          <w:szCs w:val="18"/>
          <w:color w:val="auto"/>
        </w:rPr>
      </w:pPr>
    </w:p>
    <w:p>
      <w:pPr>
        <w:ind w:left="2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ectPr>
          <w:pgSz w:w="11900" w:h="16838" w:orient="portrait"/>
          <w:cols w:equalWidth="0" w:num="1">
            <w:col w:w="11240"/>
          </w:cols>
          <w:pgMar w:left="320" w:top="927" w:right="339" w:bottom="1440" w:gutter="0" w:footer="0" w:header="0"/>
        </w:sectPr>
      </w:pPr>
    </w:p>
    <w:p>
      <w:pPr>
        <w:spacing w:after="0" w:line="1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RECORD DATE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Holders of record of the Company’s common stock at the close of business on March 31, 2022 are entitled to notice of, and to vote at, the Meeting and any adjournment or postponement thereof. A list of the stockholders of record will be available for inspection by stockholders on the virtual meeting website during the meeting and will also be available for inspection by any stockholder for any purpose germane to the Meeting for ten days prior to the Meeting during ordinary business hours by contacting Investor Relations by email at ir@integralife.com or by phone at 609-275-0500.</w:t>
      </w:r>
    </w:p>
    <w:p>
      <w:pPr>
        <w:spacing w:after="0" w:line="75" w:lineRule="exact"/>
        <w:rPr>
          <w:sz w:val="20"/>
          <w:szCs w:val="20"/>
          <w:color w:val="auto"/>
        </w:rPr>
      </w:pPr>
    </w:p>
    <w:p>
      <w:pPr>
        <w:sectPr>
          <w:pgSz w:w="11900" w:h="16838" w:orient="portrait"/>
          <w:cols w:equalWidth="0" w:num="2">
            <w:col w:w="1800" w:space="720"/>
            <w:col w:w="8720"/>
          </w:cols>
          <w:pgMar w:left="320" w:top="9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ANNUAL REPORT</w:t>
      </w:r>
    </w:p>
    <w:p>
      <w:pPr>
        <w:spacing w:after="0" w:line="20" w:lineRule="exact"/>
        <w:rPr>
          <w:sz w:val="20"/>
          <w:szCs w:val="20"/>
          <w:color w:val="auto"/>
        </w:rPr>
      </w:pPr>
      <w:r>
        <w:rPr>
          <w:sz w:val="20"/>
          <w:szCs w:val="20"/>
          <w:color w:val="auto"/>
        </w:rPr>
        <w:br w:type="column"/>
      </w:r>
    </w:p>
    <w:p>
      <w:pPr>
        <w:ind w:right="20"/>
        <w:spacing w:after="0" w:line="282" w:lineRule="auto"/>
        <w:rPr>
          <w:sz w:val="20"/>
          <w:szCs w:val="20"/>
          <w:color w:val="auto"/>
        </w:rPr>
      </w:pPr>
      <w:r>
        <w:rPr>
          <w:rFonts w:ascii="Times New Roman" w:cs="Times New Roman" w:eastAsia="Times New Roman" w:hAnsi="Times New Roman"/>
          <w:sz w:val="18"/>
          <w:szCs w:val="18"/>
          <w:color w:val="auto"/>
        </w:rPr>
        <w:t>The 2021 Annual Report of Integra LifeSciences Holdings Corporation is being mailed simultaneously herewith. The Annual Report is not to be considered part of the proxy solicitation materials.</w:t>
      </w:r>
    </w:p>
    <w:p>
      <w:pPr>
        <w:spacing w:after="0" w:line="54" w:lineRule="exact"/>
        <w:rPr>
          <w:sz w:val="20"/>
          <w:szCs w:val="20"/>
          <w:color w:val="auto"/>
        </w:rPr>
      </w:pPr>
    </w:p>
    <w:p>
      <w:pPr>
        <w:sectPr>
          <w:pgSz w:w="11900" w:h="16838" w:orient="portrait"/>
          <w:cols w:equalWidth="0" w:num="2">
            <w:col w:w="1800" w:space="720"/>
            <w:col w:w="8720"/>
          </w:cols>
          <w:pgMar w:left="320" w:top="9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IMPORTANT</w:t>
      </w:r>
    </w:p>
    <w:p>
      <w:pPr>
        <w:spacing w:after="0" w:line="20" w:lineRule="exact"/>
        <w:rPr>
          <w:sz w:val="20"/>
          <w:szCs w:val="20"/>
          <w:color w:val="auto"/>
        </w:rPr>
      </w:pPr>
      <w:r>
        <w:rPr>
          <w:sz w:val="20"/>
          <w:szCs w:val="20"/>
          <w:color w:val="auto"/>
        </w:rPr>
        <w:br w:type="column"/>
      </w: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Your vote is important. Whether or not you plan to participate in the virtual annual meeting, we encourage you to review the proxy materials and vote as soon as possible. You may vote by proxy over the Internet at www.proxyvote.com by using the instructions provided in the notice or proxy card. Alternatively, as you have received your proxy materials by mail, you can also vote by mail by following the instructions on the proxy card. Voting over the Internet or by written proxy will ensure your representation at the annual meeting regardless of whether you participate virtually. Instructions regarding the two methods of voting are contained in the notice or proxy card. If you participate in the virtual meeting, you may vote during the meeting via the Internet even if you have previously returned your proxy card or voting instruction card or voted by the Internet.</w:t>
      </w:r>
    </w:p>
    <w:p>
      <w:pPr>
        <w:sectPr>
          <w:pgSz w:w="11900" w:h="16838" w:orient="portrait"/>
          <w:cols w:equalWidth="0" w:num="2">
            <w:col w:w="1800" w:space="720"/>
            <w:col w:w="8720"/>
          </w:cols>
          <w:pgMar w:left="320" w:top="927" w:right="339" w:bottom="1440" w:gutter="0" w:footer="0" w:header="0"/>
          <w:type w:val="continuous"/>
        </w:sectPr>
      </w:pPr>
    </w:p>
    <w:bookmarkStart w:id="2" w:name="page3"/>
    <w:bookmarkEnd w:id="2"/>
    <w:p>
      <w:pPr>
        <w:ind w:left="20"/>
        <w:spacing w:after="0"/>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drawing>
          <wp:anchor simplePos="0" relativeHeight="251657728" behindDoc="1" locked="0" layoutInCell="0" allowOverlap="1">
            <wp:simplePos x="0" y="0"/>
            <wp:positionH relativeFrom="page">
              <wp:posOffset>5728970</wp:posOffset>
            </wp:positionH>
            <wp:positionV relativeFrom="page">
              <wp:posOffset>106045</wp:posOffset>
            </wp:positionV>
            <wp:extent cx="160274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02740" cy="57404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98" w:lineRule="exact"/>
        <w:rPr>
          <w:sz w:val="20"/>
          <w:szCs w:val="20"/>
          <w:color w:val="auto"/>
        </w:rPr>
      </w:pPr>
    </w:p>
    <w:p>
      <w:pPr>
        <w:ind w:left="5640"/>
        <w:spacing w:after="0"/>
        <w:tabs>
          <w:tab w:leader="none" w:pos="6020" w:val="left"/>
        </w:tabs>
        <w:rPr>
          <w:sz w:val="20"/>
          <w:szCs w:val="20"/>
          <w:color w:val="auto"/>
        </w:rPr>
      </w:pPr>
      <w:r>
        <w:rPr>
          <w:rFonts w:ascii="Times New Roman" w:cs="Times New Roman" w:eastAsia="Times New Roman" w:hAnsi="Times New Roman"/>
          <w:sz w:val="18"/>
          <w:szCs w:val="18"/>
          <w:color w:val="auto"/>
        </w:rPr>
        <w:t>/s/</w:t>
        <w:tab/>
        <w:t>E</w:t>
      </w:r>
      <w:r>
        <w:rPr>
          <w:rFonts w:ascii="Times New Roman" w:cs="Times New Roman" w:eastAsia="Times New Roman" w:hAnsi="Times New Roman"/>
          <w:sz w:val="14"/>
          <w:szCs w:val="14"/>
          <w:color w:val="auto"/>
        </w:rPr>
        <w:t>RIC</w:t>
      </w:r>
      <w:r>
        <w:rPr>
          <w:rFonts w:ascii="Times New Roman" w:cs="Times New Roman" w:eastAsia="Times New Roman" w:hAnsi="Times New Roman"/>
          <w:sz w:val="18"/>
          <w:szCs w:val="18"/>
          <w:color w:val="auto"/>
        </w:rPr>
        <w:t xml:space="preserve"> Ian S</w:t>
      </w:r>
      <w:r>
        <w:rPr>
          <w:rFonts w:ascii="Times New Roman" w:cs="Times New Roman" w:eastAsia="Times New Roman" w:hAnsi="Times New Roman"/>
          <w:sz w:val="14"/>
          <w:szCs w:val="14"/>
          <w:color w:val="auto"/>
        </w:rPr>
        <w:t>CHWARTZ</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Eric Ian Schwartz</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Chief Legal Officer and Secretary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08, 2022</w:t>
      </w:r>
    </w:p>
    <w:p>
      <w:pPr>
        <w:spacing w:after="0" w:line="80"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If you do not vote your shares on the Election of Directors, your brokerage firm may not vote them for you; your shares will remain unvoted.</w:t>
      </w:r>
    </w:p>
    <w:p>
      <w:pPr>
        <w:spacing w:after="0" w:line="47"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Therefore, it is very important that you vote your shares for all proposals, including the Election of Directors (Proposal 1), and the non-binding resolution to approve the compensation of our named executive officers (Proposal 3), each of which are viewed as “non-routine” matters for which brokerage firms may not vote for you without your instructions.</w:t>
      </w:r>
    </w:p>
    <w:p>
      <w:pPr>
        <w:sectPr>
          <w:pgSz w:w="11900" w:h="16838" w:orient="portrait"/>
          <w:cols w:equalWidth="0" w:num="1">
            <w:col w:w="11240"/>
          </w:cols>
          <w:pgMar w:left="320" w:top="92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0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420" w:type="dxa"/>
            <w:vAlign w:val="bottom"/>
          </w:tcPr>
          <w:p>
            <w:pPr>
              <w:spacing w:after="0"/>
              <w:rPr>
                <w:sz w:val="17"/>
                <w:szCs w:val="17"/>
                <w:color w:val="auto"/>
              </w:rPr>
            </w:pPr>
          </w:p>
        </w:tc>
      </w:tr>
      <w:tr>
        <w:trPr>
          <w:trHeight w:val="844"/>
        </w:trPr>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8780" w:type="dxa"/>
            <w:vAlign w:val="bottom"/>
            <w:gridSpan w:val="30"/>
          </w:tcPr>
          <w:p>
            <w:pPr>
              <w:spacing w:after="0"/>
              <w:rPr>
                <w:rFonts w:ascii="Times New Roman" w:cs="Times New Roman" w:eastAsia="Times New Roman" w:hAnsi="Times New Roman"/>
                <w:sz w:val="18"/>
                <w:szCs w:val="18"/>
                <w:color w:val="0000FF"/>
              </w:rPr>
            </w:pPr>
            <w:hyperlink w:anchor="page7">
              <w:r>
                <w:rPr>
                  <w:rFonts w:ascii="Times New Roman" w:cs="Times New Roman" w:eastAsia="Times New Roman" w:hAnsi="Times New Roman"/>
                  <w:sz w:val="18"/>
                  <w:szCs w:val="18"/>
                  <w:color w:val="0000FF"/>
                </w:rPr>
                <w:t>Purpose of Meeting</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1</w:t>
              </w:r>
            </w:hyperlink>
          </w:p>
        </w:tc>
      </w:tr>
      <w:tr>
        <w:trPr>
          <w:trHeight w:val="466"/>
        </w:trPr>
        <w:tc>
          <w:tcPr>
            <w:tcW w:w="20" w:type="dxa"/>
            <w:vAlign w:val="bottom"/>
          </w:tcPr>
          <w:p>
            <w:pPr>
              <w:spacing w:after="0"/>
              <w:rPr>
                <w:sz w:val="24"/>
                <w:szCs w:val="24"/>
                <w:color w:val="auto"/>
              </w:rPr>
            </w:pPr>
          </w:p>
        </w:tc>
        <w:tc>
          <w:tcPr>
            <w:tcW w:w="920" w:type="dxa"/>
            <w:vAlign w:val="bottom"/>
            <w:tcBorders>
              <w:top w:val="single" w:sz="8" w:color="0000FF"/>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7">
              <w:r>
                <w:rPr>
                  <w:rFonts w:ascii="Times New Roman" w:cs="Times New Roman" w:eastAsia="Times New Roman" w:hAnsi="Times New Roman"/>
                  <w:sz w:val="18"/>
                  <w:szCs w:val="18"/>
                  <w:color w:val="0000FF"/>
                  <w:w w:val="99"/>
                </w:rPr>
                <w:t>Record Date</w:t>
              </w:r>
            </w:hyperlink>
          </w:p>
        </w:tc>
        <w:tc>
          <w:tcPr>
            <w:tcW w:w="500" w:type="dxa"/>
            <w:vAlign w:val="bottom"/>
            <w:tcBorders>
              <w:top w:val="single" w:sz="8" w:color="0000FF"/>
            </w:tcBorders>
            <w:gridSpan w:val="2"/>
          </w:tcPr>
          <w:p>
            <w:pPr>
              <w:spacing w:after="0"/>
              <w:rPr>
                <w:sz w:val="24"/>
                <w:szCs w:val="24"/>
                <w:color w:val="auto"/>
              </w:rPr>
            </w:pPr>
          </w:p>
        </w:tc>
        <w:tc>
          <w:tcPr>
            <w:tcW w:w="7360" w:type="dxa"/>
            <w:vAlign w:val="bottom"/>
            <w:gridSpan w:val="26"/>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1</w:t>
              </w:r>
            </w:hyperlink>
          </w:p>
        </w:tc>
      </w:tr>
      <w:tr>
        <w:trPr>
          <w:trHeight w:val="466"/>
        </w:trPr>
        <w:tc>
          <w:tcPr>
            <w:tcW w:w="20" w:type="dxa"/>
            <w:vAlign w:val="bottom"/>
          </w:tcPr>
          <w:p>
            <w:pPr>
              <w:spacing w:after="0"/>
              <w:rPr>
                <w:sz w:val="24"/>
                <w:szCs w:val="24"/>
                <w:color w:val="auto"/>
              </w:rPr>
            </w:pPr>
          </w:p>
        </w:tc>
        <w:tc>
          <w:tcPr>
            <w:tcW w:w="25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w:anchor="page7">
              <w:r>
                <w:rPr>
                  <w:rFonts w:ascii="Times New Roman" w:cs="Times New Roman" w:eastAsia="Times New Roman" w:hAnsi="Times New Roman"/>
                  <w:sz w:val="18"/>
                  <w:szCs w:val="18"/>
                  <w:color w:val="0000FF"/>
                  <w:w w:val="98"/>
                </w:rPr>
                <w:t>Voting and Revocability of Proxies</w:t>
              </w:r>
            </w:hyperlink>
          </w:p>
        </w:tc>
        <w:tc>
          <w:tcPr>
            <w:tcW w:w="6240" w:type="dxa"/>
            <w:vAlign w:val="bottom"/>
            <w:gridSpan w:val="20"/>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1</w:t>
              </w:r>
            </w:hyperlink>
          </w:p>
        </w:tc>
      </w:tr>
      <w:tr>
        <w:trPr>
          <w:trHeight w:val="466"/>
        </w:trPr>
        <w:tc>
          <w:tcPr>
            <w:tcW w:w="20" w:type="dxa"/>
            <w:vAlign w:val="bottom"/>
          </w:tcPr>
          <w:p>
            <w:pPr>
              <w:spacing w:after="0"/>
              <w:rPr>
                <w:sz w:val="24"/>
                <w:szCs w:val="24"/>
                <w:color w:val="auto"/>
              </w:rPr>
            </w:pPr>
          </w:p>
        </w:tc>
        <w:tc>
          <w:tcPr>
            <w:tcW w:w="8780" w:type="dxa"/>
            <w:vAlign w:val="bottom"/>
            <w:gridSpan w:val="30"/>
          </w:tcPr>
          <w:p>
            <w:pPr>
              <w:spacing w:after="0"/>
              <w:rPr>
                <w:rFonts w:ascii="Times New Roman" w:cs="Times New Roman" w:eastAsia="Times New Roman" w:hAnsi="Times New Roman"/>
                <w:sz w:val="18"/>
                <w:szCs w:val="18"/>
                <w:color w:val="0000FF"/>
              </w:rPr>
            </w:pPr>
            <w:hyperlink w:anchor="page9">
              <w:r>
                <w:rPr>
                  <w:rFonts w:ascii="Times New Roman" w:cs="Times New Roman" w:eastAsia="Times New Roman" w:hAnsi="Times New Roman"/>
                  <w:sz w:val="18"/>
                  <w:szCs w:val="18"/>
                  <w:color w:val="0000FF"/>
                </w:rPr>
                <w:t>Criteria for Board Membership and Director Qualifications</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9">
              <w:r>
                <w:rPr>
                  <w:rFonts w:ascii="Times New Roman" w:cs="Times New Roman" w:eastAsia="Times New Roman" w:hAnsi="Times New Roman"/>
                  <w:sz w:val="18"/>
                  <w:szCs w:val="18"/>
                  <w:color w:val="auto"/>
                </w:rPr>
                <w:t>2</w:t>
              </w:r>
            </w:hyperlink>
          </w:p>
        </w:tc>
      </w:tr>
      <w:tr>
        <w:trPr>
          <w:trHeight w:val="466"/>
        </w:trPr>
        <w:tc>
          <w:tcPr>
            <w:tcW w:w="20" w:type="dxa"/>
            <w:vAlign w:val="bottom"/>
          </w:tcPr>
          <w:p>
            <w:pPr>
              <w:spacing w:after="0"/>
              <w:rPr>
                <w:sz w:val="24"/>
                <w:szCs w:val="24"/>
                <w:color w:val="auto"/>
              </w:rPr>
            </w:pPr>
          </w:p>
        </w:tc>
        <w:tc>
          <w:tcPr>
            <w:tcW w:w="2380" w:type="dxa"/>
            <w:vAlign w:val="bottom"/>
            <w:tcBorders>
              <w:top w:val="single" w:sz="8" w:color="0000FF"/>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10">
              <w:r>
                <w:rPr>
                  <w:rFonts w:ascii="Times New Roman" w:cs="Times New Roman" w:eastAsia="Times New Roman" w:hAnsi="Times New Roman"/>
                  <w:sz w:val="18"/>
                  <w:szCs w:val="18"/>
                  <w:color w:val="0000FF"/>
                  <w:w w:val="99"/>
                </w:rPr>
                <w:t>Proposal 1: Election of Directors</w:t>
              </w:r>
            </w:hyperlink>
          </w:p>
        </w:tc>
        <w:tc>
          <w:tcPr>
            <w:tcW w:w="1880" w:type="dxa"/>
            <w:vAlign w:val="bottom"/>
            <w:tcBorders>
              <w:top w:val="single" w:sz="8" w:color="0000FF"/>
            </w:tcBorders>
            <w:gridSpan w:val="16"/>
          </w:tcPr>
          <w:p>
            <w:pPr>
              <w:spacing w:after="0"/>
              <w:rPr>
                <w:sz w:val="24"/>
                <w:szCs w:val="24"/>
                <w:color w:val="auto"/>
              </w:rPr>
            </w:pPr>
          </w:p>
        </w:tc>
        <w:tc>
          <w:tcPr>
            <w:tcW w:w="4520" w:type="dxa"/>
            <w:vAlign w:val="bottom"/>
            <w:gridSpan w:val="6"/>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10">
              <w:r>
                <w:rPr>
                  <w:rFonts w:ascii="Times New Roman" w:cs="Times New Roman" w:eastAsia="Times New Roman" w:hAnsi="Times New Roman"/>
                  <w:sz w:val="18"/>
                  <w:szCs w:val="18"/>
                  <w:color w:val="auto"/>
                </w:rPr>
                <w:t>4</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gridSpan w:val="29"/>
          </w:tcPr>
          <w:p>
            <w:pPr>
              <w:spacing w:after="0"/>
              <w:rPr>
                <w:rFonts w:ascii="Times New Roman" w:cs="Times New Roman" w:eastAsia="Times New Roman" w:hAnsi="Times New Roman"/>
                <w:sz w:val="18"/>
                <w:szCs w:val="18"/>
                <w:color w:val="0000FF"/>
              </w:rPr>
            </w:pPr>
            <w:hyperlink w:anchor="page15">
              <w:r>
                <w:rPr>
                  <w:rFonts w:ascii="Times New Roman" w:cs="Times New Roman" w:eastAsia="Times New Roman" w:hAnsi="Times New Roman"/>
                  <w:sz w:val="18"/>
                  <w:szCs w:val="18"/>
                  <w:color w:val="0000FF"/>
                </w:rPr>
                <w:t>Information Concerning Meetings, Executive Sessions and Certain Committees</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15">
              <w:r>
                <w:rPr>
                  <w:rFonts w:ascii="Times New Roman" w:cs="Times New Roman" w:eastAsia="Times New Roman" w:hAnsi="Times New Roman"/>
                  <w:sz w:val="18"/>
                  <w:szCs w:val="18"/>
                  <w:color w:val="auto"/>
                </w:rPr>
                <w:t>9</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Borders>
              <w:top w:val="single" w:sz="8" w:color="0000FF"/>
            </w:tcBorders>
            <w:gridSpan w:val="28"/>
          </w:tcPr>
          <w:p>
            <w:pPr>
              <w:spacing w:after="0"/>
              <w:rPr>
                <w:rFonts w:ascii="Times New Roman" w:cs="Times New Roman" w:eastAsia="Times New Roman" w:hAnsi="Times New Roman"/>
                <w:sz w:val="18"/>
                <w:szCs w:val="18"/>
                <w:color w:val="0000FF"/>
              </w:rPr>
            </w:pPr>
            <w:hyperlink w:anchor="page18">
              <w:r>
                <w:rPr>
                  <w:rFonts w:ascii="Times New Roman" w:cs="Times New Roman" w:eastAsia="Times New Roman" w:hAnsi="Times New Roman"/>
                  <w:sz w:val="18"/>
                  <w:szCs w:val="18"/>
                  <w:color w:val="0000FF"/>
                </w:rPr>
                <w:t>Board Leadership Structure</w:t>
              </w:r>
            </w:hyperlink>
          </w:p>
        </w:tc>
        <w:tc>
          <w:tcPr>
            <w:tcW w:w="2620" w:type="dxa"/>
            <w:vAlign w:val="bottom"/>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18">
              <w:r>
                <w:rPr>
                  <w:rFonts w:ascii="Times New Roman" w:cs="Times New Roman" w:eastAsia="Times New Roman" w:hAnsi="Times New Roman"/>
                  <w:sz w:val="18"/>
                  <w:szCs w:val="18"/>
                  <w:color w:val="auto"/>
                </w:rPr>
                <w:t>11</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gridSpan w:val="29"/>
          </w:tcPr>
          <w:p>
            <w:pPr>
              <w:spacing w:after="0"/>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The Board’s Role in Risk Oversight</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19">
              <w:r>
                <w:rPr>
                  <w:rFonts w:ascii="Times New Roman" w:cs="Times New Roman" w:eastAsia="Times New Roman" w:hAnsi="Times New Roman"/>
                  <w:sz w:val="18"/>
                  <w:szCs w:val="18"/>
                  <w:color w:val="auto"/>
                </w:rPr>
                <w:t>13</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80" w:type="dxa"/>
            <w:vAlign w:val="bottom"/>
            <w:tcBorders>
              <w:top w:val="single" w:sz="8" w:color="0000FF"/>
            </w:tcBorders>
            <w:gridSpan w:val="16"/>
          </w:tcPr>
          <w:p>
            <w:pPr>
              <w:spacing w:after="0"/>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Corporate Responsibility</w:t>
              </w:r>
            </w:hyperlink>
          </w:p>
        </w:tc>
        <w:tc>
          <w:tcPr>
            <w:tcW w:w="5760" w:type="dxa"/>
            <w:vAlign w:val="bottom"/>
            <w:gridSpan w:val="13"/>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21">
              <w:r>
                <w:rPr>
                  <w:rFonts w:ascii="Times New Roman" w:cs="Times New Roman" w:eastAsia="Times New Roman" w:hAnsi="Times New Roman"/>
                  <w:sz w:val="18"/>
                  <w:szCs w:val="18"/>
                  <w:color w:val="auto"/>
                </w:rPr>
                <w:t>14</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w:anchor="page22">
              <w:r>
                <w:rPr>
                  <w:rFonts w:ascii="Times New Roman" w:cs="Times New Roman" w:eastAsia="Times New Roman" w:hAnsi="Times New Roman"/>
                  <w:sz w:val="18"/>
                  <w:szCs w:val="18"/>
                  <w:color w:val="0000FF"/>
                  <w:w w:val="99"/>
                </w:rPr>
                <w:t>Risk Assessment Regarding Compensation Policies and Practices</w:t>
              </w:r>
            </w:hyperlink>
          </w:p>
        </w:tc>
        <w:tc>
          <w:tcPr>
            <w:tcW w:w="3620" w:type="dxa"/>
            <w:vAlign w:val="bottom"/>
            <w:gridSpan w:val="3"/>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22">
              <w:r>
                <w:rPr>
                  <w:rFonts w:ascii="Times New Roman" w:cs="Times New Roman" w:eastAsia="Times New Roman" w:hAnsi="Times New Roman"/>
                  <w:sz w:val="18"/>
                  <w:szCs w:val="18"/>
                  <w:color w:val="auto"/>
                </w:rPr>
                <w:t>15</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gridSpan w:val="29"/>
          </w:tcPr>
          <w:p>
            <w:pPr>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Director Attendance at Annual Meetings</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16</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2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w:anchor="page23">
              <w:r>
                <w:rPr>
                  <w:rFonts w:ascii="Times New Roman" w:cs="Times New Roman" w:eastAsia="Times New Roman" w:hAnsi="Times New Roman"/>
                  <w:sz w:val="18"/>
                  <w:szCs w:val="18"/>
                  <w:color w:val="0000FF"/>
                </w:rPr>
                <w:t>Communications with the Board</w:t>
              </w:r>
            </w:hyperlink>
          </w:p>
        </w:tc>
        <w:tc>
          <w:tcPr>
            <w:tcW w:w="5420" w:type="dxa"/>
            <w:vAlign w:val="bottom"/>
            <w:gridSpan w:val="9"/>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16</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7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w:anchor="page23">
              <w:r>
                <w:rPr>
                  <w:rFonts w:ascii="Times New Roman" w:cs="Times New Roman" w:eastAsia="Times New Roman" w:hAnsi="Times New Roman"/>
                  <w:sz w:val="18"/>
                  <w:szCs w:val="18"/>
                  <w:color w:val="0000FF"/>
                  <w:w w:val="99"/>
                </w:rPr>
                <w:t>Information About Executive Officers</w:t>
              </w:r>
            </w:hyperlink>
          </w:p>
        </w:tc>
        <w:tc>
          <w:tcPr>
            <w:tcW w:w="6000" w:type="dxa"/>
            <w:vAlign w:val="bottom"/>
            <w:gridSpan w:val="17"/>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17</w:t>
              </w:r>
            </w:hyperlink>
          </w:p>
        </w:tc>
      </w:tr>
      <w:tr>
        <w:trPr>
          <w:trHeight w:val="466"/>
        </w:trPr>
        <w:tc>
          <w:tcPr>
            <w:tcW w:w="20" w:type="dxa"/>
            <w:vAlign w:val="bottom"/>
          </w:tcPr>
          <w:p>
            <w:pPr>
              <w:spacing w:after="0"/>
              <w:rPr>
                <w:sz w:val="24"/>
                <w:szCs w:val="24"/>
                <w:color w:val="auto"/>
              </w:rPr>
            </w:pPr>
          </w:p>
        </w:tc>
        <w:tc>
          <w:tcPr>
            <w:tcW w:w="8780" w:type="dxa"/>
            <w:vAlign w:val="bottom"/>
            <w:gridSpan w:val="30"/>
          </w:tcPr>
          <w:p>
            <w:pPr>
              <w:spacing w:after="0"/>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Proposal 2: Ratification of Independent Registered Public Accounting Firm</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20</w:t>
              </w:r>
            </w:hyperlink>
          </w:p>
        </w:tc>
      </w:tr>
      <w:tr>
        <w:trPr>
          <w:trHeight w:val="466"/>
        </w:trPr>
        <w:tc>
          <w:tcPr>
            <w:tcW w:w="20" w:type="dxa"/>
            <w:vAlign w:val="bottom"/>
          </w:tcPr>
          <w:p>
            <w:pPr>
              <w:spacing w:after="0"/>
              <w:rPr>
                <w:sz w:val="24"/>
                <w:szCs w:val="24"/>
                <w:color w:val="auto"/>
              </w:rPr>
            </w:pPr>
          </w:p>
        </w:tc>
        <w:tc>
          <w:tcPr>
            <w:tcW w:w="5440" w:type="dxa"/>
            <w:vAlign w:val="bottom"/>
            <w:tcBorders>
              <w:top w:val="single" w:sz="8" w:color="0000FF"/>
            </w:tcBorders>
            <w:gridSpan w:val="28"/>
          </w:tcPr>
          <w:p>
            <w:pPr>
              <w:spacing w:after="0"/>
              <w:rPr>
                <w:rFonts w:ascii="Times New Roman" w:cs="Times New Roman" w:eastAsia="Times New Roman" w:hAnsi="Times New Roman"/>
                <w:sz w:val="18"/>
                <w:szCs w:val="18"/>
                <w:color w:val="0000FF"/>
              </w:rPr>
            </w:pPr>
            <w:hyperlink w:anchor="page28">
              <w:r>
                <w:rPr>
                  <w:rFonts w:ascii="Times New Roman" w:cs="Times New Roman" w:eastAsia="Times New Roman" w:hAnsi="Times New Roman"/>
                  <w:sz w:val="18"/>
                  <w:szCs w:val="18"/>
                  <w:color w:val="0000FF"/>
                </w:rPr>
                <w:t xml:space="preserve">Proposal </w:t>
              </w:r>
            </w:hyperlink>
            <w:r>
              <w:rPr>
                <w:rFonts w:ascii="Times New Roman" w:cs="Times New Roman" w:eastAsia="Times New Roman" w:hAnsi="Times New Roman"/>
                <w:sz w:val="18"/>
                <w:szCs w:val="18"/>
                <w:color w:val="0000FF"/>
              </w:rPr>
              <w:t xml:space="preserve">3: </w:t>
            </w:r>
            <w:hyperlink w:anchor="page28">
              <w:r>
                <w:rPr>
                  <w:rFonts w:ascii="Times New Roman" w:cs="Times New Roman" w:eastAsia="Times New Roman" w:hAnsi="Times New Roman"/>
                  <w:sz w:val="18"/>
                  <w:szCs w:val="18"/>
                  <w:color w:val="0000FF"/>
                </w:rPr>
                <w:t>Advisory Vote on Named Executive Officer Compensation</w:t>
              </w:r>
            </w:hyperlink>
          </w:p>
        </w:tc>
        <w:tc>
          <w:tcPr>
            <w:tcW w:w="3340" w:type="dxa"/>
            <w:vAlign w:val="bottom"/>
            <w:gridSpan w:val="2"/>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22</w:t>
              </w:r>
            </w:hyperlink>
          </w:p>
        </w:tc>
      </w:tr>
      <w:tr>
        <w:trPr>
          <w:trHeight w:val="466"/>
        </w:trPr>
        <w:tc>
          <w:tcPr>
            <w:tcW w:w="20" w:type="dxa"/>
            <w:vAlign w:val="bottom"/>
          </w:tcPr>
          <w:p>
            <w:pPr>
              <w:spacing w:after="0"/>
              <w:rPr>
                <w:sz w:val="24"/>
                <w:szCs w:val="24"/>
                <w:color w:val="auto"/>
              </w:rPr>
            </w:pPr>
          </w:p>
        </w:tc>
        <w:tc>
          <w:tcPr>
            <w:tcW w:w="5100" w:type="dxa"/>
            <w:vAlign w:val="bottom"/>
            <w:tcBorders>
              <w:top w:val="single" w:sz="8" w:color="0000FF"/>
            </w:tcBorders>
            <w:gridSpan w:val="26"/>
          </w:tcPr>
          <w:p>
            <w:pPr>
              <w:spacing w:after="0"/>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Executive Compensation</w:t>
              </w:r>
            </w:hyperlink>
          </w:p>
        </w:tc>
        <w:tc>
          <w:tcPr>
            <w:tcW w:w="3680" w:type="dxa"/>
            <w:vAlign w:val="bottom"/>
            <w:gridSpan w:val="4"/>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23</w:t>
              </w:r>
            </w:hyperlink>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Compensation Discussion and Analysis</w:t>
              </w:r>
            </w:hyperlink>
          </w:p>
        </w:tc>
        <w:tc>
          <w:tcPr>
            <w:tcW w:w="5480" w:type="dxa"/>
            <w:vAlign w:val="bottom"/>
            <w:gridSpan w:val="10"/>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24</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2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53">
              <w:r>
                <w:rPr>
                  <w:rFonts w:ascii="Times New Roman" w:cs="Times New Roman" w:eastAsia="Times New Roman" w:hAnsi="Times New Roman"/>
                  <w:sz w:val="18"/>
                  <w:szCs w:val="18"/>
                  <w:color w:val="0000FF"/>
                  <w:w w:val="99"/>
                </w:rPr>
                <w:t>Compensation Committee Report</w:t>
              </w:r>
            </w:hyperlink>
          </w:p>
        </w:tc>
        <w:tc>
          <w:tcPr>
            <w:tcW w:w="5920" w:type="dxa"/>
            <w:vAlign w:val="bottom"/>
            <w:gridSpan w:val="15"/>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53">
              <w:r>
                <w:rPr>
                  <w:rFonts w:ascii="Times New Roman" w:cs="Times New Roman" w:eastAsia="Times New Roman" w:hAnsi="Times New Roman"/>
                  <w:sz w:val="18"/>
                  <w:szCs w:val="18"/>
                  <w:color w:val="auto"/>
                </w:rPr>
                <w:t>47</w:t>
              </w:r>
            </w:hyperlink>
          </w:p>
        </w:tc>
      </w:tr>
      <w:tr>
        <w:trPr>
          <w:trHeight w:val="466"/>
        </w:trPr>
        <w:tc>
          <w:tcPr>
            <w:tcW w:w="20" w:type="dxa"/>
            <w:vAlign w:val="bottom"/>
          </w:tcPr>
          <w:p>
            <w:pPr>
              <w:spacing w:after="0"/>
              <w:rPr>
                <w:sz w:val="24"/>
                <w:szCs w:val="24"/>
                <w:color w:val="auto"/>
              </w:rPr>
            </w:pPr>
          </w:p>
        </w:tc>
        <w:tc>
          <w:tcPr>
            <w:tcW w:w="2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w:anchor="page54">
              <w:r>
                <w:rPr>
                  <w:rFonts w:ascii="Times New Roman" w:cs="Times New Roman" w:eastAsia="Times New Roman" w:hAnsi="Times New Roman"/>
                  <w:sz w:val="18"/>
                  <w:szCs w:val="18"/>
                  <w:color w:val="0000FF"/>
                  <w:w w:val="99"/>
                </w:rPr>
                <w:t>Compensation of Executive Officers</w:t>
              </w:r>
            </w:hyperlink>
          </w:p>
        </w:tc>
        <w:tc>
          <w:tcPr>
            <w:tcW w:w="6140" w:type="dxa"/>
            <w:vAlign w:val="bottom"/>
            <w:gridSpan w:val="19"/>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54">
              <w:r>
                <w:rPr>
                  <w:rFonts w:ascii="Times New Roman" w:cs="Times New Roman" w:eastAsia="Times New Roman" w:hAnsi="Times New Roman"/>
                  <w:sz w:val="18"/>
                  <w:szCs w:val="18"/>
                  <w:color w:val="auto"/>
                </w:rPr>
                <w:t>48</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gridSpan w:val="29"/>
          </w:tcPr>
          <w:p>
            <w:pPr>
              <w:spacing w:after="0"/>
              <w:rPr>
                <w:rFonts w:ascii="Times New Roman" w:cs="Times New Roman" w:eastAsia="Times New Roman" w:hAnsi="Times New Roman"/>
                <w:sz w:val="18"/>
                <w:szCs w:val="18"/>
                <w:color w:val="0000FF"/>
              </w:rPr>
            </w:pPr>
            <w:hyperlink w:anchor="page55">
              <w:r>
                <w:rPr>
                  <w:rFonts w:ascii="Times New Roman" w:cs="Times New Roman" w:eastAsia="Times New Roman" w:hAnsi="Times New Roman"/>
                  <w:sz w:val="18"/>
                  <w:szCs w:val="18"/>
                  <w:color w:val="0000FF"/>
                </w:rPr>
                <w:t>Summary Compensation Table</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55">
              <w:r>
                <w:rPr>
                  <w:rFonts w:ascii="Times New Roman" w:cs="Times New Roman" w:eastAsia="Times New Roman" w:hAnsi="Times New Roman"/>
                  <w:sz w:val="18"/>
                  <w:szCs w:val="18"/>
                  <w:color w:val="auto"/>
                </w:rPr>
                <w:t>48</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980" w:type="dxa"/>
            <w:vAlign w:val="bottom"/>
            <w:gridSpan w:val="7"/>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gridSpan w:val="29"/>
          </w:tcPr>
          <w:p>
            <w:pPr>
              <w:spacing w:after="0"/>
              <w:rPr>
                <w:rFonts w:ascii="Times New Roman" w:cs="Times New Roman" w:eastAsia="Times New Roman" w:hAnsi="Times New Roman"/>
                <w:sz w:val="18"/>
                <w:szCs w:val="18"/>
                <w:color w:val="0000FF"/>
              </w:rPr>
            </w:pPr>
            <w:hyperlink w:anchor="page56">
              <w:r>
                <w:rPr>
                  <w:rFonts w:ascii="Times New Roman" w:cs="Times New Roman" w:eastAsia="Times New Roman" w:hAnsi="Times New Roman"/>
                  <w:sz w:val="18"/>
                  <w:szCs w:val="18"/>
                  <w:color w:val="0000FF"/>
                </w:rPr>
                <w:t>Grants of Plan-Based Awards Table</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49</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160" w:type="dxa"/>
            <w:vAlign w:val="bottom"/>
            <w:gridSpan w:val="9"/>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40" w:type="dxa"/>
            <w:vAlign w:val="bottom"/>
            <w:gridSpan w:val="29"/>
          </w:tcPr>
          <w:p>
            <w:pPr>
              <w:spacing w:after="0"/>
              <w:rPr>
                <w:rFonts w:ascii="Times New Roman" w:cs="Times New Roman" w:eastAsia="Times New Roman" w:hAnsi="Times New Roman"/>
                <w:sz w:val="18"/>
                <w:szCs w:val="18"/>
                <w:color w:val="0000FF"/>
              </w:rPr>
            </w:pPr>
            <w:hyperlink w:anchor="page57">
              <w:r>
                <w:rPr>
                  <w:rFonts w:ascii="Times New Roman" w:cs="Times New Roman" w:eastAsia="Times New Roman" w:hAnsi="Times New Roman"/>
                  <w:sz w:val="18"/>
                  <w:szCs w:val="18"/>
                  <w:color w:val="0000FF"/>
                </w:rPr>
                <w:t>Outstanding Equity Awards at Fiscal Year-End</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51</w:t>
              </w:r>
            </w:hyperlink>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60" w:type="dxa"/>
            <w:vAlign w:val="bottom"/>
            <w:tcBorders>
              <w:top w:val="single" w:sz="8" w:color="0000FF"/>
            </w:tcBorders>
            <w:gridSpan w:val="22"/>
          </w:tcPr>
          <w:p>
            <w:pPr>
              <w:spacing w:after="0"/>
              <w:rPr>
                <w:rFonts w:ascii="Times New Roman" w:cs="Times New Roman" w:eastAsia="Times New Roman" w:hAnsi="Times New Roman"/>
                <w:sz w:val="18"/>
                <w:szCs w:val="18"/>
                <w:color w:val="0000FF"/>
              </w:rPr>
            </w:pPr>
            <w:hyperlink w:anchor="page60">
              <w:r>
                <w:rPr>
                  <w:rFonts w:ascii="Times New Roman" w:cs="Times New Roman" w:eastAsia="Times New Roman" w:hAnsi="Times New Roman"/>
                  <w:sz w:val="18"/>
                  <w:szCs w:val="18"/>
                  <w:color w:val="0000FF"/>
                </w:rPr>
                <w:t>Options Exercised and Stock Vested</w:t>
              </w:r>
            </w:hyperlink>
          </w:p>
        </w:tc>
        <w:tc>
          <w:tcPr>
            <w:tcW w:w="4980" w:type="dxa"/>
            <w:vAlign w:val="bottom"/>
            <w:gridSpan w:val="7"/>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60">
              <w:r>
                <w:rPr>
                  <w:rFonts w:ascii="Times New Roman" w:cs="Times New Roman" w:eastAsia="Times New Roman" w:hAnsi="Times New Roman"/>
                  <w:sz w:val="18"/>
                  <w:szCs w:val="18"/>
                  <w:color w:val="auto"/>
                </w:rPr>
                <w:t>54</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160" w:type="dxa"/>
            <w:vAlign w:val="bottom"/>
            <w:gridSpan w:val="9"/>
            <w:shd w:val="clear" w:color="auto" w:fill="0000FF"/>
          </w:tcPr>
          <w:p>
            <w:pPr>
              <w:spacing w:after="0" w:line="20" w:lineRule="exact"/>
              <w:rPr>
                <w:sz w:val="1"/>
                <w:szCs w:val="1"/>
                <w:color w:val="auto"/>
              </w:rPr>
            </w:pPr>
          </w:p>
        </w:tc>
        <w:tc>
          <w:tcPr>
            <w:tcW w:w="200" w:type="dxa"/>
            <w:vAlign w:val="bottom"/>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Nonqualified Deferred Compensation</w:t>
            </w:r>
          </w:p>
        </w:tc>
        <w:tc>
          <w:tcPr>
            <w:tcW w:w="5620" w:type="dxa"/>
            <w:vAlign w:val="bottom"/>
            <w:gridSpan w:val="11"/>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61">
              <w:r>
                <w:rPr>
                  <w:rFonts w:ascii="Times New Roman" w:cs="Times New Roman" w:eastAsia="Times New Roman" w:hAnsi="Times New Roman"/>
                  <w:sz w:val="18"/>
                  <w:szCs w:val="18"/>
                  <w:color w:val="auto"/>
                </w:rPr>
                <w:t>54</w:t>
              </w:r>
            </w:hyperlink>
          </w:p>
        </w:tc>
      </w:tr>
      <w:tr>
        <w:trPr>
          <w:trHeight w:val="466"/>
        </w:trPr>
        <w:tc>
          <w:tcPr>
            <w:tcW w:w="20" w:type="dxa"/>
            <w:vAlign w:val="bottom"/>
          </w:tcPr>
          <w:p>
            <w:pPr>
              <w:spacing w:after="0"/>
              <w:rPr>
                <w:sz w:val="24"/>
                <w:szCs w:val="24"/>
                <w:color w:val="auto"/>
              </w:rPr>
            </w:pPr>
          </w:p>
        </w:tc>
        <w:tc>
          <w:tcPr>
            <w:tcW w:w="8780" w:type="dxa"/>
            <w:vAlign w:val="bottom"/>
            <w:gridSpan w:val="30"/>
          </w:tcPr>
          <w:p>
            <w:pPr>
              <w:spacing w:after="0"/>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Director Compensation</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66">
              <w:r>
                <w:rPr>
                  <w:rFonts w:ascii="Times New Roman" w:cs="Times New Roman" w:eastAsia="Times New Roman" w:hAnsi="Times New Roman"/>
                  <w:sz w:val="18"/>
                  <w:szCs w:val="18"/>
                  <w:color w:val="auto"/>
                </w:rPr>
                <w:t>59</w:t>
              </w:r>
            </w:hyperlink>
          </w:p>
        </w:tc>
      </w:tr>
      <w:tr>
        <w:trPr>
          <w:trHeight w:val="20"/>
        </w:trPr>
        <w:tc>
          <w:tcPr>
            <w:tcW w:w="20" w:type="dxa"/>
            <w:vAlign w:val="bottom"/>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8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67">
              <w:r>
                <w:rPr>
                  <w:rFonts w:ascii="Times New Roman" w:cs="Times New Roman" w:eastAsia="Times New Roman" w:hAnsi="Times New Roman"/>
                  <w:sz w:val="18"/>
                  <w:szCs w:val="18"/>
                  <w:color w:val="0000FF"/>
                  <w:w w:val="99"/>
                </w:rPr>
                <w:t>Equity Compensation Plan Information</w:t>
              </w:r>
            </w:hyperlink>
          </w:p>
        </w:tc>
        <w:tc>
          <w:tcPr>
            <w:tcW w:w="5940" w:type="dxa"/>
            <w:vAlign w:val="bottom"/>
            <w:gridSpan w:val="16"/>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67">
              <w:r>
                <w:rPr>
                  <w:rFonts w:ascii="Times New Roman" w:cs="Times New Roman" w:eastAsia="Times New Roman" w:hAnsi="Times New Roman"/>
                  <w:sz w:val="18"/>
                  <w:szCs w:val="18"/>
                  <w:color w:val="auto"/>
                </w:rPr>
                <w:t>60</w:t>
              </w:r>
            </w:hyperlink>
          </w:p>
        </w:tc>
      </w:tr>
      <w:tr>
        <w:trPr>
          <w:trHeight w:val="466"/>
        </w:trPr>
        <w:tc>
          <w:tcPr>
            <w:tcW w:w="20" w:type="dxa"/>
            <w:vAlign w:val="bottom"/>
          </w:tcPr>
          <w:p>
            <w:pPr>
              <w:spacing w:after="0"/>
              <w:rPr>
                <w:sz w:val="24"/>
                <w:szCs w:val="24"/>
                <w:color w:val="auto"/>
              </w:rPr>
            </w:pPr>
          </w:p>
        </w:tc>
        <w:tc>
          <w:tcPr>
            <w:tcW w:w="8780" w:type="dxa"/>
            <w:vAlign w:val="bottom"/>
            <w:gridSpan w:val="30"/>
          </w:tcPr>
          <w:p>
            <w:pPr>
              <w:spacing w:after="0"/>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Compensation Committee Interlocks and Insider Participation</w:t>
              </w:r>
            </w:hyperlink>
          </w:p>
        </w:tc>
        <w:tc>
          <w:tcPr>
            <w:tcW w:w="2420" w:type="dxa"/>
            <w:vAlign w:val="bottom"/>
          </w:tcPr>
          <w:p>
            <w:pPr>
              <w:jc w:val="right"/>
              <w:spacing w:after="0"/>
              <w:rPr>
                <w:rFonts w:ascii="Times New Roman" w:cs="Times New Roman" w:eastAsia="Times New Roman" w:hAnsi="Times New Roman"/>
                <w:sz w:val="18"/>
                <w:szCs w:val="18"/>
                <w:color w:val="auto"/>
              </w:rPr>
            </w:pPr>
            <w:hyperlink w:anchor="page68">
              <w:r>
                <w:rPr>
                  <w:rFonts w:ascii="Times New Roman" w:cs="Times New Roman" w:eastAsia="Times New Roman" w:hAnsi="Times New Roman"/>
                  <w:sz w:val="18"/>
                  <w:szCs w:val="18"/>
                  <w:color w:val="auto"/>
                </w:rPr>
                <w:t>61</w:t>
              </w:r>
            </w:hyperlink>
          </w:p>
        </w:tc>
      </w:tr>
      <w:tr>
        <w:trPr>
          <w:trHeight w:val="466"/>
        </w:trPr>
        <w:tc>
          <w:tcPr>
            <w:tcW w:w="20" w:type="dxa"/>
            <w:vAlign w:val="bottom"/>
          </w:tcPr>
          <w:p>
            <w:pPr>
              <w:spacing w:after="0"/>
              <w:rPr>
                <w:sz w:val="24"/>
                <w:szCs w:val="24"/>
                <w:color w:val="auto"/>
              </w:rPr>
            </w:pPr>
          </w:p>
        </w:tc>
        <w:tc>
          <w:tcPr>
            <w:tcW w:w="3420" w:type="dxa"/>
            <w:vAlign w:val="bottom"/>
            <w:tcBorders>
              <w:top w:val="single" w:sz="8" w:color="0000FF"/>
              <w:bottom w:val="single" w:sz="8" w:color="0000FF"/>
            </w:tcBorders>
            <w:gridSpan w:val="22"/>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Certain Relationships and Related Transactions</w:t>
              </w:r>
            </w:hyperlink>
          </w:p>
        </w:tc>
        <w:tc>
          <w:tcPr>
            <w:tcW w:w="1040" w:type="dxa"/>
            <w:vAlign w:val="bottom"/>
            <w:tcBorders>
              <w:top w:val="single" w:sz="8" w:color="0000FF"/>
            </w:tcBorders>
            <w:gridSpan w:val="3"/>
          </w:tcPr>
          <w:p>
            <w:pPr>
              <w:spacing w:after="0"/>
              <w:rPr>
                <w:sz w:val="24"/>
                <w:szCs w:val="24"/>
                <w:color w:val="auto"/>
              </w:rPr>
            </w:pPr>
          </w:p>
        </w:tc>
        <w:tc>
          <w:tcPr>
            <w:tcW w:w="4320" w:type="dxa"/>
            <w:vAlign w:val="bottom"/>
            <w:gridSpan w:val="5"/>
          </w:tcPr>
          <w:p>
            <w:pPr>
              <w:spacing w:after="0"/>
              <w:rPr>
                <w:sz w:val="24"/>
                <w:szCs w:val="24"/>
                <w:color w:val="auto"/>
              </w:rPr>
            </w:pPr>
          </w:p>
        </w:tc>
        <w:tc>
          <w:tcPr>
            <w:tcW w:w="2420" w:type="dxa"/>
            <w:vAlign w:val="bottom"/>
          </w:tcPr>
          <w:p>
            <w:pPr>
              <w:jc w:val="right"/>
              <w:spacing w:after="0"/>
              <w:rPr>
                <w:rFonts w:ascii="Times New Roman" w:cs="Times New Roman" w:eastAsia="Times New Roman" w:hAnsi="Times New Roman"/>
                <w:sz w:val="18"/>
                <w:szCs w:val="18"/>
                <w:color w:val="auto"/>
              </w:rPr>
            </w:pPr>
            <w:hyperlink w:anchor="page68">
              <w:r>
                <w:rPr>
                  <w:rFonts w:ascii="Times New Roman" w:cs="Times New Roman" w:eastAsia="Times New Roman" w:hAnsi="Times New Roman"/>
                  <w:sz w:val="18"/>
                  <w:szCs w:val="18"/>
                  <w:color w:val="auto"/>
                </w:rPr>
                <w:t>62</w:t>
              </w:r>
            </w:hyperlink>
          </w:p>
        </w:tc>
      </w:tr>
    </w:tbl>
    <w:p>
      <w:pPr>
        <w:spacing w:after="0" w:line="200" w:lineRule="exact"/>
        <w:rPr>
          <w:sz w:val="20"/>
          <w:szCs w:val="20"/>
          <w:color w:val="auto"/>
        </w:rPr>
      </w:pPr>
    </w:p>
    <w:p>
      <w:pPr>
        <w:sectPr>
          <w:pgSz w:w="11900" w:h="16838" w:orient="portrait"/>
          <w:cols w:equalWidth="0" w:num="1">
            <w:col w:w="11220"/>
          </w:cols>
          <w:pgMar w:left="320" w:top="419" w:right="359" w:bottom="11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ectPr>
          <w:pgSz w:w="11900" w:h="16838" w:orient="portrait"/>
          <w:cols w:equalWidth="0" w:num="1">
            <w:col w:w="11220"/>
          </w:cols>
          <w:pgMar w:left="320" w:top="419" w:right="359" w:bottom="113"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w:anchor="page69">
              <w:r>
                <w:rPr>
                  <w:rFonts w:ascii="Times New Roman" w:cs="Times New Roman" w:eastAsia="Times New Roman" w:hAnsi="Times New Roman"/>
                  <w:sz w:val="18"/>
                  <w:szCs w:val="18"/>
                  <w:color w:val="0000FF"/>
                  <w:w w:val="99"/>
                </w:rPr>
                <w:t>Audit Committee Report</w:t>
              </w:r>
            </w:hyperlink>
          </w:p>
        </w:tc>
        <w:tc>
          <w:tcPr>
            <w:tcW w:w="3020" w:type="dxa"/>
            <w:vAlign w:val="bottom"/>
            <w:gridSpan w:val="2"/>
          </w:tcPr>
          <w:p>
            <w:pPr>
              <w:spacing w:after="0"/>
              <w:rPr>
                <w:sz w:val="17"/>
                <w:szCs w:val="17"/>
                <w:color w:val="auto"/>
              </w:rPr>
            </w:pPr>
          </w:p>
        </w:tc>
        <w:tc>
          <w:tcPr>
            <w:tcW w:w="6380" w:type="dxa"/>
            <w:vAlign w:val="bottom"/>
          </w:tcPr>
          <w:p>
            <w:pPr>
              <w:jc w:val="right"/>
              <w:spacing w:after="0"/>
              <w:rPr>
                <w:rFonts w:ascii="Times New Roman" w:cs="Times New Roman" w:eastAsia="Times New Roman" w:hAnsi="Times New Roman"/>
                <w:sz w:val="18"/>
                <w:szCs w:val="18"/>
                <w:color w:val="auto"/>
              </w:rPr>
            </w:pPr>
            <w:hyperlink w:anchor="page69">
              <w:r>
                <w:rPr>
                  <w:rFonts w:ascii="Times New Roman" w:cs="Times New Roman" w:eastAsia="Times New Roman" w:hAnsi="Times New Roman"/>
                  <w:sz w:val="18"/>
                  <w:szCs w:val="18"/>
                  <w:color w:val="auto"/>
                </w:rPr>
                <w:t>63</w:t>
              </w:r>
            </w:hyperlink>
          </w:p>
        </w:tc>
      </w:tr>
      <w:tr>
        <w:trPr>
          <w:trHeight w:val="466"/>
        </w:trPr>
        <w:tc>
          <w:tcPr>
            <w:tcW w:w="164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70">
              <w:r>
                <w:rPr>
                  <w:rFonts w:ascii="Times New Roman" w:cs="Times New Roman" w:eastAsia="Times New Roman" w:hAnsi="Times New Roman"/>
                  <w:sz w:val="18"/>
                  <w:szCs w:val="18"/>
                  <w:color w:val="0000FF"/>
                  <w:w w:val="99"/>
                </w:rPr>
                <w:t>Principal Stockholders</w:t>
              </w:r>
            </w:hyperlink>
          </w:p>
        </w:tc>
        <w:tc>
          <w:tcPr>
            <w:tcW w:w="3180" w:type="dxa"/>
            <w:vAlign w:val="bottom"/>
            <w:gridSpan w:val="3"/>
          </w:tcPr>
          <w:p>
            <w:pPr>
              <w:spacing w:after="0"/>
              <w:rPr>
                <w:sz w:val="24"/>
                <w:szCs w:val="24"/>
                <w:color w:val="auto"/>
              </w:rPr>
            </w:pPr>
          </w:p>
        </w:tc>
        <w:tc>
          <w:tcPr>
            <w:tcW w:w="6380" w:type="dxa"/>
            <w:vAlign w:val="bottom"/>
          </w:tcPr>
          <w:p>
            <w:pPr>
              <w:jc w:val="right"/>
              <w:spacing w:after="0"/>
              <w:rPr>
                <w:rFonts w:ascii="Times New Roman" w:cs="Times New Roman" w:eastAsia="Times New Roman" w:hAnsi="Times New Roman"/>
                <w:sz w:val="18"/>
                <w:szCs w:val="18"/>
                <w:color w:val="auto"/>
              </w:rPr>
            </w:pPr>
            <w:hyperlink w:anchor="page70">
              <w:r>
                <w:rPr>
                  <w:rFonts w:ascii="Times New Roman" w:cs="Times New Roman" w:eastAsia="Times New Roman" w:hAnsi="Times New Roman"/>
                  <w:sz w:val="18"/>
                  <w:szCs w:val="18"/>
                  <w:color w:val="auto"/>
                </w:rPr>
                <w:t>64</w:t>
              </w:r>
            </w:hyperlink>
          </w:p>
        </w:tc>
      </w:tr>
      <w:tr>
        <w:trPr>
          <w:trHeight w:val="466"/>
        </w:trPr>
        <w:tc>
          <w:tcPr>
            <w:tcW w:w="24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w:anchor="page72">
              <w:r>
                <w:rPr>
                  <w:rFonts w:ascii="Times New Roman" w:cs="Times New Roman" w:eastAsia="Times New Roman" w:hAnsi="Times New Roman"/>
                  <w:sz w:val="18"/>
                  <w:szCs w:val="18"/>
                  <w:color w:val="0000FF"/>
                  <w:w w:val="99"/>
                </w:rPr>
                <w:t>Delinquent Section 16(a) Reports</w:t>
              </w:r>
            </w:hyperlink>
          </w:p>
        </w:tc>
        <w:tc>
          <w:tcPr>
            <w:tcW w:w="2400" w:type="dxa"/>
            <w:vAlign w:val="bottom"/>
          </w:tcPr>
          <w:p>
            <w:pPr>
              <w:spacing w:after="0"/>
              <w:rPr>
                <w:sz w:val="24"/>
                <w:szCs w:val="24"/>
                <w:color w:val="auto"/>
              </w:rPr>
            </w:pPr>
          </w:p>
        </w:tc>
        <w:tc>
          <w:tcPr>
            <w:tcW w:w="6380" w:type="dxa"/>
            <w:vAlign w:val="bottom"/>
          </w:tcPr>
          <w:p>
            <w:pPr>
              <w:jc w:val="right"/>
              <w:spacing w:after="0"/>
              <w:rPr>
                <w:rFonts w:ascii="Times New Roman" w:cs="Times New Roman" w:eastAsia="Times New Roman" w:hAnsi="Times New Roman"/>
                <w:sz w:val="18"/>
                <w:szCs w:val="18"/>
                <w:color w:val="auto"/>
              </w:rPr>
            </w:pPr>
            <w:hyperlink w:anchor="page72">
              <w:r>
                <w:rPr>
                  <w:rFonts w:ascii="Times New Roman" w:cs="Times New Roman" w:eastAsia="Times New Roman" w:hAnsi="Times New Roman"/>
                  <w:sz w:val="18"/>
                  <w:szCs w:val="18"/>
                  <w:color w:val="auto"/>
                </w:rPr>
                <w:t>66</w:t>
              </w:r>
            </w:hyperlink>
          </w:p>
        </w:tc>
      </w:tr>
      <w:tr>
        <w:trPr>
          <w:trHeight w:val="466"/>
        </w:trPr>
        <w:tc>
          <w:tcPr>
            <w:tcW w:w="4820" w:type="dxa"/>
            <w:vAlign w:val="bottom"/>
            <w:gridSpan w:val="6"/>
          </w:tcPr>
          <w:p>
            <w:pPr>
              <w:spacing w:after="0"/>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Stockholder Proposals</w:t>
              </w:r>
            </w:hyperlink>
          </w:p>
        </w:tc>
        <w:tc>
          <w:tcPr>
            <w:tcW w:w="6380" w:type="dxa"/>
            <w:vAlign w:val="bottom"/>
          </w:tcPr>
          <w:p>
            <w:pPr>
              <w:jc w:val="right"/>
              <w:spacing w:after="0"/>
              <w:rPr>
                <w:rFonts w:ascii="Times New Roman" w:cs="Times New Roman" w:eastAsia="Times New Roman" w:hAnsi="Times New Roman"/>
                <w:sz w:val="18"/>
                <w:szCs w:val="18"/>
                <w:color w:val="auto"/>
              </w:rPr>
            </w:pPr>
            <w:hyperlink w:anchor="page73">
              <w:r>
                <w:rPr>
                  <w:rFonts w:ascii="Times New Roman" w:cs="Times New Roman" w:eastAsia="Times New Roman" w:hAnsi="Times New Roman"/>
                  <w:sz w:val="18"/>
                  <w:szCs w:val="18"/>
                  <w:color w:val="auto"/>
                </w:rPr>
                <w:t>66</w:t>
              </w:r>
            </w:hyperlink>
          </w:p>
        </w:tc>
      </w:tr>
      <w:tr>
        <w:trPr>
          <w:trHeight w:val="466"/>
        </w:trPr>
        <w:tc>
          <w:tcPr>
            <w:tcW w:w="1020" w:type="dxa"/>
            <w:vAlign w:val="bottom"/>
            <w:tcBorders>
              <w:top w:val="single" w:sz="8" w:color="0000FF"/>
              <w:bottom w:val="single" w:sz="8" w:color="0000FF"/>
            </w:tcBorders>
          </w:tcPr>
          <w:p>
            <w:pPr>
              <w:spacing w:after="0"/>
              <w:rPr>
                <w:rFonts w:ascii="Times New Roman" w:cs="Times New Roman" w:eastAsia="Times New Roman" w:hAnsi="Times New Roman"/>
                <w:sz w:val="18"/>
                <w:szCs w:val="18"/>
                <w:color w:val="0000FF"/>
                <w:w w:val="99"/>
              </w:rPr>
            </w:pPr>
            <w:hyperlink w:anchor="page73">
              <w:r>
                <w:rPr>
                  <w:rFonts w:ascii="Times New Roman" w:cs="Times New Roman" w:eastAsia="Times New Roman" w:hAnsi="Times New Roman"/>
                  <w:sz w:val="18"/>
                  <w:szCs w:val="18"/>
                  <w:color w:val="0000FF"/>
                  <w:w w:val="99"/>
                </w:rPr>
                <w:t>Other Matters</w:t>
              </w:r>
            </w:hyperlink>
          </w:p>
        </w:tc>
        <w:tc>
          <w:tcPr>
            <w:tcW w:w="600" w:type="dxa"/>
            <w:vAlign w:val="bottom"/>
            <w:tcBorders>
              <w:top w:val="single" w:sz="8" w:color="0000FF"/>
            </w:tcBorders>
          </w:tcPr>
          <w:p>
            <w:pPr>
              <w:spacing w:after="0"/>
              <w:rPr>
                <w:sz w:val="24"/>
                <w:szCs w:val="24"/>
                <w:color w:val="auto"/>
              </w:rPr>
            </w:pPr>
          </w:p>
        </w:tc>
        <w:tc>
          <w:tcPr>
            <w:tcW w:w="3200" w:type="dxa"/>
            <w:vAlign w:val="bottom"/>
            <w:gridSpan w:val="4"/>
          </w:tcPr>
          <w:p>
            <w:pPr>
              <w:spacing w:after="0"/>
              <w:rPr>
                <w:sz w:val="24"/>
                <w:szCs w:val="24"/>
                <w:color w:val="auto"/>
              </w:rPr>
            </w:pPr>
          </w:p>
        </w:tc>
        <w:tc>
          <w:tcPr>
            <w:tcW w:w="6380" w:type="dxa"/>
            <w:vAlign w:val="bottom"/>
          </w:tcPr>
          <w:p>
            <w:pPr>
              <w:jc w:val="right"/>
              <w:spacing w:after="0"/>
              <w:rPr>
                <w:rFonts w:ascii="Times New Roman" w:cs="Times New Roman" w:eastAsia="Times New Roman" w:hAnsi="Times New Roman"/>
                <w:sz w:val="18"/>
                <w:szCs w:val="18"/>
                <w:color w:val="auto"/>
              </w:rPr>
            </w:pPr>
            <w:hyperlink w:anchor="page73">
              <w:r>
                <w:rPr>
                  <w:rFonts w:ascii="Times New Roman" w:cs="Times New Roman" w:eastAsia="Times New Roman" w:hAnsi="Times New Roman"/>
                  <w:sz w:val="18"/>
                  <w:szCs w:val="18"/>
                  <w:color w:val="auto"/>
                </w:rPr>
                <w:t>67</w:t>
              </w:r>
            </w:hyperlink>
          </w:p>
        </w:tc>
      </w:tr>
      <w:tr>
        <w:trPr>
          <w:trHeight w:val="466"/>
        </w:trPr>
        <w:tc>
          <w:tcPr>
            <w:tcW w:w="482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9"/>
              </w:rPr>
            </w:pPr>
            <w:hyperlink w:anchor="page74">
              <w:r>
                <w:rPr>
                  <w:rFonts w:ascii="Times New Roman" w:cs="Times New Roman" w:eastAsia="Times New Roman" w:hAnsi="Times New Roman"/>
                  <w:sz w:val="18"/>
                  <w:szCs w:val="18"/>
                  <w:color w:val="0000FF"/>
                  <w:w w:val="99"/>
                </w:rPr>
                <w:t>Appendix A — Reconciliations of Non-GAAP Financial Measures</w:t>
              </w:r>
            </w:hyperlink>
          </w:p>
        </w:tc>
        <w:tc>
          <w:tcPr>
            <w:tcW w:w="6380" w:type="dxa"/>
            <w:vAlign w:val="bottom"/>
          </w:tcPr>
          <w:p>
            <w:pPr>
              <w:jc w:val="right"/>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hyperlink w:anchor="page74">
              <w:r>
                <w:rPr>
                  <w:rFonts w:ascii="Times New Roman" w:cs="Times New Roman" w:eastAsia="Times New Roman" w:hAnsi="Times New Roman"/>
                  <w:sz w:val="18"/>
                  <w:szCs w:val="18"/>
                  <w:color w:val="auto"/>
                </w:rPr>
                <w:t>1</w:t>
              </w:r>
            </w:hyperlink>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20"/>
          </w:cols>
          <w:pgMar w:left="320" w:top="428" w:right="3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color w:val="auto"/>
        </w:rPr>
        <w:t>(This page Intentionally left blank)</w:t>
      </w:r>
    </w:p>
    <w:p>
      <w:pPr>
        <w:sectPr>
          <w:pgSz w:w="11900" w:h="16838" w:orient="portrait"/>
          <w:cols w:equalWidth="0" w:num="1">
            <w:col w:w="10139"/>
          </w:cols>
          <w:pgMar w:left="320" w:top="428" w:right="1440"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INTEGRA LIFESCIENCES HOLDINGS CORPORATION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PRINCETON, NEW JERSEY 08540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ANNUAL MEETING OF STOCKHOLDERS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BE HELD ON MAY 13, 2022</w:t>
      </w:r>
    </w:p>
    <w:p>
      <w:pPr>
        <w:spacing w:after="0" w:line="79" w:lineRule="exact"/>
        <w:rPr>
          <w:sz w:val="20"/>
          <w:szCs w:val="20"/>
          <w:color w:val="auto"/>
        </w:rPr>
      </w:pPr>
    </w:p>
    <w:p>
      <w:pPr>
        <w:jc w:val="center"/>
        <w:ind w:left="340" w:right="174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MAY 13, 2022. The proxy statement and annual report to security holders are available on our internet site at http://investor.integralife.com/financials.cfm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 OF MEETING</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We are providing this Proxy Statement to holders of our common stock in connection with the solicitation by the Board of Directors (the "Board") of Integra LifeSciences Holdings Corporation (the “Company” or "Integra") of proxies to be voted at the Company’s 2022 Annual Meeting of Stockholders (the “Meeting”) and at any adjournments or postponements thereof. The Meeting will begin at 9:00 a.m. local time on Friday, May 13, 2022 and will be held virtually via the Internet at </w:t>
      </w:r>
      <w:r>
        <w:rPr>
          <w:rFonts w:ascii="Times New Roman" w:cs="Times New Roman" w:eastAsia="Times New Roman" w:hAnsi="Times New Roman"/>
          <w:sz w:val="18"/>
          <w:szCs w:val="18"/>
          <w:u w:val="single" w:color="auto"/>
          <w:color w:val="auto"/>
        </w:rPr>
        <w:t>www.virtualshareholdermeeting.com/IART2022</w:t>
      </w:r>
      <w:r>
        <w:rPr>
          <w:rFonts w:ascii="Times New Roman" w:cs="Times New Roman" w:eastAsia="Times New Roman" w:hAnsi="Times New Roman"/>
          <w:sz w:val="18"/>
          <w:szCs w:val="18"/>
          <w:color w:val="auto"/>
        </w:rPr>
        <w:t>. We are first mailing this Proxy Statement, the Notice of Annual Meeting of Stockholders and the form of proxy to stockholders of the Company on or about April 08, 2022.</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the Meeting, we will ask the stockholders of the Company to consider and vote upon:</w:t>
      </w:r>
    </w:p>
    <w:p>
      <w:pPr>
        <w:spacing w:after="0" w:line="117" w:lineRule="exact"/>
        <w:rPr>
          <w:sz w:val="20"/>
          <w:szCs w:val="20"/>
          <w:color w:val="auto"/>
        </w:rPr>
      </w:pPr>
    </w:p>
    <w:p>
      <w:pPr>
        <w:ind w:left="500" w:right="580" w:firstLine="480"/>
        <w:spacing w:after="0" w:line="282"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eight directors to serve until the next annual meeting of stockholders and until their successors are duly elected and qualified (see “Proposal 1. Election of Directors”);</w:t>
      </w:r>
    </w:p>
    <w:p>
      <w:pPr>
        <w:spacing w:after="0" w:line="53" w:lineRule="exact"/>
        <w:rPr>
          <w:rFonts w:ascii="Times New Roman" w:cs="Times New Roman" w:eastAsia="Times New Roman" w:hAnsi="Times New Roman"/>
          <w:sz w:val="18"/>
          <w:szCs w:val="18"/>
          <w:color w:val="auto"/>
        </w:rPr>
      </w:pPr>
    </w:p>
    <w:p>
      <w:pPr>
        <w:ind w:left="500" w:firstLine="480"/>
        <w:spacing w:after="0" w:line="282" w:lineRule="auto"/>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the Company’s independent registered public accounting firm for the fiscal year 2022 (see “Proposal 2. Ratification of Independent Registered Public Accounting Firm”); and</w:t>
      </w:r>
    </w:p>
    <w:p>
      <w:pPr>
        <w:spacing w:after="0" w:line="53" w:lineRule="exact"/>
        <w:rPr>
          <w:rFonts w:ascii="Times New Roman" w:cs="Times New Roman" w:eastAsia="Times New Roman" w:hAnsi="Times New Roman"/>
          <w:sz w:val="18"/>
          <w:szCs w:val="18"/>
          <w:color w:val="auto"/>
        </w:rPr>
      </w:pPr>
    </w:p>
    <w:p>
      <w:pPr>
        <w:ind w:left="500" w:right="580" w:firstLine="480"/>
        <w:spacing w:after="0" w:line="282" w:lineRule="auto"/>
        <w:tabs>
          <w:tab w:leader="none" w:pos="13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resolution to approve the compensation of our named executive officers (see “Proposal 3. Advisory Vote on Named Executive Officer Compensation”).</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2022, the record date for the Meeting, 83,133,152 shares of our common stock were outstanding. Only holders of record of our common stock as of the close of business on the record date are entitled to notice of, and to vote at, the Meeting or at any adjournment or postponement thereof.</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REGARDING VOTING AND REVOCABILITY OF PROXIES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Each share of our common stock entitles the holder of record thereof to one vote. Each stockholder may vote virtually or by proxy on all matters that properly come before the Meeting and any adjournment or postponement thereof. The presence, virtually or by proxy, of stockholders entitled to vote a majority of the shares of common stock outstanding on the record date will constitute a quorum for purposes of voting at the Meeting. 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2022 fiscal year (“Proposal 2”).</w:t>
      </w: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428" w:right="3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all other instances, brokers and other shareowners of record who serve as nominees for a beneficial owner may not vote on a proposal without having voting instructions from the beneficial owner.</w:t>
      </w:r>
    </w:p>
    <w:p>
      <w:pPr>
        <w:spacing w:after="0" w:line="5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any instructions indicated on such proxies. For Proposals 1, 2, and 3 you may vote “FOR,” “AGAINST” or “ABSTAIN.” If you sign your proxy card or broker voting instruction card with no further instructions, your shares will be voted in accordance with the recommendations of the Board of Directors.</w:t>
      </w:r>
    </w:p>
    <w:p>
      <w:pPr>
        <w:spacing w:after="0" w:line="287" w:lineRule="exact"/>
        <w:rPr>
          <w:sz w:val="20"/>
          <w:szCs w:val="20"/>
          <w:color w:val="auto"/>
        </w:rPr>
      </w:pPr>
    </w:p>
    <w:p>
      <w:pPr>
        <w:ind w:left="500" w:right="2560" w:firstLine="2081"/>
        <w:spacing w:after="0" w:line="375" w:lineRule="auto"/>
        <w:rPr>
          <w:sz w:val="20"/>
          <w:szCs w:val="20"/>
          <w:color w:val="auto"/>
        </w:rPr>
      </w:pPr>
      <w:r>
        <w:rPr>
          <w:rFonts w:ascii="Times New Roman" w:cs="Times New Roman" w:eastAsia="Times New Roman" w:hAnsi="Times New Roman"/>
          <w:sz w:val="18"/>
          <w:szCs w:val="18"/>
          <w:b w:val="1"/>
          <w:bCs w:val="1"/>
          <w:color w:val="auto"/>
        </w:rPr>
        <w:t xml:space="preserve">HOW TO VOTE IN ADVANCE OR AT THE VIRTUAL ANNUAL MEETING </w:t>
      </w:r>
      <w:r>
        <w:rPr>
          <w:rFonts w:ascii="Times New Roman" w:cs="Times New Roman" w:eastAsia="Times New Roman" w:hAnsi="Times New Roman"/>
          <w:sz w:val="18"/>
          <w:szCs w:val="18"/>
          <w:color w:val="auto"/>
        </w:rPr>
        <w:t>You may vote by proxy in any of the following ways:</w:t>
      </w:r>
    </w:p>
    <w:p>
      <w:pPr>
        <w:spacing w:after="0" w:line="1" w:lineRule="exact"/>
        <w:rPr>
          <w:sz w:val="20"/>
          <w:szCs w:val="20"/>
          <w:color w:val="auto"/>
        </w:rPr>
      </w:pPr>
    </w:p>
    <w:p>
      <w:pPr>
        <w:ind w:left="660" w:hanging="166"/>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w:t>
      </w:r>
      <w:r>
        <w:rPr>
          <w:rFonts w:ascii="Times New Roman" w:cs="Times New Roman" w:eastAsia="Times New Roman" w:hAnsi="Times New Roman"/>
          <w:sz w:val="18"/>
          <w:szCs w:val="18"/>
          <w:color w:val="auto"/>
        </w:rPr>
        <w:t>If you have internet access you may submit your proxy by following the voting instructions on the proxy card. If you vote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Internet, you should not return your proxy card.</w:t>
      </w:r>
    </w:p>
    <w:p>
      <w:pPr>
        <w:spacing w:after="0" w:line="46" w:lineRule="exact"/>
        <w:rPr>
          <w:rFonts w:ascii="Times New Roman" w:cs="Times New Roman" w:eastAsia="Times New Roman" w:hAnsi="Times New Roman"/>
          <w:sz w:val="18"/>
          <w:szCs w:val="18"/>
          <w:color w:val="auto"/>
        </w:rPr>
      </w:pPr>
    </w:p>
    <w:p>
      <w:pPr>
        <w:jc w:val="both"/>
        <w:ind w:left="660" w:hanging="166"/>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You may vote by mail by completing, dating and signing your proxy card and mailing it in the envelope provided. You must sign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exactly as it appears on the proxy card. If you are signing in a representative capacity (for example, as officer of a corporation, guardian, executor, trustee or custodian), you must indicate your name and title or capacity.</w:t>
      </w:r>
    </w:p>
    <w:p>
      <w:pPr>
        <w:spacing w:after="0" w:line="6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If you vote via the Internet, you may vote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from anywhere in the world, 24 hours a day, 7 days a week, up until 11:59 p.m., Eastern Time, on May 12, 2022. You may also vote during the Meeting via the internet at </w:t>
      </w:r>
      <w:r>
        <w:rPr>
          <w:rFonts w:ascii="Times New Roman" w:cs="Times New Roman" w:eastAsia="Times New Roman" w:hAnsi="Times New Roman"/>
          <w:sz w:val="18"/>
          <w:szCs w:val="18"/>
          <w:u w:val="single" w:color="auto"/>
          <w:color w:val="auto"/>
        </w:rPr>
        <w:t>www.virtualshareholdermeeting.com/IART2022</w:t>
      </w:r>
      <w:r>
        <w:rPr>
          <w:rFonts w:ascii="Times New Roman" w:cs="Times New Roman" w:eastAsia="Times New Roman" w:hAnsi="Times New Roman"/>
          <w:sz w:val="18"/>
          <w:szCs w:val="18"/>
          <w:color w:val="auto"/>
        </w:rPr>
        <w:t>. You also will be able to submit questions in writing during the Meeting.</w:t>
      </w:r>
    </w:p>
    <w:p>
      <w:pPr>
        <w:spacing w:after="0" w:line="6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virtual Meeting and voting via the link provided above (although attendance at the Meeting will not in and of itself constitute revocation of a proxy). Any written notice revoking a proxy should be delivered in a timely manner prior to the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or other custodian, nominee or fiduciary to inquire about how to revoke their proxy, and may not revoke their proxy by one of the methods set forth above.</w:t>
      </w:r>
    </w:p>
    <w:p>
      <w:pPr>
        <w:spacing w:after="0" w:line="8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$9,500 plus reasonable expenses. We will also reimburse banks, brokerage firms and other custodians, nominees and fiduciaries for reasonable expenses incurred by them in sending proxy soliciting materials to beneficial owners of shares of our common stock.</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TO PARTICIPATE IN THE VIRTUAL ANNUAL MEETING</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Stockholders of record as of the close of business on March 31, 2022, the record date, are entitled to participate in and vote at the Meeting. To participate in the Meeting, including to vote, ask questions, and view the list of registered stockholders as of the record date during the Meeting, you must go to the Meeting website at </w:t>
      </w:r>
      <w:r>
        <w:rPr>
          <w:rFonts w:ascii="Times New Roman" w:cs="Times New Roman" w:eastAsia="Times New Roman" w:hAnsi="Times New Roman"/>
          <w:sz w:val="18"/>
          <w:szCs w:val="18"/>
          <w:u w:val="single" w:color="auto"/>
          <w:color w:val="auto"/>
        </w:rPr>
        <w:t>www.virtualshareholdermeeting.com/IART2022</w:t>
      </w:r>
      <w:r>
        <w:rPr>
          <w:rFonts w:ascii="Times New Roman" w:cs="Times New Roman" w:eastAsia="Times New Roman" w:hAnsi="Times New Roman"/>
          <w:sz w:val="18"/>
          <w:szCs w:val="18"/>
          <w:color w:val="auto"/>
        </w:rPr>
        <w:t>, enter the control number found on your proxy card, and follow the instructions on the website. The Meeting webcast will begin promptly at 9:00 a.m. EDT. Online check-in will begin approximately 15 minutes prior, and we encourage you to allow ample time for check-in. If you experience technical difficulties during the check-in process, or at any time during the Meeting, please call the technical support number which will be available at the website above the day of the Meeting.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428" w:right="3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Integra will endeavor to respond to as many stockholder-submitted questions as time permits that comply with the meeting rules of conduct. Rules for the conduct of the Meeting will be available on the Meeting website. A replay of the Meeting will be made publicly available beginning 24 hours after the Meeting at </w:t>
      </w:r>
      <w:r>
        <w:rPr>
          <w:rFonts w:ascii="Times New Roman" w:cs="Times New Roman" w:eastAsia="Times New Roman" w:hAnsi="Times New Roman"/>
          <w:sz w:val="18"/>
          <w:szCs w:val="18"/>
          <w:u w:val="single" w:color="auto"/>
          <w:color w:val="auto"/>
        </w:rPr>
        <w:t>www.virtualshareholdermeeting.com/IART2022</w:t>
      </w:r>
      <w:r>
        <w:rPr>
          <w:rFonts w:ascii="Times New Roman" w:cs="Times New Roman" w:eastAsia="Times New Roman" w:hAnsi="Times New Roman"/>
          <w:sz w:val="18"/>
          <w:szCs w:val="18"/>
          <w:color w:val="auto"/>
        </w:rPr>
        <w:t xml:space="preserve"> and until the definitive proxy statement for our 2023 annual meeting of Stockholders is filed with the United States Securities and Exchange Commission (“SEC”).</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CRITERIA FOR BOARD MEMBERSHIP AND DIRECTOR QUALIFICATIONS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seeks to construct and maintain a Board consisting of a highly independent, balanced, and diverse set of directors that collectively possess the expertise to ensure effective oversight of management. When considering a candidate for nomination as a director, the Board of Directors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In addition, for candidates who are currently serving as directors, the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spacing w:after="0" w:line="7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As indicated in “Information Concerning Meetings, Executive Sessions and Director Independence — Nominating and Corporate Governance Committee,” on pages 9-11, a key objective for the Board in composing its membership is to assemble a group of directors that can support the business in achieving its goals and represent stockholder interests through the exercise of sound business judgment, leveraging a diversity of experiences and backgrounds. Both the Nominating and Corporate Governance Committee and the Board consider a broad range of diversity characteristics for this purpose. The Board of Directors and the Nominating and Corporate Governance Committee evaluate each individual candidate for nomination as a director in the context of the Board of Directors as a whole, with the objective of assembling a group that can best perpetuate the success of the business and represent stockholder interests through the exercise of sound business judgment and drawing on the diversity of its members. The Board of Directors and the Nominating and Corporate Governance Committee consider diversity characteristics broadly, including in terms of viewpoints, backgrounds, experience, skill sets, education and personal attributes including gender and race. In addition, the Board of Directors and the Nominating and Corporate Governance Committee believe that the Company and its stockholders benefit from a Board of Directors that combines the fresh perspectives brought by newer directors with the extensive industry and company-specific knowledge of longer-tenured directors, and consider director tenure when making director nomination decisions.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Diversity</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indicated in “Information Concerning Meetings, Executive Sessions and Director Independence — Nominating and Corporate Governance Committee,” on pages 9-11, a key objective for the Board in composing its membership is to assemble a group of directors that can support the business in achieving its goals and represent stockholder interests through the exercise of sound business judgment, leveraging a diversity of experiences and backgrounds. Both the Nominating and Corporate Governance Committee and the Board consider a broad range of diversity characteristics for this purpose, including viewpoints, backgrounds, experience, skill sets, education and personal attributes such as gender and race. Director tenure is also considered during nominee assessment. The Board and the Nominating and Corporate Governance Committee believe that the Company and its stockholders benefit from a Board that combines the fresh perspectives brought by newer directors with the extensive industry and company-specific knowledge of longer-tenured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428" w:right="3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063740" cy="1543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374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940"/>
        <w:spacing w:after="0" w:line="307" w:lineRule="auto"/>
        <w:rPr>
          <w:sz w:val="20"/>
          <w:szCs w:val="20"/>
          <w:color w:val="auto"/>
        </w:rPr>
      </w:pPr>
      <w:r>
        <w:rPr>
          <w:rFonts w:ascii="Times New Roman" w:cs="Times New Roman" w:eastAsia="Times New Roman" w:hAnsi="Times New Roman"/>
          <w:sz w:val="18"/>
          <w:szCs w:val="18"/>
          <w:color w:val="2E8C52"/>
        </w:rPr>
        <w:t>100% of the membership the directors serving on the Audit, Nominating and Corporate Governance, Compensation, and Finance committees are independent.</w:t>
      </w:r>
    </w:p>
    <w:p>
      <w:pPr>
        <w:spacing w:after="0" w:line="7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2E8C52"/>
        </w:rPr>
        <w:t>Five directors have tenure &lt; 10 years</w:t>
      </w:r>
    </w:p>
    <w:p>
      <w:pPr>
        <w:spacing w:after="0" w:line="157" w:lineRule="exact"/>
        <w:rPr>
          <w:sz w:val="20"/>
          <w:szCs w:val="20"/>
          <w:color w:val="auto"/>
        </w:rPr>
      </w:pPr>
    </w:p>
    <w:p>
      <w:pPr>
        <w:ind w:left="7940" w:right="300"/>
        <w:spacing w:after="0" w:line="328" w:lineRule="auto"/>
        <w:rPr>
          <w:sz w:val="20"/>
          <w:szCs w:val="20"/>
          <w:color w:val="auto"/>
        </w:rPr>
      </w:pPr>
      <w:r>
        <w:rPr>
          <w:rFonts w:ascii="Times New Roman" w:cs="Times New Roman" w:eastAsia="Times New Roman" w:hAnsi="Times New Roman"/>
          <w:sz w:val="18"/>
          <w:szCs w:val="18"/>
          <w:color w:val="2E8C52"/>
        </w:rPr>
        <w:t xml:space="preserve">77% of our directors serve on </w:t>
      </w:r>
      <w:r>
        <w:rPr>
          <w:rFonts w:ascii="Arial" w:cs="Arial" w:eastAsia="Arial" w:hAnsi="Arial"/>
          <w:sz w:val="18"/>
          <w:szCs w:val="18"/>
          <w:color w:val="2E8C52"/>
        </w:rPr>
        <w:t>≤</w:t>
      </w:r>
      <w:r>
        <w:rPr>
          <w:rFonts w:ascii="Times New Roman" w:cs="Times New Roman" w:eastAsia="Times New Roman" w:hAnsi="Times New Roman"/>
          <w:sz w:val="18"/>
          <w:szCs w:val="18"/>
          <w:color w:val="2E8C52"/>
        </w:rPr>
        <w:t>1 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-29845</wp:posOffset>
            </wp:positionV>
            <wp:extent cx="2031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Ms. Germany Ballintyn is not standing for re-election at the 2022 Annual Meeting of Stockholders and will cease to serve as a director at the conclusion of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5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The table below provides certain highlights of the composition of our Board members and nominees as of April 08, 2022. Each of the categories listed in the table below has the meaning as it is used in Nasdaq Rule 5605(f).</w:t>
      </w: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0F7F40"/>
        </w:rPr>
        <w:t>Board Diversity Matrix (as of April 08,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35560</wp:posOffset>
            </wp:positionV>
            <wp:extent cx="6763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60" w:lineRule="exact"/>
        <w:rPr>
          <w:sz w:val="20"/>
          <w:szCs w:val="20"/>
          <w:color w:val="auto"/>
        </w:rPr>
      </w:pPr>
    </w:p>
    <w:tbl>
      <w:tblPr>
        <w:tblLayout w:type="fixed"/>
        <w:tblInd w:w="300" w:type="dxa"/>
        <w:tblCellMar>
          <w:top w:w="0" w:type="dxa"/>
          <w:left w:w="0" w:type="dxa"/>
          <w:bottom w:w="0" w:type="dxa"/>
          <w:right w:w="0" w:type="dxa"/>
        </w:tblCellMar>
      </w:tblPr>
      <w:tr>
        <w:trPr>
          <w:trHeight w:val="178"/>
        </w:trPr>
        <w:tc>
          <w:tcPr>
            <w:tcW w:w="57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0F7F40"/>
              </w:rPr>
              <w:t>Total Number of Directors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jc w:val="right"/>
              <w:ind w:right="474"/>
              <w:spacing w:after="0"/>
              <w:rPr>
                <w:sz w:val="20"/>
                <w:szCs w:val="20"/>
                <w:color w:val="auto"/>
              </w:rPr>
            </w:pPr>
            <w:r>
              <w:rPr>
                <w:rFonts w:ascii="Times New Roman" w:cs="Times New Roman" w:eastAsia="Times New Roman" w:hAnsi="Times New Roman"/>
                <w:sz w:val="13"/>
                <w:szCs w:val="13"/>
                <w:b w:val="1"/>
                <w:bCs w:val="1"/>
                <w:color w:val="0F7F40"/>
              </w:rPr>
              <w:t>9</w:t>
            </w:r>
          </w:p>
        </w:tc>
        <w:tc>
          <w:tcPr>
            <w:tcW w:w="1900" w:type="dxa"/>
            <w:vAlign w:val="bottom"/>
          </w:tcPr>
          <w:p>
            <w:pPr>
              <w:spacing w:after="0"/>
              <w:rPr>
                <w:sz w:val="15"/>
                <w:szCs w:val="15"/>
                <w:color w:val="auto"/>
              </w:rPr>
            </w:pPr>
          </w:p>
        </w:tc>
      </w:tr>
      <w:tr>
        <w:trPr>
          <w:trHeight w:val="28"/>
        </w:trPr>
        <w:tc>
          <w:tcPr>
            <w:tcW w:w="5700" w:type="dxa"/>
            <w:vAlign w:val="bottom"/>
            <w:tcBorders>
              <w:bottom w:val="single" w:sz="8" w:color="242424"/>
            </w:tcBorders>
          </w:tcPr>
          <w:p>
            <w:pPr>
              <w:spacing w:after="0"/>
              <w:rPr>
                <w:sz w:val="2"/>
                <w:szCs w:val="2"/>
                <w:color w:val="auto"/>
              </w:rPr>
            </w:pPr>
          </w:p>
        </w:tc>
        <w:tc>
          <w:tcPr>
            <w:tcW w:w="960" w:type="dxa"/>
            <w:vAlign w:val="bottom"/>
            <w:tcBorders>
              <w:bottom w:val="single" w:sz="8" w:color="242424"/>
            </w:tcBorders>
          </w:tcPr>
          <w:p>
            <w:pPr>
              <w:spacing w:after="0"/>
              <w:rPr>
                <w:sz w:val="2"/>
                <w:szCs w:val="2"/>
                <w:color w:val="auto"/>
              </w:rPr>
            </w:pPr>
          </w:p>
        </w:tc>
        <w:tc>
          <w:tcPr>
            <w:tcW w:w="720" w:type="dxa"/>
            <w:vAlign w:val="bottom"/>
            <w:tcBorders>
              <w:bottom w:val="single" w:sz="8" w:color="242424"/>
            </w:tcBorders>
          </w:tcPr>
          <w:p>
            <w:pPr>
              <w:spacing w:after="0"/>
              <w:rPr>
                <w:sz w:val="2"/>
                <w:szCs w:val="2"/>
                <w:color w:val="auto"/>
              </w:rPr>
            </w:pPr>
          </w:p>
        </w:tc>
        <w:tc>
          <w:tcPr>
            <w:tcW w:w="1380" w:type="dxa"/>
            <w:vAlign w:val="bottom"/>
            <w:tcBorders>
              <w:bottom w:val="single" w:sz="8" w:color="242424"/>
            </w:tcBorders>
          </w:tcPr>
          <w:p>
            <w:pPr>
              <w:spacing w:after="0"/>
              <w:rPr>
                <w:sz w:val="2"/>
                <w:szCs w:val="2"/>
                <w:color w:val="auto"/>
              </w:rPr>
            </w:pPr>
          </w:p>
        </w:tc>
        <w:tc>
          <w:tcPr>
            <w:tcW w:w="1900" w:type="dxa"/>
            <w:vAlign w:val="bottom"/>
            <w:tcBorders>
              <w:bottom w:val="single" w:sz="8" w:color="242424"/>
            </w:tcBorders>
          </w:tcPr>
          <w:p>
            <w:pPr>
              <w:spacing w:after="0"/>
              <w:rPr>
                <w:sz w:val="2"/>
                <w:szCs w:val="2"/>
                <w:color w:val="auto"/>
              </w:rPr>
            </w:pPr>
          </w:p>
        </w:tc>
      </w:tr>
      <w:tr>
        <w:trPr>
          <w:trHeight w:val="166"/>
        </w:trPr>
        <w:tc>
          <w:tcPr>
            <w:tcW w:w="5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F7F40"/>
              </w:rPr>
              <w:t>Did Not Disclose</w:t>
            </w:r>
          </w:p>
        </w:tc>
      </w:tr>
      <w:tr>
        <w:trPr>
          <w:trHeight w:val="178"/>
        </w:trPr>
        <w:tc>
          <w:tcPr>
            <w:tcW w:w="5700" w:type="dxa"/>
            <w:vAlign w:val="bottom"/>
          </w:tcPr>
          <w:p>
            <w:pPr>
              <w:spacing w:after="0"/>
              <w:rPr>
                <w:sz w:val="15"/>
                <w:szCs w:val="15"/>
                <w:color w:val="auto"/>
              </w:rPr>
            </w:pPr>
          </w:p>
        </w:tc>
        <w:tc>
          <w:tcPr>
            <w:tcW w:w="96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0F7F40"/>
              </w:rPr>
              <w:t>Female</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0F7F40"/>
              </w:rPr>
              <w:t>Male</w:t>
            </w:r>
          </w:p>
        </w:tc>
        <w:tc>
          <w:tcPr>
            <w:tcW w:w="138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0F7F40"/>
              </w:rPr>
              <w:t>Non-Binary</w:t>
            </w:r>
          </w:p>
        </w:tc>
        <w:tc>
          <w:tcPr>
            <w:tcW w:w="1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0F7F40"/>
              </w:rPr>
              <w:t>Gender</w:t>
            </w:r>
          </w:p>
        </w:tc>
      </w:tr>
      <w:tr>
        <w:trPr>
          <w:trHeight w:val="28"/>
        </w:trPr>
        <w:tc>
          <w:tcPr>
            <w:tcW w:w="5700" w:type="dxa"/>
            <w:vAlign w:val="bottom"/>
            <w:tcBorders>
              <w:bottom w:val="single" w:sz="8" w:color="242424"/>
            </w:tcBorders>
          </w:tcPr>
          <w:p>
            <w:pPr>
              <w:spacing w:after="0"/>
              <w:rPr>
                <w:sz w:val="2"/>
                <w:szCs w:val="2"/>
                <w:color w:val="auto"/>
              </w:rPr>
            </w:pPr>
          </w:p>
        </w:tc>
        <w:tc>
          <w:tcPr>
            <w:tcW w:w="960" w:type="dxa"/>
            <w:vAlign w:val="bottom"/>
            <w:tcBorders>
              <w:bottom w:val="single" w:sz="8" w:color="242424"/>
            </w:tcBorders>
          </w:tcPr>
          <w:p>
            <w:pPr>
              <w:spacing w:after="0"/>
              <w:rPr>
                <w:sz w:val="2"/>
                <w:szCs w:val="2"/>
                <w:color w:val="auto"/>
              </w:rPr>
            </w:pPr>
          </w:p>
        </w:tc>
        <w:tc>
          <w:tcPr>
            <w:tcW w:w="720" w:type="dxa"/>
            <w:vAlign w:val="bottom"/>
            <w:tcBorders>
              <w:bottom w:val="single" w:sz="8" w:color="242424"/>
            </w:tcBorders>
          </w:tcPr>
          <w:p>
            <w:pPr>
              <w:spacing w:after="0"/>
              <w:rPr>
                <w:sz w:val="2"/>
                <w:szCs w:val="2"/>
                <w:color w:val="auto"/>
              </w:rPr>
            </w:pPr>
          </w:p>
        </w:tc>
        <w:tc>
          <w:tcPr>
            <w:tcW w:w="1380" w:type="dxa"/>
            <w:vAlign w:val="bottom"/>
            <w:tcBorders>
              <w:bottom w:val="single" w:sz="8" w:color="242424"/>
            </w:tcBorders>
          </w:tcPr>
          <w:p>
            <w:pPr>
              <w:spacing w:after="0"/>
              <w:rPr>
                <w:sz w:val="2"/>
                <w:szCs w:val="2"/>
                <w:color w:val="auto"/>
              </w:rPr>
            </w:pPr>
          </w:p>
        </w:tc>
        <w:tc>
          <w:tcPr>
            <w:tcW w:w="1900" w:type="dxa"/>
            <w:vAlign w:val="bottom"/>
            <w:tcBorders>
              <w:bottom w:val="single" w:sz="8" w:color="242424"/>
            </w:tcBorders>
          </w:tcPr>
          <w:p>
            <w:pPr>
              <w:spacing w:after="0"/>
              <w:rPr>
                <w:sz w:val="2"/>
                <w:szCs w:val="2"/>
                <w:color w:val="auto"/>
              </w:rPr>
            </w:pPr>
          </w:p>
        </w:tc>
      </w:tr>
      <w:tr>
        <w:trPr>
          <w:trHeight w:val="182"/>
        </w:trPr>
        <w:tc>
          <w:tcPr>
            <w:tcW w:w="57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0F7F40"/>
              </w:rPr>
              <w:t>Gender Identity</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8"/>
        </w:trPr>
        <w:tc>
          <w:tcPr>
            <w:tcW w:w="5700" w:type="dxa"/>
            <w:vAlign w:val="bottom"/>
            <w:tcBorders>
              <w:bottom w:val="single" w:sz="8" w:color="D6D6D6"/>
            </w:tcBorders>
          </w:tcPr>
          <w:p>
            <w:pPr>
              <w:spacing w:after="0"/>
              <w:rPr>
                <w:sz w:val="2"/>
                <w:szCs w:val="2"/>
                <w:color w:val="auto"/>
              </w:rPr>
            </w:pPr>
          </w:p>
        </w:tc>
        <w:tc>
          <w:tcPr>
            <w:tcW w:w="960" w:type="dxa"/>
            <w:vAlign w:val="bottom"/>
            <w:tcBorders>
              <w:bottom w:val="single" w:sz="8" w:color="D6D6D6"/>
            </w:tcBorders>
          </w:tcPr>
          <w:p>
            <w:pPr>
              <w:spacing w:after="0"/>
              <w:rPr>
                <w:sz w:val="2"/>
                <w:szCs w:val="2"/>
                <w:color w:val="auto"/>
              </w:rPr>
            </w:pPr>
          </w:p>
        </w:tc>
        <w:tc>
          <w:tcPr>
            <w:tcW w:w="720" w:type="dxa"/>
            <w:vAlign w:val="bottom"/>
            <w:tcBorders>
              <w:bottom w:val="single" w:sz="8" w:color="D6D6D6"/>
            </w:tcBorders>
          </w:tcPr>
          <w:p>
            <w:pPr>
              <w:spacing w:after="0"/>
              <w:rPr>
                <w:sz w:val="2"/>
                <w:szCs w:val="2"/>
                <w:color w:val="auto"/>
              </w:rPr>
            </w:pPr>
          </w:p>
        </w:tc>
        <w:tc>
          <w:tcPr>
            <w:tcW w:w="1380" w:type="dxa"/>
            <w:vAlign w:val="bottom"/>
            <w:tcBorders>
              <w:bottom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7"/>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Directors</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182"/>
        </w:trPr>
        <w:tc>
          <w:tcPr>
            <w:tcW w:w="570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0F7F40"/>
              </w:rPr>
              <w:t>Demographic Background</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8"/>
        </w:trPr>
        <w:tc>
          <w:tcPr>
            <w:tcW w:w="5700" w:type="dxa"/>
            <w:vAlign w:val="bottom"/>
            <w:tcBorders>
              <w:bottom w:val="single" w:sz="8" w:color="D6D6D6"/>
            </w:tcBorders>
          </w:tcPr>
          <w:p>
            <w:pPr>
              <w:spacing w:after="0"/>
              <w:rPr>
                <w:sz w:val="2"/>
                <w:szCs w:val="2"/>
                <w:color w:val="auto"/>
              </w:rPr>
            </w:pPr>
          </w:p>
        </w:tc>
        <w:tc>
          <w:tcPr>
            <w:tcW w:w="960" w:type="dxa"/>
            <w:vAlign w:val="bottom"/>
            <w:tcBorders>
              <w:bottom w:val="single" w:sz="8" w:color="D6D6D6"/>
            </w:tcBorders>
          </w:tcPr>
          <w:p>
            <w:pPr>
              <w:spacing w:after="0"/>
              <w:rPr>
                <w:sz w:val="2"/>
                <w:szCs w:val="2"/>
                <w:color w:val="auto"/>
              </w:rPr>
            </w:pPr>
          </w:p>
        </w:tc>
        <w:tc>
          <w:tcPr>
            <w:tcW w:w="720" w:type="dxa"/>
            <w:vAlign w:val="bottom"/>
            <w:tcBorders>
              <w:bottom w:val="single" w:sz="8" w:color="D6D6D6"/>
            </w:tcBorders>
          </w:tcPr>
          <w:p>
            <w:pPr>
              <w:spacing w:after="0"/>
              <w:rPr>
                <w:sz w:val="2"/>
                <w:szCs w:val="2"/>
                <w:color w:val="auto"/>
              </w:rPr>
            </w:pPr>
          </w:p>
        </w:tc>
        <w:tc>
          <w:tcPr>
            <w:tcW w:w="1380" w:type="dxa"/>
            <w:vAlign w:val="bottom"/>
            <w:tcBorders>
              <w:bottom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7"/>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7"/>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6"/>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Asian</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7"/>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Hispanic or Latinx</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7"/>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7"/>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White</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37"/>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6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right w:val="single" w:sz="8" w:color="D6D6D6"/>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Borders>
              <w:right w:val="single" w:sz="8" w:color="D6D6D6"/>
            </w:tcBorders>
          </w:tcPr>
          <w:p>
            <w:pPr>
              <w:jc w:val="right"/>
              <w:ind w:right="5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5700" w:type="dxa"/>
            <w:vAlign w:val="bottom"/>
            <w:tcBorders>
              <w:bottom w:val="single" w:sz="8" w:color="D6D6D6"/>
              <w:right w:val="single" w:sz="8" w:color="D6D6D6"/>
            </w:tcBorders>
          </w:tcPr>
          <w:p>
            <w:pPr>
              <w:spacing w:after="0"/>
              <w:rPr>
                <w:sz w:val="2"/>
                <w:szCs w:val="2"/>
                <w:color w:val="auto"/>
              </w:rPr>
            </w:pPr>
          </w:p>
        </w:tc>
        <w:tc>
          <w:tcPr>
            <w:tcW w:w="960" w:type="dxa"/>
            <w:vAlign w:val="bottom"/>
            <w:tcBorders>
              <w:bottom w:val="single" w:sz="8" w:color="D6D6D6"/>
              <w:right w:val="single" w:sz="8" w:color="D6D6D6"/>
            </w:tcBorders>
          </w:tcPr>
          <w:p>
            <w:pPr>
              <w:spacing w:after="0"/>
              <w:rPr>
                <w:sz w:val="2"/>
                <w:szCs w:val="2"/>
                <w:color w:val="auto"/>
              </w:rPr>
            </w:pPr>
          </w:p>
        </w:tc>
        <w:tc>
          <w:tcPr>
            <w:tcW w:w="720" w:type="dxa"/>
            <w:vAlign w:val="bottom"/>
            <w:tcBorders>
              <w:bottom w:val="single" w:sz="8" w:color="D6D6D6"/>
              <w:right w:val="single" w:sz="8" w:color="D6D6D6"/>
            </w:tcBorders>
          </w:tcPr>
          <w:p>
            <w:pPr>
              <w:spacing w:after="0"/>
              <w:rPr>
                <w:sz w:val="2"/>
                <w:szCs w:val="2"/>
                <w:color w:val="auto"/>
              </w:rPr>
            </w:pPr>
          </w:p>
        </w:tc>
        <w:tc>
          <w:tcPr>
            <w:tcW w:w="1380" w:type="dxa"/>
            <w:vAlign w:val="bottom"/>
            <w:tcBorders>
              <w:bottom w:val="single" w:sz="8" w:color="D6D6D6"/>
              <w:right w:val="single" w:sz="8" w:color="D6D6D6"/>
            </w:tcBorders>
          </w:tcPr>
          <w:p>
            <w:pPr>
              <w:spacing w:after="0"/>
              <w:rPr>
                <w:sz w:val="2"/>
                <w:szCs w:val="2"/>
                <w:color w:val="auto"/>
              </w:rPr>
            </w:pPr>
          </w:p>
        </w:tc>
        <w:tc>
          <w:tcPr>
            <w:tcW w:w="1900" w:type="dxa"/>
            <w:vAlign w:val="bottom"/>
            <w:tcBorders>
              <w:bottom w:val="single" w:sz="8" w:color="D6D6D6"/>
            </w:tcBorders>
          </w:tcPr>
          <w:p>
            <w:pPr>
              <w:spacing w:after="0"/>
              <w:rPr>
                <w:sz w:val="2"/>
                <w:szCs w:val="2"/>
                <w:color w:val="auto"/>
              </w:rPr>
            </w:pPr>
          </w:p>
        </w:tc>
      </w:tr>
      <w:tr>
        <w:trPr>
          <w:trHeight w:val="264"/>
        </w:trPr>
        <w:tc>
          <w:tcPr>
            <w:tcW w:w="5700" w:type="dxa"/>
            <w:vAlign w:val="bottom"/>
            <w:tcBorders>
              <w:right w:val="single" w:sz="8" w:color="D6D6D6"/>
            </w:tcBorders>
          </w:tcPr>
          <w:p>
            <w:pPr>
              <w:ind w:left="40"/>
              <w:spacing w:after="0"/>
              <w:rPr>
                <w:sz w:val="20"/>
                <w:szCs w:val="20"/>
                <w:color w:val="auto"/>
              </w:rPr>
            </w:pPr>
            <w:r>
              <w:rPr>
                <w:rFonts w:ascii="Times New Roman" w:cs="Times New Roman" w:eastAsia="Times New Roman" w:hAnsi="Times New Roman"/>
                <w:sz w:val="18"/>
                <w:szCs w:val="18"/>
                <w:color w:val="auto"/>
              </w:rPr>
              <w:t>LGBTQ+</w:t>
            </w: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3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22"/>
                <w:szCs w:val="22"/>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9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8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21"/>
                <w:szCs w:val="21"/>
                <w:color w:val="auto"/>
              </w:rPr>
            </w:pPr>
          </w:p>
        </w:tc>
      </w:tr>
      <w:tr>
        <w:trPr>
          <w:trHeight w:val="27"/>
        </w:trPr>
        <w:tc>
          <w:tcPr>
            <w:tcW w:w="5700" w:type="dxa"/>
            <w:vAlign w:val="bottom"/>
            <w:tcBorders>
              <w:bottom w:val="single" w:sz="8" w:color="242424"/>
            </w:tcBorders>
          </w:tcPr>
          <w:p>
            <w:pPr>
              <w:spacing w:after="0"/>
              <w:rPr>
                <w:sz w:val="2"/>
                <w:szCs w:val="2"/>
                <w:color w:val="auto"/>
              </w:rPr>
            </w:pPr>
          </w:p>
        </w:tc>
        <w:tc>
          <w:tcPr>
            <w:tcW w:w="960" w:type="dxa"/>
            <w:vAlign w:val="bottom"/>
            <w:tcBorders>
              <w:bottom w:val="single" w:sz="8" w:color="242424"/>
            </w:tcBorders>
          </w:tcPr>
          <w:p>
            <w:pPr>
              <w:spacing w:after="0"/>
              <w:rPr>
                <w:sz w:val="2"/>
                <w:szCs w:val="2"/>
                <w:color w:val="auto"/>
              </w:rPr>
            </w:pPr>
          </w:p>
        </w:tc>
        <w:tc>
          <w:tcPr>
            <w:tcW w:w="720" w:type="dxa"/>
            <w:vAlign w:val="bottom"/>
            <w:tcBorders>
              <w:bottom w:val="single" w:sz="8" w:color="242424"/>
            </w:tcBorders>
          </w:tcPr>
          <w:p>
            <w:pPr>
              <w:spacing w:after="0"/>
              <w:rPr>
                <w:sz w:val="2"/>
                <w:szCs w:val="2"/>
                <w:color w:val="auto"/>
              </w:rPr>
            </w:pPr>
          </w:p>
        </w:tc>
        <w:tc>
          <w:tcPr>
            <w:tcW w:w="1380" w:type="dxa"/>
            <w:vAlign w:val="bottom"/>
            <w:tcBorders>
              <w:bottom w:val="single" w:sz="8" w:color="242424"/>
            </w:tcBorders>
          </w:tcPr>
          <w:p>
            <w:pPr>
              <w:spacing w:after="0"/>
              <w:rPr>
                <w:sz w:val="2"/>
                <w:szCs w:val="2"/>
                <w:color w:val="auto"/>
              </w:rPr>
            </w:pPr>
          </w:p>
        </w:tc>
        <w:tc>
          <w:tcPr>
            <w:tcW w:w="1900" w:type="dxa"/>
            <w:vAlign w:val="bottom"/>
            <w:tcBorders>
              <w:bottom w:val="single" w:sz="8" w:color="242424"/>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28" w:right="4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Director Nominees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Based on the qualifications described above, the Board of Directors has nominated the following eight persons for election as directors who will serve until the next annual meeting of stockholders and until their successors are duly elected and qualified: Jan D. De Witte, Keith Bradley, Ph.D., Shaundra D. Clay, Stuart M. Essig, Ph.D., Barbara B. Hill, Donald E. Morel, Jr., Ph.D., Raymond G. Murphy, and Christian S. Schade, each of whom currently serve as directors of the Company. Rhonda Germany Ballintyn, who has served as a member of the Board since January 2019, is not standing for re-election at the Annual Meeting and will cease to serve as a director following the conclusion of the 2022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Skills, Qualifications and Experience to be Represented on the Board</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Board believes that each nominee has the skills, experience and personal qualities the Board of Directors seeks in its directors, and that the combination of these nominees creates an effective and well-functioning Board, with a diversity of perspectives, viewpoints, backgrounds and professional experiences that best serves the Board, the Company and our stockholders. Included in each director nominee’s biography is a description of select key qualifications and experience that led the Board to conclude that each nominee is qualified to serve as a member of the Board of Directors. The fact that a particular experience, qualification, attribute or skill for a director nominee is not listed below does not mean that the nominee does not possess that experience, qualification, attribute or skill. All biographical information below is as of the record date.</w:t>
      </w:r>
    </w:p>
    <w:p>
      <w:pPr>
        <w:spacing w:after="0" w:line="214"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Board of Directors has identified key skills, qualifications and experience that are important to be represented on the Board as a whole in light of our current business strategy and expected needs. The table below summarizes the key skills, qualifications and experience of the nominees as a group. This table is not intended to be an exhaustive list of each nominee’s skills or contributions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106285" cy="1885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88595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2E8D52"/>
        </w:rPr>
        <w:t>Diverse Range of Qualifications and Skills Represented by Our Directors</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310"/>
        </w:trPr>
        <w:tc>
          <w:tcPr>
            <w:tcW w:w="280" w:type="dxa"/>
            <w:vAlign w:val="bottom"/>
          </w:tcPr>
          <w:p>
            <w:pPr>
              <w:spacing w:after="0" w:line="201" w:lineRule="exact"/>
              <w:rPr>
                <w:sz w:val="20"/>
                <w:szCs w:val="20"/>
                <w:color w:val="auto"/>
              </w:rPr>
            </w:pPr>
            <w:r>
              <w:rPr>
                <w:rFonts w:ascii="MS PGothic" w:cs="MS PGothic" w:eastAsia="MS PGothic" w:hAnsi="MS PGothic"/>
                <w:sz w:val="20"/>
                <w:szCs w:val="20"/>
                <w:color w:val="0F7F40"/>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Healthcare Industry Experience</w:t>
            </w:r>
          </w:p>
        </w:tc>
        <w:tc>
          <w:tcPr>
            <w:tcW w:w="500" w:type="dxa"/>
            <w:vAlign w:val="bottom"/>
          </w:tcPr>
          <w:p>
            <w:pPr>
              <w:ind w:left="220"/>
              <w:spacing w:after="0" w:line="201" w:lineRule="exact"/>
              <w:rPr>
                <w:sz w:val="20"/>
                <w:szCs w:val="20"/>
                <w:color w:val="auto"/>
              </w:rPr>
            </w:pPr>
            <w:r>
              <w:rPr>
                <w:rFonts w:ascii="MS PGothic" w:cs="MS PGothic" w:eastAsia="MS PGothic" w:hAnsi="MS PGothic"/>
                <w:sz w:val="20"/>
                <w:szCs w:val="20"/>
                <w:color w:val="0F7F40"/>
              </w:rPr>
              <w:t>☑</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International Experience</w:t>
            </w:r>
          </w:p>
        </w:tc>
        <w:tc>
          <w:tcPr>
            <w:tcW w:w="340" w:type="dxa"/>
            <w:vAlign w:val="bottom"/>
          </w:tcPr>
          <w:p>
            <w:pPr>
              <w:ind w:left="60"/>
              <w:spacing w:after="0" w:line="201" w:lineRule="exact"/>
              <w:rPr>
                <w:sz w:val="20"/>
                <w:szCs w:val="20"/>
                <w:color w:val="auto"/>
              </w:rPr>
            </w:pPr>
            <w:r>
              <w:rPr>
                <w:rFonts w:ascii="MS PGothic" w:cs="MS PGothic" w:eastAsia="MS PGothic" w:hAnsi="MS PGothic"/>
                <w:sz w:val="20"/>
                <w:szCs w:val="20"/>
                <w:color w:val="0F7F40"/>
              </w:rPr>
              <w:t>☑</w:t>
            </w:r>
          </w:p>
        </w:tc>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Regulatory and Compliance</w:t>
            </w:r>
          </w:p>
        </w:tc>
      </w:tr>
      <w:tr>
        <w:trPr>
          <w:trHeight w:val="388"/>
        </w:trPr>
        <w:tc>
          <w:tcPr>
            <w:tcW w:w="3240" w:type="dxa"/>
            <w:vAlign w:val="bottom"/>
            <w:gridSpan w:val="2"/>
          </w:tcPr>
          <w:p>
            <w:pPr>
              <w:spacing w:after="0" w:line="219" w:lineRule="exact"/>
              <w:rPr>
                <w:sz w:val="20"/>
                <w:szCs w:val="20"/>
                <w:color w:val="auto"/>
              </w:rPr>
            </w:pPr>
            <w:r>
              <w:rPr>
                <w:rFonts w:ascii="MS PGothic" w:cs="MS PGothic" w:eastAsia="MS PGothic" w:hAnsi="MS PGothic"/>
                <w:sz w:val="19"/>
                <w:szCs w:val="19"/>
                <w:color w:val="0F7F40"/>
              </w:rPr>
              <w:t>☑</w:t>
            </w:r>
            <w:r>
              <w:rPr>
                <w:rFonts w:ascii="Times New Roman" w:cs="Times New Roman" w:eastAsia="Times New Roman" w:hAnsi="Times New Roman"/>
                <w:sz w:val="18"/>
                <w:szCs w:val="18"/>
                <w:color w:val="auto"/>
              </w:rPr>
              <w:t xml:space="preserve">  Manufacturing and Sales of Medical</w:t>
            </w:r>
          </w:p>
        </w:tc>
        <w:tc>
          <w:tcPr>
            <w:tcW w:w="3640" w:type="dxa"/>
            <w:vAlign w:val="bottom"/>
            <w:gridSpan w:val="2"/>
          </w:tcPr>
          <w:p>
            <w:pPr>
              <w:ind w:left="220"/>
              <w:spacing w:after="0" w:line="219" w:lineRule="exact"/>
              <w:rPr>
                <w:sz w:val="20"/>
                <w:szCs w:val="20"/>
                <w:color w:val="auto"/>
              </w:rPr>
            </w:pPr>
            <w:r>
              <w:rPr>
                <w:rFonts w:ascii="MS PGothic" w:cs="MS PGothic" w:eastAsia="MS PGothic" w:hAnsi="MS PGothic"/>
                <w:sz w:val="19"/>
                <w:szCs w:val="19"/>
                <w:color w:val="0F7F40"/>
              </w:rPr>
              <w:t>☑</w:t>
            </w:r>
            <w:r>
              <w:rPr>
                <w:rFonts w:ascii="Times New Roman" w:cs="Times New Roman" w:eastAsia="Times New Roman" w:hAnsi="Times New Roman"/>
                <w:sz w:val="18"/>
                <w:szCs w:val="18"/>
                <w:color w:val="auto"/>
              </w:rPr>
              <w:t xml:space="preserve">  Senior   Leadership   &amp;   Corporate</w:t>
            </w:r>
          </w:p>
        </w:tc>
        <w:tc>
          <w:tcPr>
            <w:tcW w:w="340" w:type="dxa"/>
            <w:vAlign w:val="bottom"/>
          </w:tcPr>
          <w:p>
            <w:pPr>
              <w:ind w:left="60"/>
              <w:spacing w:after="0" w:line="201" w:lineRule="exact"/>
              <w:rPr>
                <w:sz w:val="20"/>
                <w:szCs w:val="20"/>
                <w:color w:val="auto"/>
              </w:rPr>
            </w:pPr>
            <w:r>
              <w:rPr>
                <w:rFonts w:ascii="MS PGothic" w:cs="MS PGothic" w:eastAsia="MS PGothic" w:hAnsi="MS PGothic"/>
                <w:sz w:val="20"/>
                <w:szCs w:val="20"/>
                <w:color w:val="0F7F40"/>
              </w:rPr>
              <w:t>☑</w:t>
            </w:r>
          </w:p>
        </w:tc>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Pharmaceutical Experience</w:t>
            </w:r>
          </w:p>
        </w:tc>
      </w:tr>
      <w:tr>
        <w:trPr>
          <w:trHeight w:val="234"/>
        </w:trPr>
        <w:tc>
          <w:tcPr>
            <w:tcW w:w="280" w:type="dxa"/>
            <w:vAlign w:val="bottom"/>
          </w:tcPr>
          <w:p>
            <w:pPr>
              <w:spacing w:after="0"/>
              <w:rPr>
                <w:sz w:val="20"/>
                <w:szCs w:val="20"/>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Technology/Devices</w:t>
            </w:r>
          </w:p>
        </w:tc>
        <w:tc>
          <w:tcPr>
            <w:tcW w:w="500" w:type="dxa"/>
            <w:vAlign w:val="bottom"/>
          </w:tcPr>
          <w:p>
            <w:pPr>
              <w:spacing w:after="0"/>
              <w:rPr>
                <w:sz w:val="20"/>
                <w:szCs w:val="20"/>
                <w:color w:val="auto"/>
              </w:rPr>
            </w:pP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w:t>
            </w: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471"/>
        </w:trPr>
        <w:tc>
          <w:tcPr>
            <w:tcW w:w="280" w:type="dxa"/>
            <w:vAlign w:val="bottom"/>
          </w:tcPr>
          <w:p>
            <w:pPr>
              <w:spacing w:after="0" w:line="201" w:lineRule="exact"/>
              <w:rPr>
                <w:sz w:val="20"/>
                <w:szCs w:val="20"/>
                <w:color w:val="auto"/>
              </w:rPr>
            </w:pPr>
            <w:r>
              <w:rPr>
                <w:rFonts w:ascii="MS PGothic" w:cs="MS PGothic" w:eastAsia="MS PGothic" w:hAnsi="MS PGothic"/>
                <w:sz w:val="20"/>
                <w:szCs w:val="20"/>
                <w:color w:val="0F7F40"/>
              </w:rPr>
              <w:t>☑</w:t>
            </w:r>
          </w:p>
        </w:tc>
        <w:tc>
          <w:tcPr>
            <w:tcW w:w="2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Operations Management</w:t>
            </w:r>
          </w:p>
        </w:tc>
        <w:tc>
          <w:tcPr>
            <w:tcW w:w="3640" w:type="dxa"/>
            <w:vAlign w:val="bottom"/>
            <w:gridSpan w:val="2"/>
          </w:tcPr>
          <w:p>
            <w:pPr>
              <w:ind w:left="220"/>
              <w:spacing w:after="0" w:line="219" w:lineRule="exact"/>
              <w:rPr>
                <w:sz w:val="20"/>
                <w:szCs w:val="20"/>
                <w:color w:val="auto"/>
              </w:rPr>
            </w:pPr>
            <w:r>
              <w:rPr>
                <w:rFonts w:ascii="MS PGothic" w:cs="MS PGothic" w:eastAsia="MS PGothic" w:hAnsi="MS PGothic"/>
                <w:sz w:val="19"/>
                <w:szCs w:val="19"/>
                <w:color w:val="0F7F40"/>
              </w:rPr>
              <w:t>☑</w:t>
            </w:r>
            <w:r>
              <w:rPr>
                <w:rFonts w:ascii="Times New Roman" w:cs="Times New Roman" w:eastAsia="Times New Roman" w:hAnsi="Times New Roman"/>
                <w:sz w:val="18"/>
                <w:szCs w:val="18"/>
                <w:color w:val="auto"/>
              </w:rPr>
              <w:t xml:space="preserve">  Finance/Financial Industry &amp; Reporting</w:t>
            </w:r>
          </w:p>
        </w:tc>
        <w:tc>
          <w:tcPr>
            <w:tcW w:w="340" w:type="dxa"/>
            <w:vAlign w:val="bottom"/>
          </w:tcPr>
          <w:p>
            <w:pPr>
              <w:ind w:left="60"/>
              <w:spacing w:after="0" w:line="201" w:lineRule="exact"/>
              <w:rPr>
                <w:sz w:val="20"/>
                <w:szCs w:val="20"/>
                <w:color w:val="auto"/>
              </w:rPr>
            </w:pPr>
            <w:r>
              <w:rPr>
                <w:rFonts w:ascii="MS PGothic" w:cs="MS PGothic" w:eastAsia="MS PGothic" w:hAnsi="MS PGothic"/>
                <w:sz w:val="20"/>
                <w:szCs w:val="20"/>
                <w:color w:val="0F7F40"/>
              </w:rPr>
              <w:t>☑</w:t>
            </w:r>
          </w:p>
        </w:tc>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Oversight</w:t>
            </w:r>
          </w:p>
        </w:tc>
      </w:tr>
      <w:tr>
        <w:trPr>
          <w:trHeight w:val="445"/>
        </w:trPr>
        <w:tc>
          <w:tcPr>
            <w:tcW w:w="3240" w:type="dxa"/>
            <w:vAlign w:val="bottom"/>
            <w:gridSpan w:val="2"/>
          </w:tcPr>
          <w:p>
            <w:pPr>
              <w:spacing w:after="0" w:line="219" w:lineRule="exact"/>
              <w:rPr>
                <w:sz w:val="20"/>
                <w:szCs w:val="20"/>
                <w:color w:val="auto"/>
              </w:rPr>
            </w:pPr>
            <w:r>
              <w:rPr>
                <w:rFonts w:ascii="MS PGothic" w:cs="MS PGothic" w:eastAsia="MS PGothic" w:hAnsi="MS PGothic"/>
                <w:sz w:val="19"/>
                <w:szCs w:val="19"/>
                <w:color w:val="0F7F40"/>
              </w:rPr>
              <w:t>☑</w:t>
            </w:r>
            <w:r>
              <w:rPr>
                <w:rFonts w:ascii="Times New Roman" w:cs="Times New Roman" w:eastAsia="Times New Roman" w:hAnsi="Times New Roman"/>
                <w:sz w:val="18"/>
                <w:szCs w:val="18"/>
                <w:color w:val="auto"/>
              </w:rPr>
              <w:t xml:space="preserve">  Risk Management / Oversight</w:t>
            </w:r>
          </w:p>
        </w:tc>
        <w:tc>
          <w:tcPr>
            <w:tcW w:w="500" w:type="dxa"/>
            <w:vAlign w:val="bottom"/>
          </w:tcPr>
          <w:p>
            <w:pPr>
              <w:ind w:left="220"/>
              <w:spacing w:after="0" w:line="201" w:lineRule="exact"/>
              <w:rPr>
                <w:sz w:val="20"/>
                <w:szCs w:val="20"/>
                <w:color w:val="auto"/>
              </w:rPr>
            </w:pPr>
            <w:r>
              <w:rPr>
                <w:rFonts w:ascii="MS PGothic" w:cs="MS PGothic" w:eastAsia="MS PGothic" w:hAnsi="MS PGothic"/>
                <w:sz w:val="20"/>
                <w:szCs w:val="20"/>
                <w:color w:val="0F7F40"/>
              </w:rPr>
              <w:t>☑</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Governance</w:t>
            </w:r>
          </w:p>
        </w:tc>
        <w:tc>
          <w:tcPr>
            <w:tcW w:w="340" w:type="dxa"/>
            <w:vAlign w:val="bottom"/>
          </w:tcPr>
          <w:p>
            <w:pPr>
              <w:ind w:left="60"/>
              <w:spacing w:after="0" w:line="201" w:lineRule="exact"/>
              <w:rPr>
                <w:sz w:val="20"/>
                <w:szCs w:val="20"/>
                <w:color w:val="auto"/>
              </w:rPr>
            </w:pPr>
            <w:r>
              <w:rPr>
                <w:rFonts w:ascii="MS PGothic" w:cs="MS PGothic" w:eastAsia="MS PGothic" w:hAnsi="MS PGothic"/>
                <w:sz w:val="20"/>
                <w:szCs w:val="20"/>
                <w:color w:val="0F7F40"/>
              </w:rPr>
              <w:t>☑</w:t>
            </w:r>
          </w:p>
        </w:tc>
        <w:tc>
          <w:tcPr>
            <w:tcW w:w="2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 &amp; Compensation</w:t>
            </w:r>
          </w:p>
        </w:tc>
      </w:tr>
    </w:tbl>
    <w:p>
      <w:pPr>
        <w:spacing w:after="0" w:line="172" w:lineRule="exact"/>
        <w:rPr>
          <w:sz w:val="20"/>
          <w:szCs w:val="20"/>
          <w:color w:val="auto"/>
        </w:rPr>
      </w:pPr>
    </w:p>
    <w:p>
      <w:pPr>
        <w:ind w:left="860" w:hanging="386"/>
        <w:spacing w:after="0"/>
        <w:tabs>
          <w:tab w:leader="none" w:pos="860" w:val="left"/>
        </w:tabs>
        <w:numPr>
          <w:ilvl w:val="0"/>
          <w:numId w:val="7"/>
        </w:numPr>
        <w:rPr>
          <w:rFonts w:ascii="MS PGothic" w:cs="MS PGothic" w:eastAsia="MS PGothic" w:hAnsi="MS PGothic"/>
          <w:sz w:val="20"/>
          <w:szCs w:val="20"/>
          <w:color w:val="0F7F40"/>
        </w:rPr>
      </w:pPr>
      <w:r>
        <w:rPr>
          <w:rFonts w:ascii="Times New Roman" w:cs="Times New Roman" w:eastAsia="Times New Roman" w:hAnsi="Times New Roman"/>
          <w:sz w:val="18"/>
          <w:szCs w:val="18"/>
          <w:color w:val="auto"/>
        </w:rPr>
        <w:t>Regulatory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062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428" w:right="3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If any nominee should become unable to serve as director, an event not now anticipated, the shares of common stock represented by proxies would be voted for the election of such substitute as the Board of Directors may nominate. See “Principal Stockholders” for information regarding the security holdings of our director nominees.</w:t>
      </w:r>
    </w:p>
    <w:p>
      <w:pPr>
        <w:spacing w:after="0" w:line="200" w:lineRule="exact"/>
        <w:rPr>
          <w:sz w:val="20"/>
          <w:szCs w:val="20"/>
          <w:color w:val="auto"/>
        </w:rPr>
      </w:pPr>
    </w:p>
    <w:p>
      <w:pPr>
        <w:spacing w:after="0" w:line="281" w:lineRule="exact"/>
        <w:rPr>
          <w:sz w:val="20"/>
          <w:szCs w:val="20"/>
          <w:color w:val="auto"/>
        </w:rPr>
      </w:pPr>
    </w:p>
    <w:p>
      <w:pPr>
        <w:ind w:left="1840" w:right="20" w:firstLine="486"/>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JAN D. DE WITTE </w:t>
      </w:r>
      <w:r>
        <w:rPr>
          <w:rFonts w:ascii="Times New Roman" w:cs="Times New Roman" w:eastAsia="Times New Roman" w:hAnsi="Times New Roman"/>
          <w:sz w:val="18"/>
          <w:szCs w:val="18"/>
          <w:color w:val="auto"/>
        </w:rPr>
        <w:t>is Integra’s President and Chief Executive Officer and a director. He commenced service as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Executive Officer and a director in December 2021. Mr. De Witte has an extensive track record in the global healthcare industry spanning more than two decades. Prior to joining Integra, Mr. De Witte served as chief executive officer of Barco N.V., a global technology leader based in Belgium focused on networked visualization solutions, including for the healthcare market. At Barco, he created shareholder value through digital innovation and new product development, commercial acceleration, international market growth and operational excellence. Prior to Barco, Mr. De Witte spent 17 years in senior-level leadership roles at GE, including as president and CEO of GE Global Healthcare IT. Prior to GE, Mr. De Witte spent five years in strategic consulting at McKinsey and three years in operations at Procter &amp; Gamble. Additionally, Mr. De Witte also serves on the board of directors of ResMed, Inc., a global leader in digital health technologies and cloud-connected medical devices that transform care for people with sleep apnea, COPD and other chronic diseases. He has also been an active community leader serving as the chair of Hangar K innovation hub in Belgium and a board member of Ghent University. Mr. De Witte holds a Master’s of Science degree in electromechanical engineering with greatest distinction from the KU Leuven in Belgium and a Master’s degree in business administration from Harvard University. He has lived and worked in seven countries, with much of his career spent in the U.S., and is fluent in three languages. Mr. De Witte is 57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-1460500</wp:posOffset>
            </wp:positionV>
            <wp:extent cx="805815" cy="1054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5815" cy="1054100"/>
                    </a:xfrm>
                    <a:prstGeom prst="rect">
                      <a:avLst/>
                    </a:prstGeom>
                    <a:noFill/>
                  </pic:spPr>
                </pic:pic>
              </a:graphicData>
            </a:graphic>
          </wp:anchor>
        </w:drawing>
      </w:r>
    </w:p>
    <w:p>
      <w:pPr>
        <w:spacing w:after="0" w:line="171" w:lineRule="exact"/>
        <w:rPr>
          <w:sz w:val="20"/>
          <w:szCs w:val="20"/>
          <w:color w:val="auto"/>
        </w:rPr>
      </w:pPr>
    </w:p>
    <w:p>
      <w:pPr>
        <w:jc w:val="both"/>
        <w:ind w:left="520" w:right="20"/>
        <w:spacing w:after="0" w:line="261" w:lineRule="auto"/>
        <w:rPr>
          <w:sz w:val="20"/>
          <w:szCs w:val="20"/>
          <w:color w:val="auto"/>
        </w:rPr>
      </w:pPr>
      <w:r>
        <w:rPr>
          <w:rFonts w:ascii="Times New Roman" w:cs="Times New Roman" w:eastAsia="Times New Roman" w:hAnsi="Times New Roman"/>
          <w:sz w:val="18"/>
          <w:szCs w:val="18"/>
          <w:color w:val="auto"/>
        </w:rPr>
        <w:t>Primary Qualifications: Mr. De Witte has over 20-plus years of experience in executive management and has a history of success in the development, implementation and execution of corporate strategy and executive management coupled with extensive skills and experience in executive management, operations, and software operations and his international business experience as well as experience serving on the board of directors of other publicly traded companies.</w:t>
      </w:r>
    </w:p>
    <w:p>
      <w:pPr>
        <w:spacing w:after="0" w:line="124" w:lineRule="exact"/>
        <w:rPr>
          <w:sz w:val="20"/>
          <w:szCs w:val="20"/>
          <w:color w:val="auto"/>
        </w:rPr>
      </w:pPr>
    </w:p>
    <w:p>
      <w:pPr>
        <w:ind w:left="1840" w:right="80" w:firstLine="48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KEITH BRADLEY, PH.D., </w:t>
      </w:r>
      <w:r>
        <w:rPr>
          <w:rFonts w:ascii="Times New Roman" w:cs="Times New Roman" w:eastAsia="Times New Roman" w:hAnsi="Times New Roman"/>
          <w:sz w:val="18"/>
          <w:szCs w:val="18"/>
          <w:color w:val="auto"/>
        </w:rPr>
        <w:t>has been a director of the Company since 1992. Between 1996 and 2003, he was a director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Highway Insurance plc, an insurance company listed on the London Stock Exchange, and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has taught at the London School of Economics and was the director of the School’s Business Performance Group for more than six years. He received B.A., M.A. and Ph.D. degrees from British universities. Dr. Bradley was formerly an adviser to RPH Capital, Canada and a board member of Sensor-Kinesis Corp from 2016 through 2018. He currently serves on the board of directors of SeaSpine Holdings Corporation, at which he currently serves as the chair of the compensation committee. In addition, he previously served as a director and chair of North Star Capital Management Limited and GRS Financial Solutions Limited. Dr. Bradley is 77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-1283335</wp:posOffset>
            </wp:positionV>
            <wp:extent cx="805815" cy="1071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05815" cy="1071880"/>
                    </a:xfrm>
                    <a:prstGeom prst="rect">
                      <a:avLst/>
                    </a:prstGeom>
                    <a:noFill/>
                  </pic:spPr>
                </pic:pic>
              </a:graphicData>
            </a:graphic>
          </wp:anchor>
        </w:drawing>
      </w:r>
    </w:p>
    <w:p>
      <w:pPr>
        <w:spacing w:after="0" w:line="168" w:lineRule="exact"/>
        <w:rPr>
          <w:sz w:val="20"/>
          <w:szCs w:val="20"/>
          <w:color w:val="auto"/>
        </w:rPr>
      </w:pPr>
    </w:p>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Primary Qualifications: Dr. Bradley has served on the boards of publicly traded companies for over 30 years. He currently serves on the board of SeaSpine Holdings Corporation, a publicly traded company. Dr. Bradley’s qualifications include international experience, extensive business experience, and financial literacy.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428" w:right="3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40" w:right="20" w:firstLine="48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SHAUNDRA D. CLAY, </w:t>
      </w:r>
      <w:r>
        <w:rPr>
          <w:rFonts w:ascii="Times New Roman" w:cs="Times New Roman" w:eastAsia="Times New Roman" w:hAnsi="Times New Roman"/>
          <w:sz w:val="18"/>
          <w:szCs w:val="18"/>
          <w:color w:val="auto"/>
        </w:rPr>
        <w:t>was appointed as a director of the Company, effective April 1, 2021. Ms. Clay is currently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vice president of finance at Beam Suntory, Inc. a global premium spirits company, where she is responsible for enterprise-wide financial planning and analysis and leads the integration of the short-, mid-, and long-term planning processes to optimize resource deployment. Prior to Beam Suntory, Ms. Clay was a managing director in the commercial banking group at JP Morgan Chase. Ms. Clay also spent 13 years in leadership roles within the healthcare industry in the United States and internationally. She served as chief financial officer for Australia, Canada, and Europe at Eli Lilly and Company and spent several years at Medtronic in a variety of leadership roles in the U.S. and abroad, including as chief financial officer for the cardiac &amp; vascular group for Western Europe and Canada. Ms. Clay began her career in accounting and financial analytics at Allstate Insurance Corporation. Ms. Clay currently serves on the board of directors for the Executive Leadership Council as well as the board of trustees of the Rosalind Franklin University of Medicine &amp; Science. She earned a Bachelor’s degree in accounting from Clark Atlanta University and her M.B.A. from the University of Illinois at Chicago. Ms. Clay is an alumna of the Wharton School of the University of Pennsylvania, where she completed the Advanced Management Program. Ms. Clay is 51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-1344930</wp:posOffset>
            </wp:positionV>
            <wp:extent cx="805815" cy="1071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5815" cy="1071880"/>
                    </a:xfrm>
                    <a:prstGeom prst="rect">
                      <a:avLst/>
                    </a:prstGeom>
                    <a:noFill/>
                  </pic:spPr>
                </pic:pic>
              </a:graphicData>
            </a:graphic>
          </wp:anchor>
        </w:drawing>
      </w:r>
    </w:p>
    <w:p>
      <w:pPr>
        <w:spacing w:after="0" w:line="57"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Primary Qualifications: Ms. Clay has extensive experience in finance, the healthcare industry, and international business, having served in senior leadership roles abroad. Her qualifications include finance, healthcare, global business management, risk assessment expertise and as a corporate executive.</w:t>
      </w:r>
    </w:p>
    <w:p>
      <w:pPr>
        <w:spacing w:after="0" w:line="66" w:lineRule="exact"/>
        <w:rPr>
          <w:sz w:val="20"/>
          <w:szCs w:val="20"/>
          <w:color w:val="auto"/>
        </w:rPr>
      </w:pPr>
    </w:p>
    <w:p>
      <w:pPr>
        <w:ind w:left="1840"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STUART M. ESSIG, PH.D., </w:t>
      </w:r>
      <w:r>
        <w:rPr>
          <w:rFonts w:ascii="Times New Roman" w:cs="Times New Roman" w:eastAsia="Times New Roman" w:hAnsi="Times New Roman"/>
          <w:sz w:val="18"/>
          <w:szCs w:val="18"/>
          <w:color w:val="auto"/>
        </w:rPr>
        <w:t>is Integra’s Chairman of the Board of Directors. He has been our Chairman since January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director since he joined Integra in 1997. He served as our Chief Executive Officer from 1997 through 2012 and our President from 1997 until 2010. Prior to joining the Company, he acted as the managing director in mergers and acquisitions for the medical technology practice at Goldman, Sachs &amp; Co. He currently serves as managing director of Prettybrook Partners LLC. Dr. Essig serves on the board of directors of IDEXX Laboratories, SeaSpine Holdings Corporation, Availity LLC, Breg, Inc., and is the chairman of Mission Bio. He previously served on the board of directors of St. Jude Medical Corporation, Owens &amp; Minor Inc., Zimmer Holdings, Inc., and Vital Signs, Inc. Dr. Essig has also served on the executive committee, nominating and governance committee and as treasurer of ADVAMED. He is a founding investor member of Tigerlabs, a Princeton-based business accelerator. He is a Venture Partner at Wellington Partners Advisory AG and serves as a senior advisor to TowerBrook Capital Partners and formerly served as a senior advisor to Water Street Healthcare Partners. He is also involved in several non-profit charitable organizations and has, from time to time, served on the boards of such organizations. Dr. Essig also serves on the Leadership Council, School of Engineering and Applied Sciences, Princeton University. Dr. Essig received an A.B. degree, and graduated with magna cum laude honors, from the Princeton School of Public and International Affairs at Princeton University and an M.B.A. and Ph.D. in Financial Economics from the University of Chicago, Graduate School of Business. Dr. Essig is 60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-1593850</wp:posOffset>
            </wp:positionV>
            <wp:extent cx="805815" cy="1071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05815" cy="1071245"/>
                    </a:xfrm>
                    <a:prstGeom prst="rect">
                      <a:avLst/>
                    </a:prstGeom>
                    <a:noFill/>
                  </pic:spPr>
                </pic:pic>
              </a:graphicData>
            </a:graphic>
          </wp:anchor>
        </w:drawing>
      </w:r>
    </w:p>
    <w:p>
      <w:pPr>
        <w:spacing w:after="0" w:line="178"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Primary Qualifications: Dr. Essig has served on the boards of publicly traded companies for over 30 years and has extensive knowledge of the health care industry. His qualifications include broad experience in the medical device and pharmaceutical industry, executive management and oversight, international business, manufacturing, and accounting and financial experience.</w:t>
      </w:r>
    </w:p>
    <w:p>
      <w:pPr>
        <w:spacing w:after="0" w:line="66" w:lineRule="exact"/>
        <w:rPr>
          <w:sz w:val="20"/>
          <w:szCs w:val="20"/>
          <w:color w:val="auto"/>
        </w:rPr>
      </w:pPr>
    </w:p>
    <w:p>
      <w:pPr>
        <w:ind w:left="1840" w:right="60" w:firstLine="48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BARBARA B. HILL </w:t>
      </w:r>
      <w:r>
        <w:rPr>
          <w:rFonts w:ascii="Times New Roman" w:cs="Times New Roman" w:eastAsia="Times New Roman" w:hAnsi="Times New Roman"/>
          <w:sz w:val="18"/>
          <w:szCs w:val="18"/>
          <w:color w:val="auto"/>
        </w:rPr>
        <w:t>has been a director of the Company since May 2013. Ms. Hill is currently an operating partner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NexPhase Capital, a private 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for Cigna HealthCare, and also served as the CEO of health plans owned by Prudential, Aetna and the Johns Hopkins Health System. She was active with the boards and committees of the Association of Health Insurance Plans and other health insurance industry groups. Ms. Hill currently serves as a board member of Omega Healthcare Investors, Inc. and previously as a board member for Owens &amp; Minor Inc., Revera Inc., and St. Jude Medical Corporation. Ms. Hill received B.A and M.S. degrees from the Johns Hopkins University. Ms. Hill is 69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-1283335</wp:posOffset>
            </wp:positionV>
            <wp:extent cx="805815" cy="1071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581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428" w:right="3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Primary Qualifications: Ms. Hill has extensive experience in the healthcare industry in addition to experience serving on the boards of other publicly traded companies. Her qualifications include management experience, strategic and operational experience in the managed healthcare and pharmaceutical industries, as well as compliance and manufacturing experience.</w:t>
      </w:r>
    </w:p>
    <w:p>
      <w:pPr>
        <w:spacing w:after="0" w:line="66" w:lineRule="exact"/>
        <w:rPr>
          <w:sz w:val="20"/>
          <w:szCs w:val="20"/>
          <w:color w:val="auto"/>
        </w:rPr>
      </w:pPr>
    </w:p>
    <w:p>
      <w:pPr>
        <w:ind w:left="1840" w:right="60" w:firstLine="486"/>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DONALD E. MOREL, JR., PH.D., </w:t>
      </w:r>
      <w:r>
        <w:rPr>
          <w:rFonts w:ascii="Times New Roman" w:cs="Times New Roman" w:eastAsia="Times New Roman" w:hAnsi="Times New Roman"/>
          <w:sz w:val="18"/>
          <w:szCs w:val="18"/>
          <w:color w:val="auto"/>
        </w:rPr>
        <w:t>has been a director of the Company since August 2013. Dr. Morel retired as chairman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West Pharmaceutical Services, Inc., a manufacturer of components and systems for the packaging and delivery of injectable drugs as well as delivery system components for the pharmaceutical, healthcare and consumer products industries, in June 2015, after serving the company since March 2003. He also served as West’s chief executive officer and also president. Dr. Morel previously served on the board of directors of Kensey Nash Corporation, a medical device product development and manufacturing company. He currently serves on the board of directors of Catalent, Inc, the Stevanato Group S.p.A., American Oncologic Hospital of the Fox Chase Cancer Center, and as chairman of the board of trustees of The Franklin Institute and as a trustee of the University of Virginia Darden School Foundation. Dr. Morel received a B.S. in Engineering from Lafayette College and an M.S. and Ph.D. in Materials Science from Cornell University. Dr. Morel is 64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-1155700</wp:posOffset>
            </wp:positionV>
            <wp:extent cx="805815" cy="1071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05815" cy="1071880"/>
                    </a:xfrm>
                    <a:prstGeom prst="rect">
                      <a:avLst/>
                    </a:prstGeom>
                    <a:noFill/>
                  </pic:spPr>
                </pic:pic>
              </a:graphicData>
            </a:graphic>
          </wp:anchor>
        </w:drawing>
      </w:r>
    </w:p>
    <w:p>
      <w:pPr>
        <w:spacing w:after="0" w:line="165"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Primary Qualifications: Dr. Morel was the chief executive officer of West Pharmaceutical Services, Inc. and has over 20 years of experience in developing and managing programs involved in biomedical and pharmaceutical applications. Dr. Morel has considerable experience identifying and implementing strategic priorities. His qualifications include extensive manufacturing, compliance, leadership and management experience.</w:t>
      </w:r>
    </w:p>
    <w:p>
      <w:pPr>
        <w:spacing w:after="0" w:line="66" w:lineRule="exact"/>
        <w:rPr>
          <w:sz w:val="20"/>
          <w:szCs w:val="20"/>
          <w:color w:val="auto"/>
        </w:rPr>
      </w:pPr>
    </w:p>
    <w:p>
      <w:pPr>
        <w:ind w:left="1840" w:right="6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RAYMOND G. MURPHY </w:t>
      </w:r>
      <w:r>
        <w:rPr>
          <w:rFonts w:ascii="Times New Roman" w:cs="Times New Roman" w:eastAsia="Times New Roman" w:hAnsi="Times New Roman"/>
          <w:sz w:val="18"/>
          <w:szCs w:val="18"/>
          <w:color w:val="auto"/>
        </w:rPr>
        <w:t>has been a director of the Company since April 2009. Mr. Murphy has held several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level roles with publicly-traded companies including Time Warner Inc., serving as Senior Vice President &amp; Treasurer of 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He held the position of senior vice president &amp; treasurer of America Online, Inc. and senior vice president, finance &amp; treasurer of Marriott International, Inc. Prior to Marriott, he held executive positions at Manor Care, Inc., Ryder System Inc. and W R Grace &amp; Company. He previously served as the head of the finance committee, the executive committee, and the board of The Advertising Council, Inc. He received a B.S. from Villanova University and an M.B.A. from Columbia University Graduate School of Business. Mr. Murphy is 74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-1240155</wp:posOffset>
            </wp:positionV>
            <wp:extent cx="805815" cy="1028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5815" cy="1028700"/>
                    </a:xfrm>
                    <a:prstGeom prst="rect">
                      <a:avLst/>
                    </a:prstGeom>
                    <a:noFill/>
                  </pic:spPr>
                </pic:pic>
              </a:graphicData>
            </a:graphic>
          </wp:anchor>
        </w:drawing>
      </w:r>
    </w:p>
    <w:p>
      <w:pPr>
        <w:spacing w:after="0" w:line="59"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Primary Qualifications: Mr. Murphy has extensive senior executive and leadership experience having held such positions at other public companies, including Time Warner Inc., America Online, Inc. and Marriott International, Inc. His qualifications include financial, accounting, treasury, business development and risk management, real estate expertise, public company experience, leadership skills and outside board experience. Mr. Murphy also participates on the board of various not for profit organizations.</w:t>
      </w:r>
    </w:p>
    <w:p>
      <w:pPr>
        <w:spacing w:after="0" w:line="56" w:lineRule="exact"/>
        <w:rPr>
          <w:sz w:val="20"/>
          <w:szCs w:val="20"/>
          <w:color w:val="auto"/>
        </w:rPr>
      </w:pPr>
    </w:p>
    <w:p>
      <w:pPr>
        <w:ind w:left="1840" w:right="20" w:firstLine="486"/>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CHRISTIAN S. SCHADE </w:t>
      </w:r>
      <w:r>
        <w:rPr>
          <w:rFonts w:ascii="Times New Roman" w:cs="Times New Roman" w:eastAsia="Times New Roman" w:hAnsi="Times New Roman"/>
          <w:sz w:val="18"/>
          <w:szCs w:val="18"/>
          <w:color w:val="auto"/>
        </w:rPr>
        <w:t>has been a director of the Company since 2006. He currently serves as the chairman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of Aprea Therapeutics Inc., a publicly traded company developing novel anticancer therapies targeting the tumor suppressor protein p53, a position he has held since April 2016. Prior to that, Mr. Schade was the chief executive officer of Novira Therapeutics, Inc., an antiviral drug discovery company until it was acquired by Johnson &amp; Johnson. He also served as executive vice president and chief financial officer of Omthera Pharmaceuticals, Inc., an emerging specialty pharmaceuticals company until it was purchased by AstraZeneca Plc. He previously held executive level positions with other publicly traded companies such as NRG Energy, serving as executive vice president and chief financial officer and Medarex Inc, as senior vice president administration and chief financial officer. He also held various corporate finance and capital markets positions in New York and London for both Merrill Lynch and JP Morgan Chase &amp; Co. Mr. Schade currently serves on the board of directors of Sapience Therapeutics, a privately held company. Mr. Schade received an A.B. degree from Princeton University, and received an M.B.A. from the Wharton School at the University of Pennsylvania. Mr. Schade is 61 years 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-1233170</wp:posOffset>
            </wp:positionV>
            <wp:extent cx="805815" cy="1062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05815" cy="1062990"/>
                    </a:xfrm>
                    <a:prstGeom prst="rect">
                      <a:avLst/>
                    </a:prstGeom>
                    <a:noFill/>
                  </pic:spPr>
                </pic:pic>
              </a:graphicData>
            </a:graphic>
          </wp:anchor>
        </w:drawing>
      </w:r>
    </w:p>
    <w:p>
      <w:pPr>
        <w:spacing w:after="0" w:line="165"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8"/>
          <w:szCs w:val="18"/>
          <w:color w:val="auto"/>
        </w:rPr>
        <w:t>Primary Qualifications: Mr. Schade is the chairman and chief executive officer of Aprea Therapeutics Inc., a publicly-traded biopharmaceutical company. He has also held several senior leadership positions at both private and public companies. His qualifications include corporate management, finance, manufacturing, accounting, human resources, business development, risk management skills and international experience, and significant knowledge and experience in the life sciences industry.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428" w:right="3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for Approval and Recommendation of the Board of Directors</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of Directors. The Nominating and Corporate Governance Committee then will make a recommendation to the Board of Directors whether to accept or reject the resignation, or whether other action should be taken. The Board of Directors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hereby recommends that the stockholders of the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“FOR” the election of each nominee for director.</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428" w:right="3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INFORMATION CONCERNING MEETINGS, EXECUTIVE SESSIONS AND DIRECTOR INDEPENDENCE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Board of Directors held six regularly scheduled and four special meetings during 2021. The Company’s independent directors meet at least twice a year in executive session without management present. The Board of Directors has determined that all of the Company’s directors, except for Mr. De Witte, are independent, as defined by the applicable NASDAQ Stock Market listing standards and the rules of the Securities and Exchange Commission. Peter Arduini, who served as our President and CEO and as a director until December 1, 2021, was also not considered independent.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STANDING COMMITTEES OF THE BOARD OF DIRECTORS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standing Audit, Nominating and Corporate Governance, Compensation and Finance Committees of its Board of Directors. Each committee operates pursuant to a written charter. Copies of these charters are available on our website at www.integralife.com through the “Investors” link under the heading “Corporate Governance.” During 2021, each incumbent director attended in person or by teleconference at least 75% of the total number of meetings of the Board of Directors and of each committee of the Board of Directors on which he or she then served. Our directors are encouraged to attend our annual meetings of stockholders. At the virtual annual meeting of stockholders held in 2021, all nine of the directors then in office participated in the virtual annual meeting. The following chart and narrative set forth the current composition of our committees of the Board of Directors, coupled with the number of committee meetings held in 2021 for each standing committee.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COMMITTEE COMPOSITION</w:t>
      </w:r>
    </w:p>
    <w:p>
      <w:pPr>
        <w:spacing w:after="0" w:line="146" w:lineRule="exact"/>
        <w:rPr>
          <w:sz w:val="20"/>
          <w:szCs w:val="20"/>
          <w:color w:val="auto"/>
        </w:rPr>
      </w:pPr>
    </w:p>
    <w:tbl>
      <w:tblPr>
        <w:tblLayout w:type="fixed"/>
        <w:tblInd w:w="590" w:type="dxa"/>
        <w:tblCellMar>
          <w:top w:w="0" w:type="dxa"/>
          <w:left w:w="0" w:type="dxa"/>
          <w:bottom w:w="0" w:type="dxa"/>
          <w:right w:w="0" w:type="dxa"/>
        </w:tblCellMar>
      </w:tblPr>
      <w:tr>
        <w:trPr>
          <w:trHeight w:val="178"/>
        </w:trPr>
        <w:tc>
          <w:tcPr>
            <w:tcW w:w="3060" w:type="dxa"/>
            <w:vAlign w:val="bottom"/>
            <w:tcBorders>
              <w:top w:val="single" w:sz="8" w:color="auto"/>
              <w:left w:val="single" w:sz="8" w:color="auto"/>
              <w:right w:val="single" w:sz="8" w:color="auto"/>
            </w:tcBorders>
          </w:tcPr>
          <w:p>
            <w:pPr>
              <w:spacing w:after="0"/>
              <w:rPr>
                <w:sz w:val="15"/>
                <w:szCs w:val="15"/>
                <w:color w:val="auto"/>
              </w:rPr>
            </w:pPr>
          </w:p>
        </w:tc>
        <w:tc>
          <w:tcPr>
            <w:tcW w:w="800" w:type="dxa"/>
            <w:vAlign w:val="bottom"/>
            <w:tcBorders>
              <w:top w:val="single" w:sz="8" w:color="auto"/>
              <w:right w:val="single" w:sz="8" w:color="auto"/>
            </w:tcBorders>
          </w:tcPr>
          <w:p>
            <w:pPr>
              <w:spacing w:after="0"/>
              <w:rPr>
                <w:sz w:val="15"/>
                <w:szCs w:val="15"/>
                <w:color w:val="auto"/>
              </w:rPr>
            </w:pPr>
          </w:p>
        </w:tc>
        <w:tc>
          <w:tcPr>
            <w:tcW w:w="3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 Corporate</w:t>
            </w:r>
          </w:p>
        </w:tc>
        <w:tc>
          <w:tcPr>
            <w:tcW w:w="148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r>
      <w:tr>
        <w:trPr>
          <w:trHeight w:val="190"/>
        </w:trPr>
        <w:tc>
          <w:tcPr>
            <w:tcW w:w="306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Finance</w:t>
            </w:r>
          </w:p>
        </w:tc>
      </w:tr>
      <w:tr>
        <w:trPr>
          <w:trHeight w:val="23"/>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23"/>
        </w:trPr>
        <w:tc>
          <w:tcPr>
            <w:tcW w:w="30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Jan De Witte*</w:t>
            </w:r>
          </w:p>
        </w:tc>
        <w:tc>
          <w:tcPr>
            <w:tcW w:w="800" w:type="dxa"/>
            <w:vAlign w:val="bottom"/>
            <w:tcBorders>
              <w:bottom w:val="single" w:sz="8" w:color="auto"/>
              <w:right w:val="single" w:sz="8" w:color="auto"/>
            </w:tcBorders>
          </w:tcPr>
          <w:p>
            <w:pPr>
              <w:spacing w:after="0"/>
              <w:rPr>
                <w:sz w:val="19"/>
                <w:szCs w:val="19"/>
                <w:color w:val="auto"/>
              </w:rPr>
            </w:pPr>
          </w:p>
        </w:tc>
        <w:tc>
          <w:tcPr>
            <w:tcW w:w="328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right w:val="single" w:sz="8" w:color="auto"/>
            </w:tcBorders>
          </w:tcPr>
          <w:p>
            <w:pPr>
              <w:spacing w:after="0"/>
              <w:rPr>
                <w:sz w:val="19"/>
                <w:szCs w:val="19"/>
                <w:color w:val="auto"/>
              </w:rPr>
            </w:pPr>
          </w:p>
        </w:tc>
      </w:tr>
      <w:tr>
        <w:trPr>
          <w:trHeight w:val="270"/>
        </w:trPr>
        <w:tc>
          <w:tcPr>
            <w:tcW w:w="30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Stuart M. Essig, Ph.D.</w:t>
            </w:r>
          </w:p>
        </w:tc>
        <w:tc>
          <w:tcPr>
            <w:tcW w:w="800" w:type="dxa"/>
            <w:vAlign w:val="bottom"/>
            <w:tcBorders>
              <w:bottom w:val="single" w:sz="8" w:color="auto"/>
              <w:right w:val="single" w:sz="8" w:color="auto"/>
            </w:tcBorders>
          </w:tcPr>
          <w:p>
            <w:pPr>
              <w:spacing w:after="0"/>
              <w:rPr>
                <w:sz w:val="23"/>
                <w:szCs w:val="23"/>
                <w:color w:val="auto"/>
              </w:rPr>
            </w:pPr>
          </w:p>
        </w:tc>
        <w:tc>
          <w:tcPr>
            <w:tcW w:w="3280" w:type="dxa"/>
            <w:vAlign w:val="bottom"/>
            <w:tcBorders>
              <w:bottom w:val="single" w:sz="8" w:color="auto"/>
              <w:right w:val="single" w:sz="8" w:color="auto"/>
            </w:tcBorders>
          </w:tcPr>
          <w:p>
            <w:pPr>
              <w:spacing w:after="0"/>
              <w:rPr>
                <w:sz w:val="23"/>
                <w:szCs w:val="23"/>
                <w:color w:val="auto"/>
              </w:rPr>
            </w:pPr>
          </w:p>
        </w:tc>
        <w:tc>
          <w:tcPr>
            <w:tcW w:w="1480" w:type="dxa"/>
            <w:vAlign w:val="bottom"/>
            <w:tcBorders>
              <w:bottom w:val="single" w:sz="8" w:color="auto"/>
              <w:right w:val="single" w:sz="8" w:color="auto"/>
            </w:tcBorders>
          </w:tcPr>
          <w:p>
            <w:pPr>
              <w:spacing w:after="0"/>
              <w:rPr>
                <w:sz w:val="23"/>
                <w:szCs w:val="23"/>
                <w:color w:val="auto"/>
              </w:rPr>
            </w:pPr>
          </w:p>
        </w:tc>
        <w:tc>
          <w:tcPr>
            <w:tcW w:w="1500" w:type="dxa"/>
            <w:vAlign w:val="bottom"/>
            <w:tcBorders>
              <w:bottom w:val="single" w:sz="8" w:color="auto"/>
              <w:right w:val="single" w:sz="8" w:color="auto"/>
            </w:tcBorders>
          </w:tcPr>
          <w:p>
            <w:pPr>
              <w:spacing w:after="0"/>
              <w:rPr>
                <w:sz w:val="23"/>
                <w:szCs w:val="23"/>
                <w:color w:val="auto"/>
              </w:rPr>
            </w:pPr>
          </w:p>
        </w:tc>
      </w:tr>
      <w:tr>
        <w:trPr>
          <w:trHeight w:val="284"/>
        </w:trPr>
        <w:tc>
          <w:tcPr>
            <w:tcW w:w="30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Rhonda G. Ballintyn **</w:t>
            </w:r>
          </w:p>
        </w:tc>
        <w:tc>
          <w:tcPr>
            <w:tcW w:w="8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318"/>
        </w:trPr>
        <w:tc>
          <w:tcPr>
            <w:tcW w:w="30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Keith Bradley, Ph.D.</w:t>
            </w:r>
          </w:p>
        </w:tc>
        <w:tc>
          <w:tcPr>
            <w:tcW w:w="8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r>
      <w:tr>
        <w:trPr>
          <w:trHeight w:val="67"/>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28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r>
      <w:tr>
        <w:trPr>
          <w:trHeight w:val="298"/>
        </w:trPr>
        <w:tc>
          <w:tcPr>
            <w:tcW w:w="306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Shaundra D. Clay </w:t>
            </w:r>
            <w:r>
              <w:rPr>
                <w:rFonts w:ascii="Times New Roman" w:cs="Times New Roman" w:eastAsia="Times New Roman" w:hAnsi="Times New Roman"/>
                <w:sz w:val="21"/>
                <w:szCs w:val="21"/>
                <w:color w:val="auto"/>
              </w:rPr>
              <w:t>I</w:t>
            </w:r>
          </w:p>
        </w:tc>
        <w:tc>
          <w:tcPr>
            <w:tcW w:w="80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r>
        <w:trPr>
          <w:trHeight w:val="297"/>
        </w:trPr>
        <w:tc>
          <w:tcPr>
            <w:tcW w:w="30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Barbara B. Hill  #</w:t>
            </w:r>
          </w:p>
        </w:tc>
        <w:tc>
          <w:tcPr>
            <w:tcW w:w="8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r>
      <w:tr>
        <w:trPr>
          <w:trHeight w:val="40"/>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291"/>
        </w:trPr>
        <w:tc>
          <w:tcPr>
            <w:tcW w:w="30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Donald E. Morel, Jr., Ph.D.</w:t>
            </w:r>
          </w:p>
        </w:tc>
        <w:tc>
          <w:tcPr>
            <w:tcW w:w="8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r>
      <w:tr>
        <w:trPr>
          <w:trHeight w:val="40"/>
        </w:trPr>
        <w:tc>
          <w:tcPr>
            <w:tcW w:w="3060" w:type="dxa"/>
            <w:vAlign w:val="bottom"/>
            <w:tcBorders>
              <w:left w:val="single" w:sz="8" w:color="auto"/>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32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r>
      <w:tr>
        <w:trPr>
          <w:trHeight w:val="318"/>
        </w:trPr>
        <w:tc>
          <w:tcPr>
            <w:tcW w:w="30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Raymond G. Murphy</w:t>
            </w:r>
          </w:p>
        </w:tc>
        <w:tc>
          <w:tcPr>
            <w:tcW w:w="8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r>
      <w:tr>
        <w:trPr>
          <w:trHeight w:val="67"/>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28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r>
      <w:tr>
        <w:trPr>
          <w:trHeight w:val="318"/>
        </w:trPr>
        <w:tc>
          <w:tcPr>
            <w:tcW w:w="30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Christian S. Schade</w:t>
            </w:r>
          </w:p>
        </w:tc>
        <w:tc>
          <w:tcPr>
            <w:tcW w:w="8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spacing w:after="0"/>
              <w:rPr>
                <w:sz w:val="24"/>
                <w:szCs w:val="24"/>
                <w:color w:val="auto"/>
              </w:rPr>
            </w:pPr>
          </w:p>
        </w:tc>
        <w:tc>
          <w:tcPr>
            <w:tcW w:w="1480" w:type="dxa"/>
            <w:vAlign w:val="bottom"/>
            <w:tcBorders>
              <w:right w:val="single" w:sz="8" w:color="auto"/>
            </w:tcBorders>
          </w:tcPr>
          <w:p>
            <w:pPr>
              <w:spacing w:after="0"/>
              <w:rPr>
                <w:sz w:val="24"/>
                <w:szCs w:val="24"/>
                <w:color w:val="auto"/>
              </w:rPr>
            </w:pPr>
          </w:p>
        </w:tc>
        <w:tc>
          <w:tcPr>
            <w:tcW w:w="1500" w:type="dxa"/>
            <w:vAlign w:val="bottom"/>
            <w:tcBorders>
              <w:right w:val="single" w:sz="8" w:color="auto"/>
            </w:tcBorders>
          </w:tcPr>
          <w:p>
            <w:pPr>
              <w:spacing w:after="0"/>
              <w:rPr>
                <w:sz w:val="24"/>
                <w:szCs w:val="24"/>
                <w:color w:val="auto"/>
              </w:rPr>
            </w:pPr>
          </w:p>
        </w:tc>
      </w:tr>
      <w:tr>
        <w:trPr>
          <w:trHeight w:val="67"/>
        </w:trPr>
        <w:tc>
          <w:tcPr>
            <w:tcW w:w="3060" w:type="dxa"/>
            <w:vAlign w:val="bottom"/>
            <w:tcBorders>
              <w:left w:val="single" w:sz="8" w:color="auto"/>
              <w:bottom w:val="single" w:sz="8" w:color="auto"/>
              <w:right w:val="single" w:sz="8" w:color="auto"/>
            </w:tcBorders>
          </w:tcPr>
          <w:p>
            <w:pPr>
              <w:spacing w:after="0"/>
              <w:rPr>
                <w:sz w:val="5"/>
                <w:szCs w:val="5"/>
                <w:color w:val="auto"/>
              </w:rPr>
            </w:pPr>
          </w:p>
        </w:tc>
        <w:tc>
          <w:tcPr>
            <w:tcW w:w="800" w:type="dxa"/>
            <w:vAlign w:val="bottom"/>
            <w:tcBorders>
              <w:bottom w:val="single" w:sz="8" w:color="auto"/>
              <w:right w:val="single" w:sz="8" w:color="auto"/>
            </w:tcBorders>
          </w:tcPr>
          <w:p>
            <w:pPr>
              <w:spacing w:after="0"/>
              <w:rPr>
                <w:sz w:val="5"/>
                <w:szCs w:val="5"/>
                <w:color w:val="auto"/>
              </w:rPr>
            </w:pPr>
          </w:p>
        </w:tc>
        <w:tc>
          <w:tcPr>
            <w:tcW w:w="328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r>
      <w:tr>
        <w:trPr>
          <w:trHeight w:val="237"/>
        </w:trPr>
        <w:tc>
          <w:tcPr>
            <w:tcW w:w="3060" w:type="dxa"/>
            <w:vAlign w:val="bottom"/>
            <w:tcBorders>
              <w:left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 of 2021 Meetings</w:t>
            </w:r>
          </w:p>
        </w:tc>
        <w:tc>
          <w:tcPr>
            <w:tcW w:w="800" w:type="dxa"/>
            <w:vAlign w:val="bottom"/>
            <w:tcBorders>
              <w:right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7</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5</w:t>
            </w:r>
          </w:p>
        </w:tc>
        <w:tc>
          <w:tcPr>
            <w:tcW w:w="1480" w:type="dxa"/>
            <w:vAlign w:val="bottom"/>
            <w:tcBorders>
              <w:right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9</w:t>
            </w:r>
          </w:p>
        </w:tc>
        <w:tc>
          <w:tcPr>
            <w:tcW w:w="1500" w:type="dxa"/>
            <w:vAlign w:val="bottom"/>
            <w:tcBorders>
              <w:right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7"/>
        </w:trPr>
        <w:tc>
          <w:tcPr>
            <w:tcW w:w="306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-1979930</wp:posOffset>
            </wp:positionV>
            <wp:extent cx="128905"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85725"/>
                    </a:xfrm>
                    <a:prstGeom prst="rect">
                      <a:avLst/>
                    </a:prstGeom>
                    <a:noFill/>
                  </pic:spPr>
                </pic:pic>
              </a:graphicData>
            </a:graphic>
          </wp:anchor>
        </w:drawing>
        <w:drawing>
          <wp:anchor simplePos="0" relativeHeight="251657728" behindDoc="1" locked="0" layoutInCell="0" allowOverlap="1">
            <wp:simplePos x="0" y="0"/>
            <wp:positionH relativeFrom="column">
              <wp:posOffset>1436370</wp:posOffset>
            </wp:positionH>
            <wp:positionV relativeFrom="paragraph">
              <wp:posOffset>-1782445</wp:posOffset>
            </wp:positionV>
            <wp:extent cx="43180" cy="857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572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-1808480</wp:posOffset>
            </wp:positionV>
            <wp:extent cx="857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1470660</wp:posOffset>
            </wp:positionH>
            <wp:positionV relativeFrom="paragraph">
              <wp:posOffset>-1551305</wp:posOffset>
            </wp:positionV>
            <wp:extent cx="43180"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180" cy="8572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-1602740</wp:posOffset>
            </wp:positionV>
            <wp:extent cx="12001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-1576705</wp:posOffset>
            </wp:positionV>
            <wp:extent cx="857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-1602740</wp:posOffset>
            </wp:positionV>
            <wp:extent cx="12001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-1345565</wp:posOffset>
            </wp:positionV>
            <wp:extent cx="8572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37160"/>
                    </a:xfrm>
                    <a:prstGeom prst="rect">
                      <a:avLst/>
                    </a:prstGeom>
                    <a:noFill/>
                  </pic:spPr>
                </pic:pic>
              </a:graphicData>
            </a:graphic>
          </wp:anchor>
        </w:drawing>
        <w:drawing>
          <wp:anchor simplePos="0" relativeHeight="251657728" behindDoc="1" locked="0" layoutInCell="0" allowOverlap="1">
            <wp:simplePos x="0" y="0"/>
            <wp:positionH relativeFrom="column">
              <wp:posOffset>1213485</wp:posOffset>
            </wp:positionH>
            <wp:positionV relativeFrom="paragraph">
              <wp:posOffset>-1105535</wp:posOffset>
            </wp:positionV>
            <wp:extent cx="43180" cy="8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180" cy="8572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-1139825</wp:posOffset>
            </wp:positionV>
            <wp:extent cx="10287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-882650</wp:posOffset>
            </wp:positionV>
            <wp:extent cx="43180" cy="857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180" cy="8572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-916940</wp:posOffset>
            </wp:positionV>
            <wp:extent cx="10287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-642620</wp:posOffset>
            </wp:positionV>
            <wp:extent cx="43180" cy="857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180" cy="8572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-676910</wp:posOffset>
            </wp:positionV>
            <wp:extent cx="10287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-694055</wp:posOffset>
            </wp:positionV>
            <wp:extent cx="12001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-694055</wp:posOffset>
            </wp:positionV>
            <wp:extent cx="12001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-385445</wp:posOffset>
            </wp:positionV>
            <wp:extent cx="43180" cy="857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180" cy="8572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-436880</wp:posOffset>
            </wp:positionV>
            <wp:extent cx="12001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-419735</wp:posOffset>
            </wp:positionV>
            <wp:extent cx="1028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2870" cy="15430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sz w:val="1"/>
          <w:szCs w:val="1"/>
          <w:color w:val="auto"/>
        </w:rPr>
        <w:drawing>
          <wp:inline distT="0" distB="0" distL="0" distR="0">
            <wp:extent cx="85725" cy="857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Chairman of the Board </w:t>
      </w:r>
      <w:r>
        <w:rPr>
          <w:sz w:val="1"/>
          <w:szCs w:val="1"/>
          <w:color w:val="auto"/>
        </w:rPr>
        <w:drawing>
          <wp:inline distT="0" distB="0" distL="0" distR="0">
            <wp:extent cx="102870"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12890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 Chair </w:t>
      </w:r>
      <w:r>
        <w:rPr>
          <w:sz w:val="1"/>
          <w:szCs w:val="1"/>
          <w:color w:val="auto"/>
        </w:rPr>
        <w:drawing>
          <wp:inline distT="0" distB="0" distL="0" distR="0">
            <wp:extent cx="102870"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870" cy="12890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Member </w:t>
      </w:r>
      <w:r>
        <w:rPr>
          <w:sz w:val="1"/>
          <w:szCs w:val="1"/>
          <w:color w:val="auto"/>
        </w:rPr>
        <w:drawing>
          <wp:inline distT="0" distB="0" distL="0" distR="0">
            <wp:extent cx="59690" cy="111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111125"/>
                    </a:xfrm>
                    <a:prstGeom prst="rect">
                      <a:avLst/>
                    </a:prstGeom>
                    <a:noFill/>
                    <a:ln>
                      <a:noFill/>
                    </a:ln>
                  </pic:spPr>
                </pic:pic>
              </a:graphicData>
            </a:graphic>
          </wp:inline>
        </w:drawing>
      </w:r>
      <w:r>
        <w:rPr>
          <w:rFonts w:ascii="Times New Roman" w:cs="Times New Roman" w:eastAsia="Times New Roman" w:hAnsi="Times New Roman"/>
          <w:sz w:val="14"/>
          <w:szCs w:val="14"/>
          <w:color w:val="auto"/>
        </w:rPr>
        <w:t xml:space="preserve"> = Independent Under NASDAQ Listing Standards #=Presiding Director</w:t>
      </w:r>
    </w:p>
    <w:p>
      <w:pPr>
        <w:spacing w:after="0" w:line="1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Mr. De Witte was appointed to the Board of Directors on October 28, 2021 and his service commenced effective as of December 1, 2021.</w:t>
      </w:r>
    </w:p>
    <w:p>
      <w:pPr>
        <w:spacing w:after="0" w:line="27" w:lineRule="exact"/>
        <w:rPr>
          <w:sz w:val="20"/>
          <w:szCs w:val="20"/>
          <w:color w:val="auto"/>
        </w:rPr>
      </w:pPr>
    </w:p>
    <w:p>
      <w:pPr>
        <w:ind w:left="500" w:hanging="6"/>
        <w:spacing w:after="0" w:line="260"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Germany Ballintyn is not standing for re-election at the 2022 Annual Meeting of Stockholders and will cease to serve as a director following the conclusion of the Annual Meeting.</w:t>
      </w:r>
    </w:p>
    <w:p>
      <w:pPr>
        <w:spacing w:after="0" w:line="206"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Audit Committee. </w:t>
      </w:r>
      <w:r>
        <w:rPr>
          <w:rFonts w:ascii="Times New Roman" w:cs="Times New Roman" w:eastAsia="Times New Roman" w:hAnsi="Times New Roman"/>
          <w:sz w:val="18"/>
          <w:szCs w:val="18"/>
          <w:color w:val="auto"/>
        </w:rPr>
        <w:t>The members of the Audit Committee are Mr. Murphy (chair), Ms. Clay, and Mr. Schade. Lloyd Howell, who resigned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effective February 26, 2021, served as a member of the Audit Committee until his resignation as a director and Mr. Howell was replaced on the Committee by Dr. Bradley. Following the conclusion of the 2021 Annual Meeting, Dr. Bradley was replaced on the Committee by Ms. Clay. The Committee met seven times in 2021. The purpose of the Audit Committee is to oversee the Company’s accounting and financial reporting process and the audits of the Company’s financial statements. The Board of Directors has determined that all the members of the Audit Committee are independent within the meaning of the rules of the Securities and Exchange Commission and the applicable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428" w:right="3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NASDAQ Stock Market listing standards. The Board of Directors also has determined that Ms. Clay, Mr. Murphy, Mr. Howell, Mr. Schade, and Dr. Bradley are “audit committee financial experts,” as defined under Item 407(d) of Regulation S-K, and that each of them is “financially sophisticated” in accordance with NASDAQ Stock Market listing standards.</w:t>
      </w:r>
    </w:p>
    <w:p>
      <w:pPr>
        <w:spacing w:after="0" w:line="6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The members of the Nominating and Corporate Governance Committee are Ms. Hill (chair),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Bradley and Mr. Murphy. The Committee met five times in 2021. The purpose of the Nominating and Corporate Governance Committee is to assist the Board of Directors in the identification of qualified candidates to become directors, consistent with the criteria approved by the Board, the selection of nominees for election as directors at the annual stockholders meeting, the selection of candidates to fill any vacancies on the Board of Directors, the development and recommendation to the Board of Directors of a set of corporate governance guidelines and principles applicable to the Company, the oversight of the evaluation of the Board of Directors and otherwise taking a leadership role in shaping the corporate governance of the Company. The Board of Directors has determined that all of the members of the Nominating and Corporate Governance Committee are independent, as defined by the applicable NASDAQ Stock Market listing standards.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identifies the candidate’s principal occupation or employment; the number of shares of the Company’s common stock that such candidate beneficially owns; a description of all arrangements or understandings between the nominating stockholder and such candidate and/or any other person or persons (naming such person or persons) pursuant to which the nominations are to be made by the stockholder; detailed biographical information about, and qualifications of, the candidate;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spacing w:after="0" w:line="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of Directors must be submitted in writing to Integra LifeSciences Holdings Corporation, 1100 Campus Road, Princeton, New Jersey 08540, Attention: Executive Vice President, Chief Legal Officer and Secretary.</w:t>
      </w:r>
    </w:p>
    <w:p>
      <w:pPr>
        <w:spacing w:after="0" w:line="7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The members of the Compensation Committee are Dr. Morel (chair), Ms. Germany Ballintyn and Dr. Bradley. Dr.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Bradley served on this Committee until his transition to the Audit and Finance Committees on February 26, 2021 at which time Ms. Hill was appointed to the Committee. Following the conclusion of the 2021 Annual Meeting, Dr. Bradley replaced Ms. Hill on the Committee. The Committee met nine times in 2021.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2003 Equity Incentive Plan, the Company’s Deferred Compensation Plan and the Company’s Employee Stock Purchase Plan (collectively, the “Approved Plans”). Each member of the Compensation Committee is a “non-employee” director within the meaning of Rule 16b-3 under the Exchange Act. The Board of Directors has determined that each of the members of the Compensation Committee is independent, as defined by the applicable NASDAQ Stock Market listing standards.</w:t>
      </w:r>
    </w:p>
    <w:p>
      <w:pPr>
        <w:spacing w:after="0" w:line="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Compensation Committee may delegate any or all of its responsibilities to the extent consistent with the Company’s certificate of incorporation, bylaws, Corporate Governance Guidelines and applicable laws and rules of markets in which the Company’s securities then trade.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Compensation Committee has delegated authority for making equity awards to non-executive officer employees under the Approved Plans to a Special Award Committee, consisting of the Chief Executive Officer, provided, however,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28"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that this delegation is limited to grants whose cumulative value in any twelve-month period does not exceed $400,000 for any individual recipient. On an annual basis, the Compensation Committee establishes the maximum aggregate value of the awards the Special Award Committee may make. The Compensation Committee authorized the Special Award Committee to grant awards with a maximum aggregate value of $22,000,000 during the one-year period beginning May 14, 2021.</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provides significant input on the compensation, including annual merit adjustments and equity awards, of the other executive officers. As discussed below in “Executive Compensation — Compensation Discussion and Analysis — Role of the Compensation Committee,” the Compensation Committee approves the compensation of these officers, taking into consideration the recommendations of the Chief Executive Officer.</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2022, the Compensation Committee of the Board of Directors has engaged Willis Towers Watson to provide consulting services relating to</w:t>
      </w:r>
    </w:p>
    <w:p>
      <w:pPr>
        <w:spacing w:after="0" w:line="27" w:lineRule="exact"/>
        <w:rPr>
          <w:sz w:val="20"/>
          <w:szCs w:val="20"/>
          <w:color w:val="auto"/>
        </w:rPr>
      </w:pPr>
    </w:p>
    <w:p>
      <w:pPr>
        <w:jc w:val="both"/>
        <w:ind w:firstLine="8"/>
        <w:spacing w:after="0" w:line="252" w:lineRule="auto"/>
        <w:tabs>
          <w:tab w:leader="none" w:pos="2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Discussion and Analysis and Say on Pay Proposal, (ii) stockholder advisory matters, and (ii) compensation arrangements for the Chief Executive Officer, Chief Operating Officer, Chief Financial Officer and other executive officers for their performance during the 2021 calendar year. During 2021, the Compensation Committee of the Board of Directors engaged Willis Towers Watson to provide consulting services relating to (i) the Compensation Discussion and Analysis and Say on Pay Proposal, (ii) stockholder advisory matters, (iii) the Fifth Amended &amp; Restated 2003 Equity Incentive Plan, (iv) compensation arrangements for the Chief Executive Officer, Chief Financial Officer and other executive officers for their performance during the 2020 calendar year; and (iv) corporate risk and brokering services and additional rewards consulting services.</w:t>
      </w:r>
    </w:p>
    <w:p>
      <w:pPr>
        <w:spacing w:after="0" w:line="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Finance Committee. </w:t>
      </w:r>
      <w:r>
        <w:rPr>
          <w:rFonts w:ascii="Times New Roman" w:cs="Times New Roman" w:eastAsia="Times New Roman" w:hAnsi="Times New Roman"/>
          <w:sz w:val="18"/>
          <w:szCs w:val="18"/>
          <w:color w:val="auto"/>
        </w:rPr>
        <w:t>The members of the Finance Committee are Mr. Schade (chair), Dr. Bradley and Mr. Murphy. Mr. Howell served 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until his resignation as a director, effective on February 26, 2021. He was replaced on the Committee by Dr. Bradley. The Committee met two times in 2021. The purpose of the Finance Committee is to advise management on matters related to financing strategy, as well as the Company’s capital structure and capital allocation initiatives. The Board of Directors has determined that each of the members of the Finance Committee is independent, as defined by the applicable NASDAQ Stock Market listing standards.</w:t>
      </w:r>
    </w:p>
    <w:p>
      <w:pPr>
        <w:spacing w:after="0" w:line="21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Special Committees</w:t>
      </w:r>
      <w:r>
        <w:rPr>
          <w:rFonts w:ascii="Times New Roman" w:cs="Times New Roman" w:eastAsia="Times New Roman" w:hAnsi="Times New Roman"/>
          <w:sz w:val="18"/>
          <w:szCs w:val="18"/>
          <w:color w:val="auto"/>
        </w:rPr>
        <w:t>. In 2021, following the announced resignation of Mr. Arduini, the Board formed a special committee, the CEO 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to lead the search for our new CEO. The members of the special committee were Mr. Essig (chair), Ms. Hill and Dr. Morel. The special committee met 10 times in 2021. The committee was dissolved following the appointment of Mr. De Witte and the completion of its responsibilities.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EVALUATIONS AND SUCCESSION PLANNING</w:t>
      </w:r>
    </w:p>
    <w:p>
      <w:pPr>
        <w:spacing w:after="0" w:line="12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Board of Directors performs a rigorous evaluation annually. Each Director evaluates each other and all of the Committees as well as the Board as a whole.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this overall process leads to purposeful results. In addition to the evaluations, each Committee also reviews its charter annually. In evaluating candidates for Board membership, the Board and the Nominating and Corporate Governance Committee consider many factors based on the specific needs of the business and what is in the best interests of the Company’s stockholders. These factors include diversity of professional experience, race, ethnicity, gender, age and cultural background. In addition, the Board and the Nominating and Corporate Governance Committee focus on how the experiences and skill sets of each Director nominee complement those of fellow Director nominees to create a balanced Board with diverse viewpoints and deep expertise.</w:t>
      </w:r>
    </w:p>
    <w:p>
      <w:pPr>
        <w:spacing w:after="0" w:line="8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is committed to ensuring that it serves the best interests of its stockholders and positions the Company for future success. Accordingly, the Board of Directors, as it deems necessary, may have conversations with individual Directors in connection with evaluations, the board refreshment process, and the consideration of the annual slate of Director nominees. The Company expects to continue these practices going forward.</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currently has nine members of the Board of Directors, who will serve until the next annual meeting of stockholders and until their successors are duly elected and qualified. The current directors are Jan De Witte, Rhonda</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28" w:right="3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Germany Ballintyn, Keith Bradley, Ph.D., Shaundra D. Clay, Stuart M. Essig, Ph.D., Barbara B. Hill, Donald E. Morel, Jr., Ph.D., Raymond G. Murphy, and Christian S. Schade. With exception of Ms. Germany Ballintyn, who will not stand for re-election at the 2022 Annual Meeting of Stockholders but will continue to serve as director until the expiration of her term at the 2022 Annual Meeting, all current members of the Board are nominees for election to the Board at the 2022 Annual Meeting of Stockholders. Following the conclusion of the 2022 Annual Meeting, assuming all of the nominees for election are duly elected by our stockholders, the Board of Directors will consist of eight members. The Board of Directors, in consultation with the Nominating and Corporate Governance Committee, is currently evaluating the optimal size of the Board.</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indicated above, Mr. De Witte has served as both President and Chief Executive Officer and as a director of the Company since December 2021. His position is separate from that of the Chairman of the Board. We view having the Chairman position separate from the Chief Executive Officer is good governance practice because it puts the Board in the best position to oversee all executives of the Company and set a pro-stockholder agenda without presenting potential conflicts that having the two positions combined might pose, thus resulting in a more effective board of directors.</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Stuart M. Essig, Ph.D. has served as Non-Executive Chairman of the Board of Directors since June 2012 and has been a director since 1997. He served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we benefit greatly by having a Chairman with his level of experience with, and knowledge of, the Company and whose interests are strongly aligned with those of our stockholders.</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Barbara B. Hill has served as Presiding Director since September 2018 and she has been a director since 2013. Ms. Hill has significant experience with, and knowledge of, the Company, its operations, products and history. We believe we benefit greatly by having a Presiding Director with significant experience with, and knowledge of, the Company. In addition, the presence of an active and independent Presiding Director ensures independent oversight of the Board of Directors and its responsibilities. Further, we believe having a separate Presiding Director to, among other things, (1) serve as the primary liaison between the independent directors and the Chief Executive Officer, (2) counsel the Chief Executive Officer on key board governance issues, and (3) preside over board meetings if the Chairman of the Board is absent, leads to a more effective board of directors. The Presiding Director also serves as a contact person to facilitate communications between stockholders and other third parties and the independent directors. Please see “Communications with Directors” for additional information on contacting the Board of Directors.</w:t>
      </w:r>
    </w:p>
    <w:p>
      <w:pPr>
        <w:spacing w:after="0" w:line="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believe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addition, we believe the current size of the Board and Board Committees is appropriate, given the size, nature, structure and complexity of the Company. The Board continues, however, to monitor and evaluate the optimal size and composition of the Board to ensure an optimal leadership structure.</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Accordingly, we believe our Board leadership structure is appropriate at this time.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428"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21"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The Board of Directors has overall responsibility for the oversight of risk management at the Company and has delegated responsibility for the oversight of certain areas of risk management to the standing Committees of the Board, as described below. Each standing Board committee reports to the full Board following each committee meeting. Summarized below are the specific risk areas of focus for each standing committee.</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9160" w:type="dxa"/>
            <w:vAlign w:val="bottom"/>
            <w:tcBorders>
              <w:top w:val="single" w:sz="8" w:color="auto"/>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   Oversees risks relating to the accounting and financial reporting process of the Company and audits of the</w:t>
            </w:r>
          </w:p>
        </w:tc>
        <w:tc>
          <w:tcPr>
            <w:tcW w:w="0" w:type="dxa"/>
            <w:vAlign w:val="bottom"/>
          </w:tcPr>
          <w:p>
            <w:pPr>
              <w:spacing w:after="0"/>
              <w:rPr>
                <w:sz w:val="1"/>
                <w:szCs w:val="1"/>
                <w:color w:val="auto"/>
              </w:rPr>
            </w:pPr>
          </w:p>
        </w:tc>
      </w:tr>
      <w:tr>
        <w:trPr>
          <w:trHeight w:val="94"/>
        </w:trPr>
        <w:tc>
          <w:tcPr>
            <w:tcW w:w="2100" w:type="dxa"/>
            <w:vAlign w:val="bottom"/>
            <w:tcBorders>
              <w:left w:val="single" w:sz="8" w:color="auto"/>
              <w:right w:val="single" w:sz="8" w:color="auto"/>
            </w:tcBorders>
          </w:tcPr>
          <w:p>
            <w:pPr>
              <w:spacing w:after="0"/>
              <w:rPr>
                <w:sz w:val="8"/>
                <w:szCs w:val="8"/>
                <w:color w:val="auto"/>
              </w:rPr>
            </w:pPr>
          </w:p>
        </w:tc>
        <w:tc>
          <w:tcPr>
            <w:tcW w:w="91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right w:val="single" w:sz="8" w:color="auto"/>
            </w:tcBorders>
          </w:tcPr>
          <w:p>
            <w:pPr>
              <w:spacing w:after="0"/>
              <w:rPr>
                <w:sz w:val="20"/>
                <w:szCs w:val="20"/>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Company’s financial statements</w:t>
            </w: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right w:val="single" w:sz="8" w:color="auto"/>
            </w:tcBorders>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Meets regularly with management to review and discuss the financial risk management processes, including</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compliance with Sarbanes-Oxley and related internal controls and procedures, disclosure controls and procedures</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right w:val="single" w:sz="8" w:color="auto"/>
            </w:tcBorders>
          </w:tcPr>
          <w:p>
            <w:pPr>
              <w:spacing w:after="0"/>
              <w:rPr>
                <w:sz w:val="20"/>
                <w:szCs w:val="20"/>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and accounting and reporting compliance, as well as tax, treasury and compliance matters</w:t>
            </w: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right w:val="single" w:sz="8" w:color="auto"/>
            </w:tcBorders>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Receives periodic reports from the internal audit team, which is responsible for providing an annual audit assessment</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of the Company’s processes and controls; developing an annual audit plan using risk-based methodology;</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implementing the annual audit plan; coordinating with other control and monitoring functions; issuing periodic</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reports to the Audit Committee and management summarizing the results of audit activities; assisting with</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investigations of significant suspected fraudulent activities within the organization; and notifying management and</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right w:val="single" w:sz="8" w:color="auto"/>
            </w:tcBorders>
          </w:tcPr>
          <w:p>
            <w:pPr>
              <w:spacing w:after="0"/>
              <w:rPr>
                <w:sz w:val="20"/>
                <w:szCs w:val="20"/>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Audit Committee of the results</w:t>
            </w:r>
          </w:p>
        </w:tc>
        <w:tc>
          <w:tcPr>
            <w:tcW w:w="0" w:type="dxa"/>
            <w:vAlign w:val="bottom"/>
          </w:tcPr>
          <w:p>
            <w:pPr>
              <w:spacing w:after="0"/>
              <w:rPr>
                <w:sz w:val="1"/>
                <w:szCs w:val="1"/>
                <w:color w:val="auto"/>
              </w:rPr>
            </w:pPr>
          </w:p>
        </w:tc>
      </w:tr>
      <w:tr>
        <w:trPr>
          <w:trHeight w:val="324"/>
        </w:trPr>
        <w:tc>
          <w:tcPr>
            <w:tcW w:w="2100" w:type="dxa"/>
            <w:vAlign w:val="bottom"/>
            <w:tcBorders>
              <w:left w:val="single" w:sz="8" w:color="auto"/>
              <w:right w:val="single" w:sz="8" w:color="auto"/>
            </w:tcBorders>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Regularly discusses liquidity, capital, funding needs and other financial matters with management</w:t>
            </w: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916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   Oversees risks relating to executive compensation and other incentive programs in the Company</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tcPr>
          <w:p>
            <w:pPr>
              <w:spacing w:after="0"/>
              <w:rPr>
                <w:sz w:val="9"/>
                <w:szCs w:val="9"/>
                <w:color w:val="auto"/>
              </w:rPr>
            </w:pPr>
          </w:p>
        </w:tc>
        <w:tc>
          <w:tcPr>
            <w:tcW w:w="9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right w:val="single" w:sz="8" w:color="auto"/>
            </w:tcBorders>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Considers risks during its deliberations on the design of the Company’s executive compensation programs with the</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right w:val="single" w:sz="8" w:color="auto"/>
            </w:tcBorders>
          </w:tcPr>
          <w:p>
            <w:pPr>
              <w:spacing w:after="0"/>
              <w:rPr>
                <w:sz w:val="18"/>
                <w:szCs w:val="18"/>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goal of appropriately balancing short-term objectives and long-term performance without encouraging excessive and</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right w:val="single" w:sz="8" w:color="auto"/>
            </w:tcBorders>
          </w:tcPr>
          <w:p>
            <w:pPr>
              <w:spacing w:after="0"/>
              <w:rPr>
                <w:sz w:val="20"/>
                <w:szCs w:val="20"/>
                <w:color w:val="auto"/>
              </w:rPr>
            </w:pPr>
          </w:p>
        </w:tc>
        <w:tc>
          <w:tcPr>
            <w:tcW w:w="91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unnecessary risk-taking behaviors</w:t>
            </w:r>
          </w:p>
        </w:tc>
        <w:tc>
          <w:tcPr>
            <w:tcW w:w="0" w:type="dxa"/>
            <w:vAlign w:val="bottom"/>
          </w:tcPr>
          <w:p>
            <w:pPr>
              <w:spacing w:after="0"/>
              <w:rPr>
                <w:sz w:val="1"/>
                <w:szCs w:val="1"/>
                <w:color w:val="auto"/>
              </w:rPr>
            </w:pPr>
          </w:p>
        </w:tc>
      </w:tr>
      <w:tr>
        <w:trPr>
          <w:trHeight w:val="324"/>
        </w:trPr>
        <w:tc>
          <w:tcPr>
            <w:tcW w:w="2100" w:type="dxa"/>
            <w:vAlign w:val="bottom"/>
            <w:tcBorders>
              <w:left w:val="single" w:sz="8" w:color="auto"/>
              <w:right w:val="single" w:sz="8" w:color="auto"/>
            </w:tcBorders>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Reviews and evaluates management reports on the Company’s incentive compensation programs</w:t>
            </w: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100" w:type="dxa"/>
            <w:vAlign w:val="bottom"/>
            <w:tcBorders>
              <w:left w:val="single" w:sz="8" w:color="auto"/>
              <w:right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Nominating and</w:t>
            </w:r>
          </w:p>
        </w:tc>
        <w:tc>
          <w:tcPr>
            <w:tcW w:w="916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   Oversees risks relating to the Company’s governance structures and processes</w:t>
            </w:r>
          </w:p>
        </w:tc>
        <w:tc>
          <w:tcPr>
            <w:tcW w:w="0" w:type="dxa"/>
            <w:vAlign w:val="bottom"/>
          </w:tcPr>
          <w:p>
            <w:pPr>
              <w:spacing w:after="0"/>
              <w:rPr>
                <w:sz w:val="1"/>
                <w:szCs w:val="1"/>
                <w:color w:val="auto"/>
              </w:rPr>
            </w:pPr>
          </w:p>
        </w:tc>
      </w:tr>
      <w:tr>
        <w:trPr>
          <w:trHeight w:val="189"/>
        </w:trPr>
        <w:tc>
          <w:tcPr>
            <w:tcW w:w="2100" w:type="dxa"/>
            <w:vAlign w:val="bottom"/>
            <w:tcBorders>
              <w:left w:val="single" w:sz="8" w:color="auto"/>
              <w:right w:val="single" w:sz="8" w:color="auto"/>
            </w:tcBorders>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Corporate Governance</w:t>
            </w:r>
          </w:p>
        </w:tc>
        <w:tc>
          <w:tcPr>
            <w:tcW w:w="91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9160" w:type="dxa"/>
            <w:vAlign w:val="bottom"/>
            <w:tcBorders>
              <w:right w:val="single" w:sz="8" w:color="auto"/>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   Oversees corporate governance matters, including the annual evaluations of the Board, its Committees and members</w:t>
            </w:r>
          </w:p>
        </w:tc>
        <w:tc>
          <w:tcPr>
            <w:tcW w:w="0" w:type="dxa"/>
            <w:vAlign w:val="bottom"/>
          </w:tcPr>
          <w:p>
            <w:pPr>
              <w:spacing w:after="0"/>
              <w:rPr>
                <w:sz w:val="1"/>
                <w:szCs w:val="1"/>
                <w:color w:val="auto"/>
              </w:rPr>
            </w:pPr>
          </w:p>
        </w:tc>
      </w:tr>
      <w:tr>
        <w:trPr>
          <w:trHeight w:val="68"/>
        </w:trPr>
        <w:tc>
          <w:tcPr>
            <w:tcW w:w="2100" w:type="dxa"/>
            <w:vAlign w:val="bottom"/>
            <w:tcBorders>
              <w:left w:val="single" w:sz="8" w:color="auto"/>
              <w:right w:val="single" w:sz="8" w:color="auto"/>
            </w:tcBorders>
          </w:tcPr>
          <w:p>
            <w:pPr>
              <w:spacing w:after="0"/>
              <w:rPr>
                <w:sz w:val="5"/>
                <w:szCs w:val="5"/>
                <w:color w:val="auto"/>
              </w:rPr>
            </w:pPr>
          </w:p>
        </w:tc>
        <w:tc>
          <w:tcPr>
            <w:tcW w:w="91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4"/>
        </w:trPr>
        <w:tc>
          <w:tcPr>
            <w:tcW w:w="2100" w:type="dxa"/>
            <w:vAlign w:val="bottom"/>
            <w:tcBorders>
              <w:left w:val="single" w:sz="8" w:color="auto"/>
              <w:right w:val="single" w:sz="8" w:color="auto"/>
            </w:tcBorders>
          </w:tcPr>
          <w:p>
            <w:pPr>
              <w:spacing w:after="0"/>
              <w:rPr>
                <w:sz w:val="24"/>
                <w:szCs w:val="24"/>
                <w:color w:val="auto"/>
              </w:rPr>
            </w:pPr>
          </w:p>
        </w:tc>
        <w:tc>
          <w:tcPr>
            <w:tcW w:w="91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Establishes policies and procedures for good corporate governance</w:t>
            </w: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10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Finance Committee</w:t>
            </w:r>
          </w:p>
        </w:tc>
        <w:tc>
          <w:tcPr>
            <w:tcW w:w="916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   Oversees matters relating to the Company’s financing strategy, as well as the Company’s capital structure, capital</w:t>
            </w: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right w:val="single" w:sz="8" w:color="auto"/>
            </w:tcBorders>
            <w:vMerge w:val="continue"/>
          </w:tcPr>
          <w:p>
            <w:pPr>
              <w:spacing w:after="0"/>
              <w:rPr>
                <w:sz w:val="10"/>
                <w:szCs w:val="10"/>
                <w:color w:val="auto"/>
              </w:rPr>
            </w:pPr>
          </w:p>
        </w:tc>
        <w:tc>
          <w:tcPr>
            <w:tcW w:w="9160" w:type="dxa"/>
            <w:vAlign w:val="bottom"/>
            <w:tcBorders>
              <w:right w:val="single" w:sz="8" w:color="auto"/>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allocation initiatives and other financial matters</w:t>
            </w: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right w:val="single" w:sz="8" w:color="auto"/>
            </w:tcBorders>
          </w:tcPr>
          <w:p>
            <w:pPr>
              <w:spacing w:after="0"/>
              <w:rPr>
                <w:sz w:val="9"/>
                <w:szCs w:val="9"/>
                <w:color w:val="auto"/>
              </w:rPr>
            </w:pPr>
          </w:p>
        </w:tc>
        <w:tc>
          <w:tcPr>
            <w:tcW w:w="91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9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Board is committed to oversight of the Company’s business strategy and strategic planning, including through the work of the Board committees and regular Board meetings. This ongoing effort enables the Board to focus on Company performance over the short, intermediate and long term. In addition to financial and operational performance, non-financial measures, including diversity and sustainability goals, are addressed by the Board and Board committees.</w:t>
      </w:r>
    </w:p>
    <w:p>
      <w:pPr>
        <w:spacing w:after="0" w:line="7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has also implemented an Enterprise Risk Management (“ERM”) program to further enhance its oversight of risks inherent to the business. This ERM program allows the Board and management to gain a greater understanding and awareness of risks facing the business and to mitigate those risks.</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 addition to periodic updates management provides to the Board on the ERM program, management presents an annual report to the Board detailing the Company’s processes for (1) assessing and addressing risks, (2) compliance reporting, and (3) the reporting of other material information.</w:t>
      </w:r>
    </w:p>
    <w:p>
      <w:pPr>
        <w:spacing w:after="0" w:line="54" w:lineRule="exact"/>
        <w:rPr>
          <w:sz w:val="20"/>
          <w:szCs w:val="20"/>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8"/>
          <w:szCs w:val="18"/>
          <w:color w:val="auto"/>
        </w:rPr>
        <w:t>Our President and Chief Executive Officer, who functions as our chief risk officer, has responsibility for ensuring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sustainability, environment, social and governance (“ESG”) risks and opportunities, corporate development, operations and sales and marketing. Both formal reports and less formal communications between the Board and our President and Chief Executive Officer derive from a continual flow of</w:t>
      </w: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428"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communication throughout the Company regarding risk and compliance. We believe our Board and senior management team promote a culture that actively identifies and manages risk.</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ERM program, along with our annual processes for creating and reviewing with the Board our strategic plan, budget and internal audit plans, as well as regular processes and communications throughout the Company, including between management and the Board and Board committees, combine to ensure the Company is continually addressing its business risks in a disciplined fashion.</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RESPONSIBILITY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its responsibility to be a good corporate citizen, guided by high moral and ethical standards in its interactions with customers, stockholders, employees and the community in which we operate. The Company’s Corporate Responsibility (“CR”) efforts include the following:</w:t>
      </w:r>
    </w:p>
    <w:p>
      <w:pPr>
        <w:spacing w:after="0" w:line="64" w:lineRule="exact"/>
        <w:rPr>
          <w:sz w:val="20"/>
          <w:szCs w:val="20"/>
          <w:color w:val="auto"/>
        </w:rPr>
      </w:pPr>
    </w:p>
    <w:p>
      <w:pPr>
        <w:jc w:val="both"/>
        <w:ind w:left="500" w:hanging="6"/>
        <w:spacing w:after="0" w:line="257" w:lineRule="auto"/>
        <w:tabs>
          <w:tab w:leader="none" w:pos="6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Community &amp; Philanthropy</w:t>
      </w:r>
      <w:r>
        <w:rPr>
          <w:rFonts w:ascii="Times New Roman" w:cs="Times New Roman" w:eastAsia="Times New Roman" w:hAnsi="Times New Roman"/>
          <w:sz w:val="18"/>
          <w:szCs w:val="18"/>
          <w:color w:val="auto"/>
        </w:rPr>
        <w:t>: Integra’s commitment to limiting uncertainty goes beyond the walls of the operating room and extends to the global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communities in which the Company participates. Integra has an extensive history of partnering with patients and working alongside organizations such as Wounded Warriors, the Children’s Brain Tumor Foundation, the Phoenix Burn Society, among many others. The Company works closely with the Integra Foundation, which offers grants to organizations that support people affected by diseases and other conditions. Each year Integra colleagues have the opportunity to connect with their communities and volunteer their time for community improvement projects such as supporting disaster relief efforts.</w:t>
      </w:r>
    </w:p>
    <w:p>
      <w:pPr>
        <w:spacing w:after="0" w:line="74" w:lineRule="exact"/>
        <w:rPr>
          <w:rFonts w:ascii="Times New Roman" w:cs="Times New Roman" w:eastAsia="Times New Roman" w:hAnsi="Times New Roman"/>
          <w:sz w:val="18"/>
          <w:szCs w:val="18"/>
          <w:color w:val="auto"/>
        </w:rPr>
      </w:pPr>
    </w:p>
    <w:p>
      <w:pPr>
        <w:jc w:val="both"/>
        <w:ind w:left="500" w:right="20" w:hanging="6"/>
        <w:spacing w:after="0" w:line="268" w:lineRule="auto"/>
        <w:tabs>
          <w:tab w:leader="none" w:pos="6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Compliance &amp; Ethics</w:t>
      </w:r>
      <w:r>
        <w:rPr>
          <w:rFonts w:ascii="Times New Roman" w:cs="Times New Roman" w:eastAsia="Times New Roman" w:hAnsi="Times New Roman"/>
          <w:sz w:val="18"/>
          <w:szCs w:val="18"/>
          <w:color w:val="auto"/>
        </w:rPr>
        <w:t>: Integra is committed to its Code of Conduct and to holding the Company accountable as a leader in the medical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The Company operates a comprehensive compliance program, which is supported by a training program led by Integra’s Chief Compliance Officer.</w:t>
      </w:r>
    </w:p>
    <w:p>
      <w:pPr>
        <w:spacing w:after="0" w:line="62" w:lineRule="exact"/>
        <w:rPr>
          <w:rFonts w:ascii="Times New Roman" w:cs="Times New Roman" w:eastAsia="Times New Roman" w:hAnsi="Times New Roman"/>
          <w:sz w:val="18"/>
          <w:szCs w:val="18"/>
          <w:color w:val="auto"/>
        </w:rPr>
      </w:pPr>
    </w:p>
    <w:p>
      <w:pPr>
        <w:jc w:val="both"/>
        <w:ind w:left="500" w:hanging="6"/>
        <w:spacing w:after="0" w:line="268" w:lineRule="auto"/>
        <w:tabs>
          <w:tab w:leader="none" w:pos="66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People</w:t>
      </w:r>
      <w:r>
        <w:rPr>
          <w:rFonts w:ascii="Times New Roman" w:cs="Times New Roman" w:eastAsia="Times New Roman" w:hAnsi="Times New Roman"/>
          <w:sz w:val="18"/>
          <w:szCs w:val="18"/>
          <w:color w:val="auto"/>
        </w:rPr>
        <w:t>: Integra believes its colleagues are its greatest assets and understands that the work we do every day makes a significant, positive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difference in improving patients’ lives. We value diversity and inclusion and are committed to leveraging our different ideas, backgrounds, interests, and beliefs to make Integra a stronger, higher performing company and a place our colleagues, partners, and potential employees want to work.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428"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u w:val="single" w:color="auto"/>
          <w:color w:val="auto"/>
        </w:rPr>
        <w:t>Diversity &amp; Inclusion (“D&amp;I”):</w:t>
      </w:r>
      <w:r>
        <w:rPr>
          <w:rFonts w:ascii="Times New Roman" w:cs="Times New Roman" w:eastAsia="Times New Roman" w:hAnsi="Times New Roman"/>
          <w:sz w:val="18"/>
          <w:szCs w:val="18"/>
          <w:color w:val="auto"/>
        </w:rPr>
        <w:t xml:space="preserve"> A diverse workforce and an inclusive culture is a business priority and key to the Company’s long-term success. The Company’s commitment to D&amp;I starts at the top with our Board of Directors and Chief Executive Officer (“CEO”). At all levels of the Company, Integra focuses on attracting, retaining, and developing our diverse talent. A few of the Company’s notable D&amp;I advancement measures include but are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0575" cy="3188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0575" cy="318897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D&amp;I Through Learning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Gender Diversity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Employee Resource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Commitment to Advancement of D&amp;I</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Upon joining Integra, colleagues globally participate in two programs to promote inclusion:Introduction to Managing Unconscious Bias, a course that creates awareness of unconscious biases in the workplaces and tools to build-bias breaking skills; and Practicing Inclusion, which examines what practicing inclusion in the workplace looks like.</w:t>
      </w:r>
    </w:p>
    <w:p>
      <w:pPr>
        <w:spacing w:after="0" w:line="3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Through mentorship, sponsorship, recruitment efforts, and development programs the Company looks to continue to grow its population of females in leadership roles at Integra. Currently, </w:t>
      </w:r>
      <w:r>
        <w:rPr>
          <w:rFonts w:ascii="Times New Roman" w:cs="Times New Roman" w:eastAsia="Times New Roman" w:hAnsi="Times New Roman"/>
          <w:sz w:val="18"/>
          <w:szCs w:val="18"/>
          <w:b w:val="1"/>
          <w:bCs w:val="1"/>
          <w:i w:val="1"/>
          <w:iCs w:val="1"/>
          <w:color w:val="auto"/>
        </w:rPr>
        <w:t>33% of the Board of</w:t>
      </w:r>
    </w:p>
    <w:p>
      <w:pPr>
        <w:jc w:val="both"/>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Directors, 42% of our executive leaders and 45% of senior leaders (non-executive vice presidents) are female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partnership with Leadership Edge, a company founded by women leaders and dedicated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50% of the program’s graduates being promoted into roles with increased responsibility.</w:t>
      </w:r>
    </w:p>
    <w:p>
      <w:pPr>
        <w:spacing w:after="0" w:line="41"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Company maintains a growing number of employee resource groups such as the Women of Integra Network, Integra African American Affinity Group, Integra Indian American Affinity Group, Asian American and Pacific Islander Affinity Group, and Integra Veterans Affinity Group, to encourage awareness and inclusion.</w:t>
      </w:r>
    </w:p>
    <w:p>
      <w:pPr>
        <w:spacing w:after="0" w:line="31" w:lineRule="exact"/>
        <w:rPr>
          <w:sz w:val="20"/>
          <w:szCs w:val="20"/>
          <w:color w:val="auto"/>
        </w:rPr>
      </w:pPr>
    </w:p>
    <w:p>
      <w:pPr>
        <w:jc w:val="both"/>
        <w:ind w:right="80"/>
        <w:spacing w:after="0" w:line="256" w:lineRule="auto"/>
        <w:rPr>
          <w:sz w:val="20"/>
          <w:szCs w:val="20"/>
          <w:color w:val="auto"/>
        </w:rPr>
      </w:pPr>
      <w:r>
        <w:rPr>
          <w:rFonts w:ascii="Times New Roman" w:cs="Times New Roman" w:eastAsia="Times New Roman" w:hAnsi="Times New Roman"/>
          <w:sz w:val="18"/>
          <w:szCs w:val="18"/>
          <w:color w:val="auto"/>
        </w:rPr>
        <w:t xml:space="preserve">In 2021, the Company hired a Chief Diversity &amp; Inclusion Officer to advance the D&amp;I strategy. The Company also reinforces its commitment to diversity by partnering with other organizations focused on driving inclusion in the work place including the </w:t>
      </w:r>
      <w:r>
        <w:rPr>
          <w:rFonts w:ascii="Times New Roman" w:cs="Times New Roman" w:eastAsia="Times New Roman" w:hAnsi="Times New Roman"/>
          <w:sz w:val="18"/>
          <w:szCs w:val="18"/>
          <w:b w:val="1"/>
          <w:bCs w:val="1"/>
          <w:i w:val="1"/>
          <w:iCs w:val="1"/>
          <w:color w:val="auto"/>
        </w:rPr>
        <w:t>CEO Action for Diversity &amp; Inclusion</w:t>
      </w:r>
      <w:r>
        <w:rPr>
          <w:rFonts w:ascii="Times New Roman" w:cs="Times New Roman" w:eastAsia="Times New Roman" w:hAnsi="Times New Roman"/>
          <w:sz w:val="18"/>
          <w:szCs w:val="18"/>
          <w:color w:val="auto"/>
        </w:rPr>
        <w:t>, the largest CEO-driven business commitment to advance D&amp;I in the work place and the Healthcare Businesswomen’s Association, an association dedicated to further the advancement and impact of women in the business of healthcare.</w:t>
      </w:r>
    </w:p>
    <w:p>
      <w:pPr>
        <w:spacing w:after="0" w:line="183" w:lineRule="exact"/>
        <w:rPr>
          <w:sz w:val="20"/>
          <w:szCs w:val="20"/>
          <w:color w:val="auto"/>
        </w:rPr>
      </w:pPr>
    </w:p>
    <w:p>
      <w:pPr>
        <w:sectPr>
          <w:pgSz w:w="11900" w:h="16838" w:orient="portrait"/>
          <w:cols w:equalWidth="0" w:num="2">
            <w:col w:w="3160" w:space="280"/>
            <w:col w:w="7800"/>
          </w:cols>
          <w:pgMar w:left="320" w:top="428" w:right="339" w:bottom="1440" w:gutter="0" w:footer="0" w:header="0"/>
          <w:type w:val="continuous"/>
        </w:sectPr>
      </w:pPr>
    </w:p>
    <w:p>
      <w:pPr>
        <w:ind w:left="500" w:right="20" w:hanging="6"/>
        <w:spacing w:after="0" w:line="286" w:lineRule="auto"/>
        <w:tabs>
          <w:tab w:leader="none" w:pos="66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 Health &amp; Safety</w:t>
      </w:r>
      <w:r>
        <w:rPr>
          <w:rFonts w:ascii="Times New Roman" w:cs="Times New Roman" w:eastAsia="Times New Roman" w:hAnsi="Times New Roman"/>
          <w:sz w:val="18"/>
          <w:szCs w:val="18"/>
          <w:color w:val="auto"/>
        </w:rPr>
        <w:t>: Integra strives to deliver solutions that protect our colleagues and the environment in which we live and 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recognizes that changes to our environment call for corporate stewardship and action.</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Integra’s CR efforts, including specific policies and programs, please visit https://www.integralife.com/csr. Information on that website is updated periodically and believed to be true at the time it is posted. References to our website throughout this Proxy Statement are provided for convenience only and the content on our website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428"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ASSESSMENT REGARDING COMPENSATION POLICIES AND PRACTICES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of Directors at its meeting in February 2021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management’s report on the review and assessment of such compensation programs and approved these conclusions. In conducting this review, we considered the following attributes of our programs:</w:t>
      </w:r>
    </w:p>
    <w:p>
      <w:pPr>
        <w:spacing w:after="0" w:line="81" w:lineRule="exact"/>
        <w:rPr>
          <w:sz w:val="20"/>
          <w:szCs w:val="20"/>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Mix of base salary, annual bonus opportunities and long-term equity compensation;</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between annual and long-term performance opportunities;</w:t>
      </w:r>
    </w:p>
    <w:p>
      <w:pPr>
        <w:spacing w:after="0" w:line="117"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of annual and long-term incentives to ensure that the awards encourage consistent behaviors and achievable performance results, without encouraging excessive or unnecessary risk-taking;</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use non-financial and other qualitative performance factors in determining actual compensation payouts;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equity awards that vest over time, discouraging excessive or unnecessary risk-taking by senior leadership;</w:t>
      </w:r>
    </w:p>
    <w:p>
      <w:pPr>
        <w:spacing w:after="0" w:line="117" w:lineRule="exact"/>
        <w:rPr>
          <w:rFonts w:ascii="Times New Roman" w:cs="Times New Roman" w:eastAsia="Times New Roman" w:hAnsi="Times New Roman"/>
          <w:sz w:val="18"/>
          <w:szCs w:val="18"/>
          <w:color w:val="auto"/>
        </w:rPr>
      </w:pPr>
    </w:p>
    <w:p>
      <w:pPr>
        <w:ind w:left="660" w:right="20" w:hanging="166"/>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senior executives with long-term equity-based compensation on an annual basis. We believe as executives accumulate awards over a period of time, they are encouraged to take actions that promote the long-term sustainability of our business;</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 guidelines and vesting requirements that are reasonable and align the interests of the executive officers with those of our stockholders while discouraging executive officers from focusing on short-term results without regard for long-term consequences; and</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processes in place to identify and assess risk.</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Compensation Committee considered the implications of our compensation practices during its deliberations on the design of our 2022 executive compensation programs, with the goal of appropriately balancing short-term incentives and long-term performance, in order to appropriately address risk.</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ATTENDANCE AT ANNUAL MEETINGS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 is our policy to encourage our directors to attend the annual meeting of stockholders. All of our directors who served at the time of the prior year’s annual meeting of stockholders, including those who are currently director nominees that served in the previous year, attended last year’s meeting, which was conducted in virtual format.</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communications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28" w:right="3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INFORMATION ABOUT EXECUTIVE OFFICERS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Set forth below is the name, age, position and a brief account of the business experience of each of our current executive officers: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40" w:type="dxa"/>
            <w:vAlign w:val="bottom"/>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4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 D. De Witte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and Director</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Carrie L. Anderson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Glenn C. Coleman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President, Tissue Technologies</w:t>
            </w: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Lisa Evoli</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Human Resources Officer</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Michael McBreen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President, Codman Specialty Surgical</w:t>
            </w: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Mosebrook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and Principal Accounting Officer</w:t>
            </w:r>
          </w:p>
        </w:tc>
      </w:tr>
      <w:tr>
        <w:trPr>
          <w:trHeight w:val="243"/>
        </w:trPr>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Eric I. Schwartz</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40" w:right="20" w:firstLine="486"/>
        <w:spacing w:after="0" w:line="237" w:lineRule="auto"/>
        <w:rPr>
          <w:sz w:val="20"/>
          <w:szCs w:val="20"/>
          <w:color w:val="auto"/>
        </w:rPr>
      </w:pPr>
      <w:r>
        <w:rPr>
          <w:rFonts w:ascii="Times New Roman" w:cs="Times New Roman" w:eastAsia="Times New Roman" w:hAnsi="Times New Roman"/>
          <w:sz w:val="18"/>
          <w:szCs w:val="18"/>
          <w:i w:val="1"/>
          <w:iCs w:val="1"/>
          <w:color w:val="auto"/>
        </w:rPr>
        <w:t xml:space="preserve">JAN D. DE WITTE </w:t>
      </w:r>
      <w:r>
        <w:rPr>
          <w:rFonts w:ascii="Times New Roman" w:cs="Times New Roman" w:eastAsia="Times New Roman" w:hAnsi="Times New Roman"/>
          <w:sz w:val="18"/>
          <w:szCs w:val="18"/>
          <w:color w:val="auto"/>
        </w:rPr>
        <w:t>is Integra’s President, Chief Executive Officer and a director. Mr. De Witte has an extensive track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in the global healthcare industry spanning more than two decades. Prior to joining Integra, Mr. De Witte served as chief executive officer of Barco N.V., a global technology leader based in Belgium focused on networked visualization solutions, including for the healthcare market. At Barco, he created shareholder value through digital innovation and new product development, commercial acceleration, international market growth and operational excellence. Prior to Barco, Mr. De Witte spent 17 years in senior-level leadership roles at GE, including as president and CEO of GE Global Healthcare IT. Prior to GE, Mr. De Witte spent five years in strategic consulting at McKinsey and three years in operations at Procter &amp; Gamble. Additionally, Mr. De Witte also serves on the board of directors of ResMed, Inc., a global leader in digital health technologies and cloud-connected medical devices that transform care for people with sleep apnea, COPD and other chronic diseases. He has also been an active community leader serving as the chair of Hangar K innovation hub in Belgium and a board member of Ghent University. Mr. De Witte holds a Master’s of Science degree in electromechanical engineering with greatest distinction from the KU Leuven in Belgium and a master’s degree in business administration from Harvard University. He has lived and worked in seven countries, with much of his career spent in the U.S., and is fluent in three languages.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-1407795</wp:posOffset>
            </wp:positionV>
            <wp:extent cx="805815" cy="1071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5815" cy="1071245"/>
                    </a:xfrm>
                    <a:prstGeom prst="rect">
                      <a:avLst/>
                    </a:prstGeom>
                    <a:noFill/>
                  </pic:spPr>
                </pic:pic>
              </a:graphicData>
            </a:graphic>
          </wp:anchor>
        </w:drawing>
      </w:r>
    </w:p>
    <w:p>
      <w:pPr>
        <w:spacing w:after="0" w:line="50" w:lineRule="exact"/>
        <w:rPr>
          <w:sz w:val="20"/>
          <w:szCs w:val="20"/>
          <w:color w:val="auto"/>
        </w:rPr>
      </w:pPr>
    </w:p>
    <w:p>
      <w:pPr>
        <w:ind w:left="1840" w:right="40" w:firstLine="486"/>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CARRIE L. ANDERSON, </w:t>
      </w:r>
      <w:r>
        <w:rPr>
          <w:rFonts w:ascii="Times New Roman" w:cs="Times New Roman" w:eastAsia="Times New Roman" w:hAnsi="Times New Roman"/>
          <w:sz w:val="18"/>
          <w:szCs w:val="18"/>
          <w:color w:val="auto"/>
        </w:rPr>
        <w:t>is Integra’s Executive Vice President and Chief Financial Officer. Ms. Anderson joined Integra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2019 and brings a wealth of financial experience working for large, diversified organizations operating in competitive environments. Prior to joining Integra, she was vice president and controller of Dover Corporation. In this role, Ms. Anderson provided financial leadership for a $1 billion business segment spin-off from Dover. Previously, she was CFO of Dover’s Engineered Systems, where she secured the build-out of new digital printing growth platform for Dover through multiple acquisitions. Ms. Anderson joined Dover in October 2011 as CFO of Dover Printing and Identification. Prior to Dover, Ms. Anderson spent six years as vice president and CFO of Delphi Product &amp; Service Solutions, a division of Delphi Corporation. While at Delphi, she also held finance leadership positions at three other global operating divisions of Delphi, as well as treasury experience at both Delphi and General Motors, including director, investor relations, at Delphi Corporation. Ms. Anderson was part of Delphi’s first investor relations group providing leadership during Delphi’s initial public offering, following the spin-off from General Motors. Ms. Anderson started her career with General Motors. Ms. Anderson is a member of the board of directors for Embecta Corporation, following its spin-off of Becton Dickinson's diabetes business. Ms. Anderson graduated from Purdue University with a Bachelor of Science degree in chemical engineering and earned her M.B.A. from Ball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-1358265</wp:posOffset>
            </wp:positionV>
            <wp:extent cx="805815" cy="1071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581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28" w:right="3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40" w:firstLine="48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GLENN G. COLEMAN </w:t>
      </w:r>
      <w:r>
        <w:rPr>
          <w:rFonts w:ascii="Times New Roman" w:cs="Times New Roman" w:eastAsia="Times New Roman" w:hAnsi="Times New Roman"/>
          <w:sz w:val="18"/>
          <w:szCs w:val="18"/>
          <w:color w:val="auto"/>
        </w:rPr>
        <w:t>is Integra’s Executive Vice President and Chief Operating Officer. Mr. Coleman oversees Integra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a majority of Integra’s talent force, including clinical, R&amp;D, manufacturing and quality while also leading our international team. Prior to his promotion in June 2019 to Chief Operating Officer, he acted as the Company’s Chief Financial Officer and was responsible for the finance department, including accounting and financial reporting, budgeting, internal audit, tax, treasury, investor relations, and information technology while also leading our international business. Prior to joining the Company in May 2014 as Corporate Vice President and Chief Financial Officer, he spent 25 years in financial management positions with leading global businesses, including serving as vice president for finance and corporate controller at Curtiss-Wright Corporation. He also worked at Alcatel-Lucent in various finance executive leadership positions. Mr. Coleman began his career at PricewaterhouseCoopers LLP. Mr. Coleman received his B.S. degree from Montclair State University and has also been a CPA in New Jersey for more than 25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-1212850</wp:posOffset>
            </wp:positionV>
            <wp:extent cx="805815" cy="1071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05815" cy="1071880"/>
                    </a:xfrm>
                    <a:prstGeom prst="rect">
                      <a:avLst/>
                    </a:prstGeom>
                    <a:noFill/>
                  </pic:spPr>
                </pic:pic>
              </a:graphicData>
            </a:graphic>
          </wp:anchor>
        </w:drawing>
      </w:r>
    </w:p>
    <w:p>
      <w:pPr>
        <w:spacing w:after="0" w:line="60" w:lineRule="exact"/>
        <w:rPr>
          <w:sz w:val="20"/>
          <w:szCs w:val="20"/>
          <w:color w:val="auto"/>
        </w:rPr>
      </w:pPr>
    </w:p>
    <w:p>
      <w:pPr>
        <w:ind w:left="1840" w:right="20" w:firstLine="486"/>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ROBERT T. DAVIS, JR. </w:t>
      </w:r>
      <w:r>
        <w:rPr>
          <w:rFonts w:ascii="Times New Roman" w:cs="Times New Roman" w:eastAsia="Times New Roman" w:hAnsi="Times New Roman"/>
          <w:sz w:val="17"/>
          <w:szCs w:val="17"/>
          <w:color w:val="auto"/>
        </w:rPr>
        <w:t>is Integra’s Executive Vice President, President, Tissue Technologies. Mr. Davis is responsible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management of the Tissue Technologies’ global division. His responsibilities include leadership of sales, commercial operations, marketing and strategy, product development, regulatory affairs, quality assurance, manufacturing services and repair, business development of the regenerative tissue portfolio of products.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 Mr. Davis earned his B.S. in Sports Medicine from the University of Delaware, a Master’s degree in Exercise &amp; Cardiovascular Physiology from Temple University, and an M.B.A. from Drexel University.</w:t>
      </w:r>
    </w:p>
    <w:p>
      <w:pPr>
        <w:spacing w:after="0" w:line="64" w:lineRule="exact"/>
        <w:rPr>
          <w:sz w:val="20"/>
          <w:szCs w:val="20"/>
          <w:color w:val="auto"/>
        </w:rPr>
      </w:pPr>
    </w:p>
    <w:p>
      <w:pPr>
        <w:ind w:left="1840" w:right="20" w:firstLine="486"/>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LISA EVOLI </w:t>
      </w:r>
      <w:r>
        <w:rPr>
          <w:rFonts w:ascii="Times New Roman" w:cs="Times New Roman" w:eastAsia="Times New Roman" w:hAnsi="Times New Roman"/>
          <w:sz w:val="18"/>
          <w:szCs w:val="18"/>
          <w:color w:val="auto"/>
        </w:rPr>
        <w:t>is Integra’s Executive Vice President and Chief Human Resources Officer. Ms. Evoli, who has served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since joining the Company in January 2016, is responsible for providing leadership in developing and executing human resources strategy in support of the overall business plan and strategic direction of the organization. Ms. Evoli brings significant global Human Resources leadership experience. Prior to joining Integra, she served as vice president, human resources for the data &amp; devices division of TE Connectivity (formerly Tyco Electronics). Prior to that, she held senior global human resources leadership positions with Johnson &amp; Johnson in both the pharmaceutical and consumer sectors. She held various global human resources leadership roles at Motorola specifically in their broadband communications and automotive groups and also assumed a leadership role for the company’s talent management &amp; organizational development function. Ms. Evoli received her B.S. in Business Administration from California University of Pennsylvania and an M.S. in Human Resources / Organizational Development from Villanova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-1212850</wp:posOffset>
            </wp:positionV>
            <wp:extent cx="805815" cy="1071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5815" cy="1071245"/>
                    </a:xfrm>
                    <a:prstGeom prst="rect">
                      <a:avLst/>
                    </a:prstGeom>
                    <a:noFill/>
                  </pic:spPr>
                </pic:pic>
              </a:graphicData>
            </a:graphic>
          </wp:anchor>
        </w:drawing>
      </w:r>
    </w:p>
    <w:p>
      <w:pPr>
        <w:spacing w:after="0" w:line="60" w:lineRule="exact"/>
        <w:rPr>
          <w:sz w:val="20"/>
          <w:szCs w:val="20"/>
          <w:color w:val="auto"/>
        </w:rPr>
      </w:pPr>
    </w:p>
    <w:p>
      <w:pPr>
        <w:ind w:left="1840" w:right="120" w:firstLine="486"/>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MICHAEL MCBREEN </w:t>
      </w:r>
      <w:r>
        <w:rPr>
          <w:rFonts w:ascii="Times New Roman" w:cs="Times New Roman" w:eastAsia="Times New Roman" w:hAnsi="Times New Roman"/>
          <w:sz w:val="18"/>
          <w:szCs w:val="18"/>
          <w:color w:val="auto"/>
        </w:rPr>
        <w:t>is Integra’s Executive Vice President, President, Codman Specialty Surgical. His responsibilities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within Codman Specialty Surgical include leadership of sales, marketing, product development, regulatory affairs, quality assurance, Global Services and Repair and manufacturing worldwide. He joined Integra following the acquisition of Codman Neurosurgery from Johnson &amp; Johnson in October 2017 as President of Integra’s international business. In May 2020, he was promoted to Executive Vice President and President, Codman Specialty Surgical. Mr. McBreen also held numerous U.S. and global roles of increasing responsibilities in sales and marketing at DePuy Mitek Sports Medicine, a division of Johnson &amp; Johnson, since joining the company in 1996. Prior to Johnson &amp; Johnson, he held various sales and marketing roles at Zimmer Biomet. Mr. McBreen has over 30 years of experience in the medical technology field, including holding various executive level positions in sales, marketing and general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-1147445</wp:posOffset>
            </wp:positionV>
            <wp:extent cx="805815" cy="2263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5815" cy="2263140"/>
                    </a:xfrm>
                    <a:prstGeom prst="rect">
                      <a:avLst/>
                    </a:prstGeom>
                    <a:noFill/>
                  </pic:spPr>
                </pic:pic>
              </a:graphicData>
            </a:graphic>
          </wp:anchor>
        </w:drawing>
      </w:r>
    </w:p>
    <w:p>
      <w:pPr>
        <w:spacing w:after="0" w:line="55" w:lineRule="exact"/>
        <w:rPr>
          <w:sz w:val="20"/>
          <w:szCs w:val="20"/>
          <w:color w:val="auto"/>
        </w:rPr>
      </w:pPr>
    </w:p>
    <w:p>
      <w:pPr>
        <w:ind w:left="1840" w:right="20" w:firstLine="486"/>
        <w:spacing w:after="0"/>
        <w:rPr>
          <w:sz w:val="20"/>
          <w:szCs w:val="20"/>
          <w:color w:val="auto"/>
        </w:rPr>
      </w:pPr>
      <w:r>
        <w:rPr>
          <w:rFonts w:ascii="Times New Roman" w:cs="Times New Roman" w:eastAsia="Times New Roman" w:hAnsi="Times New Roman"/>
          <w:sz w:val="18"/>
          <w:szCs w:val="18"/>
          <w:i w:val="1"/>
          <w:iCs w:val="1"/>
          <w:color w:val="auto"/>
        </w:rPr>
        <w:t xml:space="preserve">JEFFREY MOSEBROOK </w:t>
      </w:r>
      <w:r>
        <w:rPr>
          <w:rFonts w:ascii="Times New Roman" w:cs="Times New Roman" w:eastAsia="Times New Roman" w:hAnsi="Times New Roman"/>
          <w:sz w:val="18"/>
          <w:szCs w:val="18"/>
          <w:color w:val="auto"/>
        </w:rPr>
        <w:t>is Integra’s Senior Vice President and Principal Accounting Officer. He was appointed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Officer in October 2017.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 Mr. Mosebrook spent four years at Beard Miller Company, LLP (now known as Baker Tilly US, LLP) in various accounting roles. Mr. Mosebrook received a B.S. in accounting from York College and is a CPA licensed in Pennsylvania.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20"/>
          </w:cols>
          <w:pgMar w:left="320" w:top="428" w:right="3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40" w:firstLine="486"/>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ERIC I. SCHWARTZ </w:t>
      </w:r>
      <w:r>
        <w:rPr>
          <w:rFonts w:ascii="Times New Roman" w:cs="Times New Roman" w:eastAsia="Times New Roman" w:hAnsi="Times New Roman"/>
          <w:sz w:val="18"/>
          <w:szCs w:val="18"/>
          <w:color w:val="auto"/>
        </w:rPr>
        <w:t>is Integra’s Executive Vice President, Chief Legal Officer and Secretary. Mr. Schwartz joined Integra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November 2018. Before joining Integra, Mr. Schwartz was the general counsel of Globus Medical, a global orthopedic medical devices company, where he led several strategic transactions, including the largest acquisition in its company history. Prior to that, Mr. Schwartz served as the chief operating officer and chief legal officer of CardioVIP, a venture-backed health care services company. Prior to that,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 Mr. Schwartz received his B.A. and J.D. from the University of Virginia. He also received an M.B.A. in Finance from the Wharton School of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-1113155</wp:posOffset>
            </wp:positionV>
            <wp:extent cx="805815" cy="986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58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00"/>
          </w:cols>
          <w:pgMar w:left="320" w:top="428" w:right="37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RATIFICATION OF INDEPENDENT REGISTERED PUBLIC ACCOUNTING FIRM</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firm of PricewaterhouseCoopers LLP served as our independent registered public accounting firm for fiscal year 2021 and has been selected by the Audit Committee to serve in the same capacity for fiscal year 2022. The stockholders will be asked to ratify this appointment at the Meeting. The ratification of our independent registered public accounting firm by the stockholders is not required by law or our Bylaws. We have traditionally submitted this matter to the stockholders and believe it is good practice to continue to do so.</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fiscal year 2021, PricewaterhouseCoopers LLP not only provided audit services, but also rendered other services, including tax compliance and planning services.</w:t>
      </w:r>
    </w:p>
    <w:p>
      <w:pPr>
        <w:spacing w:after="0" w:line="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Actual Fees</w:t>
            </w:r>
          </w:p>
        </w:tc>
        <w:tc>
          <w:tcPr>
            <w:tcW w:w="90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8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7"/>
        </w:trPr>
        <w:tc>
          <w:tcPr>
            <w:tcW w:w="8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Audit and Audit-Related Fees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r>
      <w:tr>
        <w:trPr>
          <w:trHeight w:val="27"/>
        </w:trPr>
        <w:tc>
          <w:tcPr>
            <w:tcW w:w="8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5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r>
    </w:tbl>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nature of the services provided in each of the categories listed above is described below:</w:t>
      </w:r>
    </w:p>
    <w:p>
      <w:pPr>
        <w:spacing w:after="0" w:line="115"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 Consists of professional services rendered for the integrated audit of the consolidated financial statements of the Company,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reviews, statutory audits, comfort letters, non-recurring audit work, transaction related work, consents and review of documents filed with the Securities and Exchange Commission.</w:t>
      </w:r>
    </w:p>
    <w:p>
      <w:pPr>
        <w:spacing w:after="0" w:line="65"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 Consists of services related to accounting consultations in connection with acquisitions and divestitures, consultations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concerning financial accounting and reporting standards, and statutory related filing requirements due to tax restructuring projects.</w:t>
      </w:r>
    </w:p>
    <w:p>
      <w:pPr>
        <w:spacing w:after="0" w:line="50"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 Consists of tax compliance (review of corporate tax returns, assistance with tax audits and review of the tax treatment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global restructuring tax consultation services, and state, local and international tax planning and consultations with respect to various domestic and international tax planning matters.</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 Consists of advisory services, divestiture support services and the licensing of accounting research software.</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 other fees were incurred to PricewaterhouseCoopers LLP during 2020 or 2021.</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Audit Committee approved all services and fees described above.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28" w:right="3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spacing w:after="0" w:line="5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the services other than audit services by PricewaterhouseCoopers LLP is compatible with maintaining PricewaterhouseCoopers LLP’s independence.</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Representatives of PricewaterhouseCoopers LLP are expected to be present at the Meeting and will be allowed to make a statement. Additionally, they will be available to respond to appropriate questions from stockholders during the 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for Approval and Recommendation of the Board of Directors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at the Meeting and entitled to vote is required to ratify the appointment of PricewaterhouseCoopers LLP as the Company’s independent registered public accounting firm for the fiscal year 2022. Abstentions will not be voted and will have the effect of a vote against this proposal. Broker non-votes will not be counted in determining the number of shares necessary for approval and will have no effect on the outcome of this proposal.</w:t>
      </w:r>
    </w:p>
    <w:p>
      <w:pPr>
        <w:spacing w:after="0" w:line="68"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color w:val="auto"/>
        </w:rPr>
        <w:t>The Audit Committee of the Board of Directors has adopted a resolution approving the appointment of PricewaterhouseCoopers LLP. The Board of Directors hereby recommends that the stockholders of the Company vote “FOR” ratification of the appointment of PricewaterhouseCoopers LLP as the Company’s independent registered public accounting firm for fiscal year 2022.</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428"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ADVISORY VOTE ON NAMED EXECUTIVE OFFICER COMPENSATION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seeking our stockholders’ vote, as required by Section 14A of the Securities Exchange Act, to approve, on a non-binding, advisory basis, the compensation of our named executive officers (“NEOs”), as disclosed pursuant to Item 402 of Regulation S-K in the Compensation Discussion and Analysis (“CD&amp;A”), tabular disclosures and related narrative of this Proxy Statement. As described in the CD&amp;A, our executive compensation programs are carefully designed by the Compensation Committee to attract, retain and motivate our talented executives, with a focus on delivering business results and value to our stockholders and other stakeholders. Under these programs, we provide our NEOs with appropriate objectives and incentives to achieve our business goals while aligning with stockholders’ interest.</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compensation awarded to our CEO and other NEOs for 2021 recognizes the positive financial, operational and overall performance of the Company. We encourage stockholders to read the CD&amp;A, which describes how our executive compensation policies and procedures operate and are designed to achieve our compensation objectives, as well as the Summary Compensation Table and other related compensation tables and narratives, which provide detailed information on the compensation of our NEOs. The Committee is mindful of its responsibility to align executive compensation with the overall performance of the Company, while taking into consideration the need to provide market competitive compensation in order to attract, motivate and retain highly skilled and experienced executives. The Compensation Committee and the Board of Directors believe that the policies and procedures articulated in the CD&amp;A are effective in achieving our goals and that the compensation of our NEOs reported in this Proxy Statement has contributed to the Company’s long-term success.</w:t>
      </w:r>
    </w:p>
    <w:p>
      <w:pPr>
        <w:spacing w:after="0" w:line="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ask our stockholders to vote “FOR” the following advisory resolution at our 2022 Annual Meeting:</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“RESOLVED, that compensation of the Company’s named executive officers, as disclosed pursuant to Item 402 of Regulation S-K, including the Compensation Discussion and Analysis, compensation tables and narrative discussion of this Proxy Statement is hereby APPROVED by the stockholders of Integra.”</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the Say on Pay vote is advisory, it will not bind the Company, the Committee or our Board. That said, because we value the opinions of our stockholders, the Committee will review the voting results and take them into consideration when making future decisions regarding executive compensation.</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With regard to the frequency of future votes on Say on Pay, the Board has determined it will submit a Say on Pay proposal to our stockholders annually. Therefore, we expect the next stockholder vote to approve the compensation of our named executive officers to occur at the Company’s 2023 annual meeting of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for Advisory Approval and Recommendation of the Board of Directors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at the Meeting and entitled to vote on the proposal is required for advisory approval of this proposal. Abstentions will have the effect of a vote against this proposal. Broker non-votes will not be counted in determining the number of shares necessary for advisory approval and will have no effect on the outcome of this proposal.</w:t>
      </w:r>
    </w:p>
    <w:p>
      <w:pPr>
        <w:spacing w:after="0" w:line="64"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hereby recommends a vote “FOR” the advisory resolution set forth in this Proposal 3, approving the compensation of our named executive officers, as disclosed in this proxy statement.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28" w:right="3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328D52"/>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183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18300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E8D52"/>
        </w:rPr>
        <w:t>A MESSAGE FROM OUR COMPENSATION COMMITTEE</w:t>
      </w:r>
    </w:p>
    <w:p>
      <w:pPr>
        <w:spacing w:after="0" w:line="162" w:lineRule="exact"/>
        <w:rPr>
          <w:sz w:val="20"/>
          <w:szCs w:val="20"/>
          <w:color w:val="auto"/>
        </w:rPr>
      </w:pPr>
    </w:p>
    <w:p>
      <w:pPr>
        <w:jc w:val="both"/>
        <w:ind w:left="20" w:right="20" w:firstLine="486"/>
        <w:spacing w:after="0" w:line="266" w:lineRule="auto"/>
        <w:rPr>
          <w:sz w:val="20"/>
          <w:szCs w:val="20"/>
          <w:color w:val="auto"/>
        </w:rPr>
      </w:pPr>
      <w:r>
        <w:rPr>
          <w:rFonts w:ascii="Times New Roman" w:cs="Times New Roman" w:eastAsia="Times New Roman" w:hAnsi="Times New Roman"/>
          <w:sz w:val="18"/>
          <w:szCs w:val="18"/>
          <w:color w:val="auto"/>
        </w:rPr>
        <w:t>The Compensation Committee of the Board of Directors oversees Integra’s executive compensation philosophy and reviews and approves compensation for our named executive officers. While Integra management and our independent compensation consultant provide input, it is the sole responsibility of the Compensation Committee to approve our executive compensation philosophy, plans, policies, programs and decisions.</w:t>
      </w:r>
    </w:p>
    <w:p>
      <w:pPr>
        <w:spacing w:after="0" w:line="68" w:lineRule="exact"/>
        <w:rPr>
          <w:sz w:val="20"/>
          <w:szCs w:val="20"/>
          <w:color w:val="auto"/>
        </w:rPr>
      </w:pPr>
    </w:p>
    <w:p>
      <w:pPr>
        <w:jc w:val="both"/>
        <w:ind w:left="20" w:right="20" w:firstLine="486"/>
        <w:spacing w:after="0" w:line="282" w:lineRule="auto"/>
        <w:rPr>
          <w:sz w:val="20"/>
          <w:szCs w:val="20"/>
          <w:color w:val="auto"/>
        </w:rPr>
      </w:pPr>
      <w:r>
        <w:rPr>
          <w:rFonts w:ascii="Times New Roman" w:cs="Times New Roman" w:eastAsia="Times New Roman" w:hAnsi="Times New Roman"/>
          <w:sz w:val="18"/>
          <w:szCs w:val="18"/>
          <w:color w:val="auto"/>
        </w:rPr>
        <w:t>In 2021, our executive compensation program successfully positioned Integra to attract and retain a leadership team with a sharpened focus on our four strategy pillars: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shd w:val="clear" w:color="auto" w:fill="F2F2F2"/>
          </w:tcPr>
          <w:p>
            <w:pPr>
              <w:spacing w:after="0"/>
              <w:rPr>
                <w:sz w:val="17"/>
                <w:szCs w:val="17"/>
                <w:color w:val="auto"/>
              </w:rPr>
            </w:pPr>
          </w:p>
        </w:tc>
        <w:tc>
          <w:tcPr>
            <w:tcW w:w="2500" w:type="dxa"/>
            <w:vAlign w:val="bottom"/>
            <w:vMerge w:val="restart"/>
            <w:shd w:val="clear" w:color="auto" w:fill="2E8D52"/>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ENABLE</w:t>
            </w:r>
          </w:p>
        </w:tc>
        <w:tc>
          <w:tcPr>
            <w:tcW w:w="100" w:type="dxa"/>
            <w:vAlign w:val="bottom"/>
            <w:shd w:val="clear" w:color="auto" w:fill="F2F2F2"/>
          </w:tcPr>
          <w:p>
            <w:pPr>
              <w:spacing w:after="0"/>
              <w:rPr>
                <w:sz w:val="17"/>
                <w:szCs w:val="17"/>
                <w:color w:val="auto"/>
              </w:rPr>
            </w:pPr>
          </w:p>
        </w:tc>
        <w:tc>
          <w:tcPr>
            <w:tcW w:w="2500" w:type="dxa"/>
            <w:vAlign w:val="bottom"/>
            <w:shd w:val="clear" w:color="auto" w:fill="2E8D52"/>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OPTIMIZE</w:t>
            </w:r>
          </w:p>
        </w:tc>
        <w:tc>
          <w:tcPr>
            <w:tcW w:w="100" w:type="dxa"/>
            <w:vAlign w:val="bottom"/>
            <w:shd w:val="clear" w:color="auto" w:fill="F2F2F2"/>
          </w:tcPr>
          <w:p>
            <w:pPr>
              <w:spacing w:after="0"/>
              <w:rPr>
                <w:sz w:val="17"/>
                <w:szCs w:val="17"/>
                <w:color w:val="auto"/>
              </w:rPr>
            </w:pPr>
          </w:p>
        </w:tc>
        <w:tc>
          <w:tcPr>
            <w:tcW w:w="2480" w:type="dxa"/>
            <w:vAlign w:val="bottom"/>
            <w:shd w:val="clear" w:color="auto" w:fill="2E8D52"/>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2520" w:type="dxa"/>
            <w:vAlign w:val="bottom"/>
            <w:shd w:val="clear" w:color="auto" w:fill="2E8D52"/>
          </w:tcPr>
          <w:p>
            <w:pPr>
              <w:spacing w:after="0"/>
              <w:rPr>
                <w:sz w:val="17"/>
                <w:szCs w:val="17"/>
                <w:color w:val="auto"/>
              </w:rPr>
            </w:pPr>
          </w:p>
        </w:tc>
        <w:tc>
          <w:tcPr>
            <w:tcW w:w="48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60" w:type="dxa"/>
            <w:vAlign w:val="bottom"/>
            <w:shd w:val="clear" w:color="auto" w:fill="F2F2F2"/>
          </w:tcPr>
          <w:p>
            <w:pPr>
              <w:spacing w:after="0"/>
              <w:rPr>
                <w:sz w:val="9"/>
                <w:szCs w:val="9"/>
                <w:color w:val="auto"/>
              </w:rPr>
            </w:pPr>
          </w:p>
        </w:tc>
        <w:tc>
          <w:tcPr>
            <w:tcW w:w="2500" w:type="dxa"/>
            <w:vAlign w:val="bottom"/>
            <w:vMerge w:val="continue"/>
            <w:shd w:val="clear" w:color="auto" w:fill="2E8D52"/>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250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w w:val="97"/>
              </w:rPr>
              <w:t>RELEVANT</w:t>
            </w:r>
          </w:p>
        </w:tc>
        <w:tc>
          <w:tcPr>
            <w:tcW w:w="100" w:type="dxa"/>
            <w:vAlign w:val="bottom"/>
            <w:shd w:val="clear" w:color="auto" w:fill="F2F2F2"/>
          </w:tcPr>
          <w:p>
            <w:pPr>
              <w:spacing w:after="0"/>
              <w:rPr>
                <w:sz w:val="9"/>
                <w:szCs w:val="9"/>
                <w:color w:val="auto"/>
              </w:rPr>
            </w:pPr>
          </w:p>
        </w:tc>
        <w:tc>
          <w:tcPr>
            <w:tcW w:w="2480" w:type="dxa"/>
            <w:vAlign w:val="bottom"/>
            <w:shd w:val="clear" w:color="auto" w:fill="2E8D52"/>
          </w:tcPr>
          <w:p>
            <w:pPr>
              <w:spacing w:after="0"/>
              <w:rPr>
                <w:sz w:val="9"/>
                <w:szCs w:val="9"/>
                <w:color w:val="auto"/>
              </w:rPr>
            </w:pPr>
          </w:p>
        </w:tc>
        <w:tc>
          <w:tcPr>
            <w:tcW w:w="100" w:type="dxa"/>
            <w:vAlign w:val="bottom"/>
            <w:shd w:val="clear" w:color="auto" w:fill="F2F2F2"/>
          </w:tcPr>
          <w:p>
            <w:pPr>
              <w:spacing w:after="0"/>
              <w:rPr>
                <w:sz w:val="9"/>
                <w:szCs w:val="9"/>
                <w:color w:val="auto"/>
              </w:rPr>
            </w:pPr>
          </w:p>
        </w:tc>
        <w:tc>
          <w:tcPr>
            <w:tcW w:w="252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rPr>
              <w:t>LEAD IN</w:t>
            </w:r>
          </w:p>
        </w:tc>
        <w:tc>
          <w:tcPr>
            <w:tcW w:w="48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60" w:type="dxa"/>
            <w:vAlign w:val="bottom"/>
            <w:shd w:val="clear" w:color="auto" w:fill="F2F2F2"/>
          </w:tcPr>
          <w:p>
            <w:pPr>
              <w:spacing w:after="0"/>
              <w:rPr>
                <w:sz w:val="8"/>
                <w:szCs w:val="8"/>
                <w:color w:val="auto"/>
              </w:rPr>
            </w:pPr>
          </w:p>
        </w:tc>
        <w:tc>
          <w:tcPr>
            <w:tcW w:w="2500" w:type="dxa"/>
            <w:vAlign w:val="bottom"/>
            <w:vMerge w:val="restart"/>
            <w:shd w:val="clear" w:color="auto" w:fill="2E8D5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FFFFFF"/>
              </w:rPr>
              <w:t>EXECUTION-</w:t>
            </w:r>
          </w:p>
        </w:tc>
        <w:tc>
          <w:tcPr>
            <w:tcW w:w="100" w:type="dxa"/>
            <w:vAlign w:val="bottom"/>
            <w:shd w:val="clear" w:color="auto" w:fill="F2F2F2"/>
          </w:tcPr>
          <w:p>
            <w:pPr>
              <w:spacing w:after="0"/>
              <w:rPr>
                <w:sz w:val="8"/>
                <w:szCs w:val="8"/>
                <w:color w:val="auto"/>
              </w:rPr>
            </w:pPr>
          </w:p>
        </w:tc>
        <w:tc>
          <w:tcPr>
            <w:tcW w:w="250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480" w:type="dxa"/>
            <w:vAlign w:val="bottom"/>
            <w:vMerge w:val="restart"/>
            <w:shd w:val="clear" w:color="auto" w:fill="2E8D5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FFFFFF"/>
                <w:w w:val="97"/>
              </w:rPr>
              <w:t>ADVANCE</w:t>
            </w:r>
          </w:p>
        </w:tc>
        <w:tc>
          <w:tcPr>
            <w:tcW w:w="100" w:type="dxa"/>
            <w:vAlign w:val="bottom"/>
            <w:shd w:val="clear" w:color="auto" w:fill="F2F2F2"/>
          </w:tcPr>
          <w:p>
            <w:pPr>
              <w:spacing w:after="0"/>
              <w:rPr>
                <w:sz w:val="8"/>
                <w:szCs w:val="8"/>
                <w:color w:val="auto"/>
              </w:rPr>
            </w:pPr>
          </w:p>
        </w:tc>
        <w:tc>
          <w:tcPr>
            <w:tcW w:w="2520" w:type="dxa"/>
            <w:vAlign w:val="bottom"/>
            <w:vMerge w:val="continue"/>
            <w:shd w:val="clear" w:color="auto" w:fill="2E8D5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0" w:type="dxa"/>
            <w:vAlign w:val="bottom"/>
            <w:shd w:val="clear" w:color="auto" w:fill="F2F2F2"/>
          </w:tcPr>
          <w:p>
            <w:pPr>
              <w:spacing w:after="0"/>
              <w:rPr>
                <w:sz w:val="8"/>
                <w:szCs w:val="8"/>
                <w:color w:val="auto"/>
              </w:rPr>
            </w:pPr>
          </w:p>
        </w:tc>
        <w:tc>
          <w:tcPr>
            <w:tcW w:w="250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50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SCALE AND ACHIEVE</w:t>
            </w:r>
          </w:p>
        </w:tc>
        <w:tc>
          <w:tcPr>
            <w:tcW w:w="100" w:type="dxa"/>
            <w:vAlign w:val="bottom"/>
            <w:shd w:val="clear" w:color="auto" w:fill="F2F2F2"/>
          </w:tcPr>
          <w:p>
            <w:pPr>
              <w:spacing w:after="0"/>
              <w:rPr>
                <w:sz w:val="8"/>
                <w:szCs w:val="8"/>
                <w:color w:val="auto"/>
              </w:rPr>
            </w:pPr>
          </w:p>
        </w:tc>
        <w:tc>
          <w:tcPr>
            <w:tcW w:w="248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52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CUSTOMER</w:t>
            </w:r>
          </w:p>
        </w:tc>
        <w:tc>
          <w:tcPr>
            <w:tcW w:w="4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0" w:type="dxa"/>
            <w:vAlign w:val="bottom"/>
            <w:shd w:val="clear" w:color="auto" w:fill="F2F2F2"/>
          </w:tcPr>
          <w:p>
            <w:pPr>
              <w:spacing w:after="0"/>
              <w:rPr>
                <w:sz w:val="8"/>
                <w:szCs w:val="8"/>
                <w:color w:val="auto"/>
              </w:rPr>
            </w:pPr>
          </w:p>
        </w:tc>
        <w:tc>
          <w:tcPr>
            <w:tcW w:w="250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FOCUSED AND ENGAGED</w:t>
            </w:r>
          </w:p>
        </w:tc>
        <w:tc>
          <w:tcPr>
            <w:tcW w:w="100" w:type="dxa"/>
            <w:vAlign w:val="bottom"/>
            <w:shd w:val="clear" w:color="auto" w:fill="F2F2F2"/>
          </w:tcPr>
          <w:p>
            <w:pPr>
              <w:spacing w:after="0"/>
              <w:rPr>
                <w:sz w:val="8"/>
                <w:szCs w:val="8"/>
                <w:color w:val="auto"/>
              </w:rPr>
            </w:pPr>
          </w:p>
        </w:tc>
        <w:tc>
          <w:tcPr>
            <w:tcW w:w="250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48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w w:val="98"/>
              </w:rPr>
              <w:t>INNOVATION AND</w:t>
            </w:r>
          </w:p>
        </w:tc>
        <w:tc>
          <w:tcPr>
            <w:tcW w:w="100" w:type="dxa"/>
            <w:vAlign w:val="bottom"/>
            <w:shd w:val="clear" w:color="auto" w:fill="F2F2F2"/>
          </w:tcPr>
          <w:p>
            <w:pPr>
              <w:spacing w:after="0"/>
              <w:rPr>
                <w:sz w:val="8"/>
                <w:szCs w:val="8"/>
                <w:color w:val="auto"/>
              </w:rPr>
            </w:pPr>
          </w:p>
        </w:tc>
        <w:tc>
          <w:tcPr>
            <w:tcW w:w="2520" w:type="dxa"/>
            <w:vAlign w:val="bottom"/>
            <w:vMerge w:val="continue"/>
            <w:shd w:val="clear" w:color="auto" w:fill="2E8D5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460" w:type="dxa"/>
            <w:vAlign w:val="bottom"/>
            <w:shd w:val="clear" w:color="auto" w:fill="F2F2F2"/>
          </w:tcPr>
          <w:p>
            <w:pPr>
              <w:spacing w:after="0"/>
              <w:rPr>
                <w:sz w:val="8"/>
                <w:szCs w:val="8"/>
                <w:color w:val="auto"/>
              </w:rPr>
            </w:pPr>
          </w:p>
        </w:tc>
        <w:tc>
          <w:tcPr>
            <w:tcW w:w="250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50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rPr>
              <w:t>TOP 2 SHARE</w:t>
            </w:r>
          </w:p>
        </w:tc>
        <w:tc>
          <w:tcPr>
            <w:tcW w:w="100" w:type="dxa"/>
            <w:vAlign w:val="bottom"/>
            <w:shd w:val="clear" w:color="auto" w:fill="F2F2F2"/>
          </w:tcPr>
          <w:p>
            <w:pPr>
              <w:spacing w:after="0"/>
              <w:rPr>
                <w:sz w:val="8"/>
                <w:szCs w:val="8"/>
                <w:color w:val="auto"/>
              </w:rPr>
            </w:pPr>
          </w:p>
        </w:tc>
        <w:tc>
          <w:tcPr>
            <w:tcW w:w="248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520" w:type="dxa"/>
            <w:vAlign w:val="bottom"/>
            <w:vMerge w:val="restart"/>
            <w:shd w:val="clear" w:color="auto" w:fill="2E8D5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w w:val="99"/>
              </w:rPr>
              <w:t>EXPERIENCE</w:t>
            </w:r>
          </w:p>
        </w:tc>
        <w:tc>
          <w:tcPr>
            <w:tcW w:w="4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0" w:type="dxa"/>
            <w:vAlign w:val="bottom"/>
            <w:shd w:val="clear" w:color="auto" w:fill="F2F2F2"/>
          </w:tcPr>
          <w:p>
            <w:pPr>
              <w:spacing w:after="0"/>
              <w:rPr>
                <w:sz w:val="8"/>
                <w:szCs w:val="8"/>
                <w:color w:val="auto"/>
              </w:rPr>
            </w:pPr>
          </w:p>
        </w:tc>
        <w:tc>
          <w:tcPr>
            <w:tcW w:w="2500" w:type="dxa"/>
            <w:vAlign w:val="bottom"/>
            <w:vMerge w:val="restart"/>
            <w:shd w:val="clear" w:color="auto" w:fill="2E8D52"/>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CULTURE</w:t>
            </w:r>
          </w:p>
        </w:tc>
        <w:tc>
          <w:tcPr>
            <w:tcW w:w="100" w:type="dxa"/>
            <w:vAlign w:val="bottom"/>
            <w:shd w:val="clear" w:color="auto" w:fill="F2F2F2"/>
          </w:tcPr>
          <w:p>
            <w:pPr>
              <w:spacing w:after="0"/>
              <w:rPr>
                <w:sz w:val="8"/>
                <w:szCs w:val="8"/>
                <w:color w:val="auto"/>
              </w:rPr>
            </w:pPr>
          </w:p>
        </w:tc>
        <w:tc>
          <w:tcPr>
            <w:tcW w:w="250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480" w:type="dxa"/>
            <w:vAlign w:val="bottom"/>
            <w:vMerge w:val="restart"/>
            <w:shd w:val="clear" w:color="auto" w:fill="2E8D52"/>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AGILITY</w:t>
            </w:r>
          </w:p>
        </w:tc>
        <w:tc>
          <w:tcPr>
            <w:tcW w:w="100" w:type="dxa"/>
            <w:vAlign w:val="bottom"/>
            <w:shd w:val="clear" w:color="auto" w:fill="F2F2F2"/>
          </w:tcPr>
          <w:p>
            <w:pPr>
              <w:spacing w:after="0"/>
              <w:rPr>
                <w:sz w:val="8"/>
                <w:szCs w:val="8"/>
                <w:color w:val="auto"/>
              </w:rPr>
            </w:pPr>
          </w:p>
        </w:tc>
        <w:tc>
          <w:tcPr>
            <w:tcW w:w="2520" w:type="dxa"/>
            <w:vAlign w:val="bottom"/>
            <w:vMerge w:val="continue"/>
            <w:shd w:val="clear" w:color="auto" w:fill="2E8D5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460" w:type="dxa"/>
            <w:vAlign w:val="bottom"/>
            <w:shd w:val="clear" w:color="auto" w:fill="F2F2F2"/>
          </w:tcPr>
          <w:p>
            <w:pPr>
              <w:spacing w:after="0"/>
              <w:rPr>
                <w:sz w:val="13"/>
                <w:szCs w:val="13"/>
                <w:color w:val="auto"/>
              </w:rPr>
            </w:pPr>
          </w:p>
        </w:tc>
        <w:tc>
          <w:tcPr>
            <w:tcW w:w="2500" w:type="dxa"/>
            <w:vAlign w:val="bottom"/>
            <w:vMerge w:val="continue"/>
            <w:shd w:val="clear" w:color="auto" w:fill="2E8D5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2500" w:type="dxa"/>
            <w:vAlign w:val="bottom"/>
            <w:vMerge w:val="restart"/>
            <w:shd w:val="clear" w:color="auto" w:fill="2E8D52"/>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POSITION</w:t>
            </w:r>
          </w:p>
        </w:tc>
        <w:tc>
          <w:tcPr>
            <w:tcW w:w="100" w:type="dxa"/>
            <w:vAlign w:val="bottom"/>
            <w:shd w:val="clear" w:color="auto" w:fill="F2F2F2"/>
          </w:tcPr>
          <w:p>
            <w:pPr>
              <w:spacing w:after="0"/>
              <w:rPr>
                <w:sz w:val="13"/>
                <w:szCs w:val="13"/>
                <w:color w:val="auto"/>
              </w:rPr>
            </w:pPr>
          </w:p>
        </w:tc>
        <w:tc>
          <w:tcPr>
            <w:tcW w:w="2480" w:type="dxa"/>
            <w:vAlign w:val="bottom"/>
            <w:vMerge w:val="continue"/>
            <w:shd w:val="clear" w:color="auto" w:fill="2E8D52"/>
          </w:tcPr>
          <w:p>
            <w:pPr>
              <w:spacing w:after="0"/>
              <w:rPr>
                <w:sz w:val="13"/>
                <w:szCs w:val="13"/>
                <w:color w:val="auto"/>
              </w:rPr>
            </w:pPr>
          </w:p>
        </w:tc>
        <w:tc>
          <w:tcPr>
            <w:tcW w:w="100" w:type="dxa"/>
            <w:vAlign w:val="bottom"/>
            <w:shd w:val="clear" w:color="auto" w:fill="F2F2F2"/>
          </w:tcPr>
          <w:p>
            <w:pPr>
              <w:spacing w:after="0"/>
              <w:rPr>
                <w:sz w:val="13"/>
                <w:szCs w:val="13"/>
                <w:color w:val="auto"/>
              </w:rPr>
            </w:pPr>
          </w:p>
        </w:tc>
        <w:tc>
          <w:tcPr>
            <w:tcW w:w="2520" w:type="dxa"/>
            <w:vAlign w:val="bottom"/>
            <w:shd w:val="clear" w:color="auto" w:fill="2E8D52"/>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460" w:type="dxa"/>
            <w:vAlign w:val="bottom"/>
            <w:shd w:val="clear" w:color="auto" w:fill="F2F2F2"/>
          </w:tcPr>
          <w:p>
            <w:pPr>
              <w:spacing w:after="0"/>
              <w:rPr>
                <w:sz w:val="8"/>
                <w:szCs w:val="8"/>
                <w:color w:val="auto"/>
              </w:rPr>
            </w:pPr>
          </w:p>
        </w:tc>
        <w:tc>
          <w:tcPr>
            <w:tcW w:w="2500" w:type="dxa"/>
            <w:vAlign w:val="bottom"/>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500" w:type="dxa"/>
            <w:vAlign w:val="bottom"/>
            <w:vMerge w:val="continue"/>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480" w:type="dxa"/>
            <w:vAlign w:val="bottom"/>
            <w:shd w:val="clear" w:color="auto" w:fill="2E8D5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2520" w:type="dxa"/>
            <w:vAlign w:val="bottom"/>
            <w:shd w:val="clear" w:color="auto" w:fill="2E8D52"/>
          </w:tcPr>
          <w:p>
            <w:pPr>
              <w:spacing w:after="0"/>
              <w:rPr>
                <w:sz w:val="8"/>
                <w:szCs w:val="8"/>
                <w:color w:val="auto"/>
              </w:rPr>
            </w:pPr>
          </w:p>
        </w:tc>
        <w:tc>
          <w:tcPr>
            <w:tcW w:w="480" w:type="dxa"/>
            <w:vAlign w:val="bottom"/>
            <w:shd w:val="clear" w:color="auto" w:fill="F2F2F2"/>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380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4380230"/>
                    </a:xfrm>
                    <a:prstGeom prst="rect">
                      <a:avLst/>
                    </a:prstGeom>
                    <a:noFill/>
                  </pic:spPr>
                </pic:pic>
              </a:graphicData>
            </a:graphic>
          </wp:anchor>
        </w:drawing>
      </w: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strategic pillars provide us with the roadmap to impact care pathways and improve customer and patient outcomes around the world.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Specifically, in 2021, we achieved the following:</w:t>
      </w:r>
    </w:p>
    <w:p>
      <w:pPr>
        <w:spacing w:after="0" w:line="149" w:lineRule="exact"/>
        <w:rPr>
          <w:sz w:val="20"/>
          <w:szCs w:val="20"/>
          <w:color w:val="auto"/>
        </w:rPr>
      </w:pPr>
    </w:p>
    <w:p>
      <w:pPr>
        <w:ind w:left="680" w:right="20" w:hanging="330"/>
        <w:spacing w:after="0" w:line="286"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Delivered organic revenue growth of 14.2% </w:t>
      </w:r>
      <w:r>
        <w:rPr>
          <w:rFonts w:ascii="Times New Roman" w:cs="Times New Roman" w:eastAsia="Times New Roman" w:hAnsi="Times New Roman"/>
          <w:sz w:val="18"/>
          <w:szCs w:val="18"/>
          <w:color w:val="auto"/>
        </w:rPr>
        <w:t>over the prior year reflecting strong demand for our diverse portfolio of products and the benefit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recovery in a number of our product lines.</w:t>
      </w:r>
    </w:p>
    <w:p>
      <w:pPr>
        <w:spacing w:after="0" w:line="100"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Grew reported revenue by 12.4% </w:t>
      </w:r>
      <w:r>
        <w:rPr>
          <w:rFonts w:ascii="Times New Roman" w:cs="Times New Roman" w:eastAsia="Times New Roman" w:hAnsi="Times New Roman"/>
          <w:sz w:val="18"/>
          <w:szCs w:val="18"/>
          <w:color w:val="auto"/>
        </w:rPr>
        <w:t>over prior year and</w:t>
      </w:r>
      <w:r>
        <w:rPr>
          <w:rFonts w:ascii="Times New Roman" w:cs="Times New Roman" w:eastAsia="Times New Roman" w:hAnsi="Times New Roman"/>
          <w:sz w:val="18"/>
          <w:szCs w:val="18"/>
          <w:b w:val="1"/>
          <w:bCs w:val="1"/>
          <w:color w:val="auto"/>
        </w:rPr>
        <w:t xml:space="preserve"> record operating cash flow </w:t>
      </w:r>
      <w:r>
        <w:rPr>
          <w:rFonts w:ascii="Times New Roman" w:cs="Times New Roman" w:eastAsia="Times New Roman" w:hAnsi="Times New Roman"/>
          <w:sz w:val="18"/>
          <w:szCs w:val="18"/>
          <w:color w:val="auto"/>
        </w:rPr>
        <w:t>of $312 million.</w:t>
      </w:r>
    </w:p>
    <w:p>
      <w:pPr>
        <w:spacing w:after="0" w:line="171"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Strong </w:t>
      </w:r>
      <w:r>
        <w:rPr>
          <w:rFonts w:ascii="Times New Roman" w:cs="Times New Roman" w:eastAsia="Times New Roman" w:hAnsi="Times New Roman"/>
          <w:sz w:val="18"/>
          <w:szCs w:val="18"/>
          <w:b w:val="1"/>
          <w:bCs w:val="1"/>
          <w:color w:val="auto"/>
        </w:rPr>
        <w:t>international sales</w:t>
      </w:r>
      <w:r>
        <w:rPr>
          <w:rFonts w:ascii="Times New Roman" w:cs="Times New Roman" w:eastAsia="Times New Roman" w:hAnsi="Times New Roman"/>
          <w:sz w:val="18"/>
          <w:szCs w:val="18"/>
          <w:color w:val="auto"/>
        </w:rPr>
        <w:t xml:space="preserve">, led by </w:t>
      </w:r>
      <w:r>
        <w:rPr>
          <w:rFonts w:ascii="Times New Roman" w:cs="Times New Roman" w:eastAsia="Times New Roman" w:hAnsi="Times New Roman"/>
          <w:sz w:val="18"/>
          <w:szCs w:val="18"/>
          <w:b w:val="1"/>
          <w:bCs w:val="1"/>
          <w:color w:val="auto"/>
        </w:rPr>
        <w:t>Japan and China growing double digits over prior year</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680" w:right="20" w:hanging="330"/>
        <w:spacing w:after="0" w:line="268"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Optimized our product portfolio to solidify our focus on neurosurgery, and plastic and reconstructive surgery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Successfully divested the Extremity Orthopedics business </w:t>
      </w:r>
      <w:r>
        <w:rPr>
          <w:rFonts w:ascii="Times New Roman" w:cs="Times New Roman" w:eastAsia="Times New Roman" w:hAnsi="Times New Roman"/>
          <w:sz w:val="18"/>
          <w:szCs w:val="18"/>
          <w:color w:val="auto"/>
        </w:rPr>
        <w:t>allowing us to</w:t>
      </w:r>
      <w:r>
        <w:rPr>
          <w:rFonts w:ascii="Times New Roman" w:cs="Times New Roman" w:eastAsia="Times New Roman" w:hAnsi="Times New Roman"/>
          <w:sz w:val="18"/>
          <w:szCs w:val="18"/>
          <w:b w:val="1"/>
          <w:bCs w:val="1"/>
          <w:color w:val="auto"/>
        </w:rPr>
        <w:t xml:space="preserve"> focus investments </w:t>
      </w:r>
      <w:r>
        <w:rPr>
          <w:rFonts w:ascii="Times New Roman" w:cs="Times New Roman" w:eastAsia="Times New Roman" w:hAnsi="Times New Roman"/>
          <w:sz w:val="18"/>
          <w:szCs w:val="18"/>
          <w:color w:val="auto"/>
        </w:rPr>
        <w:t>in our core neurosurgery and tissue technologies businesses</w:t>
      </w:r>
      <w:r>
        <w:rPr>
          <w:rFonts w:ascii="Times New Roman" w:cs="Times New Roman" w:eastAsia="Times New Roman" w:hAnsi="Times New Roman"/>
          <w:sz w:val="18"/>
          <w:szCs w:val="18"/>
          <w:b w:val="1"/>
          <w:bCs w:val="1"/>
          <w:color w:val="auto"/>
        </w:rPr>
        <w:t xml:space="preserve"> to drive future growth</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Acquired ACell to offer our customers with more complex wound management solutions</w:t>
      </w:r>
      <w:r>
        <w:rPr>
          <w:rFonts w:ascii="Times New Roman" w:cs="Times New Roman" w:eastAsia="Times New Roman" w:hAnsi="Times New Roman"/>
          <w:sz w:val="18"/>
          <w:szCs w:val="18"/>
          <w:color w:val="auto"/>
        </w:rPr>
        <w:t>; integrated all critical components successfully.</w:t>
      </w:r>
    </w:p>
    <w:p>
      <w:pPr>
        <w:spacing w:after="0" w:line="171"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w:t>
      </w:r>
      <w:r>
        <w:rPr>
          <w:rFonts w:ascii="Times New Roman" w:cs="Times New Roman" w:eastAsia="Times New Roman" w:hAnsi="Times New Roman"/>
          <w:sz w:val="18"/>
          <w:szCs w:val="18"/>
          <w:b w:val="1"/>
          <w:bCs w:val="1"/>
          <w:color w:val="auto"/>
        </w:rPr>
        <w:t>several new innovative products including</w:t>
      </w:r>
      <w:r>
        <w:rPr>
          <w:rFonts w:ascii="Times New Roman" w:cs="Times New Roman" w:eastAsia="Times New Roman" w:hAnsi="Times New Roman"/>
          <w:sz w:val="18"/>
          <w:szCs w:val="18"/>
          <w:color w:val="auto"/>
        </w:rPr>
        <w:t xml:space="preserve"> CereLink® ICP Monitoring and a phased clinical launch of Aurora® Surgiscope® </w:t>
      </w:r>
      <w:r>
        <w:rPr>
          <w:rFonts w:ascii="Times New Roman" w:cs="Times New Roman" w:eastAsia="Times New Roman" w:hAnsi="Times New Roman"/>
          <w:sz w:val="18"/>
          <w:szCs w:val="18"/>
          <w:b w:val="1"/>
          <w:bCs w:val="1"/>
          <w:color w:val="auto"/>
        </w:rPr>
        <w:t>in our</w:t>
      </w:r>
    </w:p>
    <w:p>
      <w:pPr>
        <w:spacing w:after="0" w:line="31"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Codman Specialty Surgical business.</w:t>
      </w:r>
    </w:p>
    <w:p>
      <w:pPr>
        <w:spacing w:after="0" w:line="148" w:lineRule="exact"/>
        <w:rPr>
          <w:rFonts w:ascii="Times New Roman" w:cs="Times New Roman" w:eastAsia="Times New Roman" w:hAnsi="Times New Roman"/>
          <w:sz w:val="18"/>
          <w:szCs w:val="18"/>
          <w:color w:val="auto"/>
        </w:rPr>
      </w:pPr>
    </w:p>
    <w:p>
      <w:pPr>
        <w:ind w:left="680" w:right="20" w:hanging="330"/>
        <w:spacing w:after="0" w:line="286"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Filed a PMA for SurgiMend® PRS Acellular Bovine Dermal Matrix and completed a multi-center study for Pri-Matrix Dermal Repair Scaffold for the management of diabetic foot ulcers in our Tissue Technologies business</w:t>
      </w:r>
      <w:r>
        <w:rPr>
          <w:rFonts w:ascii="Times New Roman" w:cs="Times New Roman" w:eastAsia="Times New Roman" w:hAnsi="Times New Roman"/>
          <w:sz w:val="18"/>
          <w:szCs w:val="18"/>
          <w:color w:val="auto"/>
        </w:rPr>
        <w:t>.</w:t>
      </w:r>
    </w:p>
    <w:p>
      <w:pPr>
        <w:spacing w:after="0" w:line="100"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Marked the </w:t>
      </w:r>
      <w:r>
        <w:rPr>
          <w:rFonts w:ascii="Times New Roman" w:cs="Times New Roman" w:eastAsia="Times New Roman" w:hAnsi="Times New Roman"/>
          <w:sz w:val="18"/>
          <w:szCs w:val="18"/>
          <w:b w:val="1"/>
          <w:bCs w:val="1"/>
          <w:color w:val="auto"/>
        </w:rPr>
        <w:t>25th anniversary of the U.S. approval of the Integra® Dermal Regeneration Template</w:t>
      </w:r>
      <w:r>
        <w:rPr>
          <w:rFonts w:ascii="Times New Roman" w:cs="Times New Roman" w:eastAsia="Times New Roman" w:hAnsi="Times New Roman"/>
          <w:sz w:val="18"/>
          <w:szCs w:val="18"/>
          <w:color w:val="auto"/>
        </w:rPr>
        <w:t xml:space="preserve"> for the treatment of life-threatening burns.</w:t>
      </w:r>
    </w:p>
    <w:p>
      <w:pPr>
        <w:spacing w:after="0" w:line="171"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Successfully completed the substantive manufacturing transfer of all Codman neurosurgical products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680" w:right="20" w:hanging="330"/>
        <w:spacing w:after="0" w:line="286"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Advanced our diversity and inclusion </w:t>
      </w:r>
      <w:r>
        <w:rPr>
          <w:rFonts w:ascii="Times New Roman" w:cs="Times New Roman" w:eastAsia="Times New Roman" w:hAnsi="Times New Roman"/>
          <w:sz w:val="18"/>
          <w:szCs w:val="18"/>
          <w:color w:val="auto"/>
        </w:rPr>
        <w:t>efforts through the various initiatives led by our employee resource groups and ongoing micro inequities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training.</w:t>
      </w:r>
    </w:p>
    <w:p>
      <w:pPr>
        <w:spacing w:after="0" w:line="104" w:lineRule="exact"/>
        <w:rPr>
          <w:rFonts w:ascii="Times New Roman" w:cs="Times New Roman" w:eastAsia="Times New Roman" w:hAnsi="Times New Roman"/>
          <w:sz w:val="18"/>
          <w:szCs w:val="18"/>
          <w:color w:val="auto"/>
        </w:rPr>
      </w:pPr>
    </w:p>
    <w:p>
      <w:pPr>
        <w:ind w:left="680" w:right="40" w:hanging="330"/>
        <w:spacing w:after="0" w:line="282" w:lineRule="auto"/>
        <w:tabs>
          <w:tab w:leader="none" w:pos="6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to industry lists, such as the '2021 Best Company for Diversity' and 'Top 100 Healthcare Technology Companies' in recognition of the Company’s leadership.</w:t>
      </w:r>
    </w:p>
    <w:p>
      <w:pPr>
        <w:spacing w:after="0" w:line="103" w:lineRule="exact"/>
        <w:rPr>
          <w:rFonts w:ascii="Times New Roman" w:cs="Times New Roman" w:eastAsia="Times New Roman" w:hAnsi="Times New Roman"/>
          <w:sz w:val="18"/>
          <w:szCs w:val="18"/>
          <w:color w:val="auto"/>
        </w:rPr>
      </w:pPr>
    </w:p>
    <w:p>
      <w:pPr>
        <w:ind w:left="660" w:hanging="310"/>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Executed a </w:t>
      </w:r>
      <w:r>
        <w:rPr>
          <w:rFonts w:ascii="Times New Roman" w:cs="Times New Roman" w:eastAsia="Times New Roman" w:hAnsi="Times New Roman"/>
          <w:sz w:val="18"/>
          <w:szCs w:val="18"/>
          <w:b w:val="1"/>
          <w:bCs w:val="1"/>
          <w:color w:val="auto"/>
        </w:rPr>
        <w:t>smooth CEO transition.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28"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4046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firstLine="486"/>
        <w:spacing w:after="0" w:line="281" w:lineRule="auto"/>
        <w:rPr>
          <w:sz w:val="20"/>
          <w:szCs w:val="20"/>
          <w:color w:val="auto"/>
        </w:rPr>
      </w:pPr>
      <w:r>
        <w:rPr>
          <w:rFonts w:ascii="Times New Roman" w:cs="Times New Roman" w:eastAsia="Times New Roman" w:hAnsi="Times New Roman"/>
          <w:sz w:val="18"/>
          <w:szCs w:val="18"/>
          <w:color w:val="auto"/>
        </w:rPr>
        <w:t>The Compensation Committee considered these achievements in making compensation decisions for named executive officers. Below is a summary of decisions the Committee made:</w:t>
      </w:r>
    </w:p>
    <w:p>
      <w:pPr>
        <w:spacing w:after="0" w:line="1" w:lineRule="exact"/>
        <w:rPr>
          <w:sz w:val="20"/>
          <w:szCs w:val="20"/>
          <w:color w:val="auto"/>
        </w:rPr>
      </w:pPr>
    </w:p>
    <w:p>
      <w:pPr>
        <w:ind w:left="680" w:right="100" w:hanging="330"/>
        <w:spacing w:after="0" w:line="287" w:lineRule="auto"/>
        <w:tabs>
          <w:tab w:leader="none" w:pos="67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successful business performance in 2021, the overall annual bonus pool was funded at 135.1% of target and we awarded the named executive officers market competitive 2021 target compensation packages (substantially in the form of performance-based equity). Performance share grants vesting in 2022 based on 2021 organic revenue growth achieved maximum payouts ranging from 150% to 200% of target.</w:t>
      </w:r>
    </w:p>
    <w:p>
      <w:pPr>
        <w:ind w:left="680" w:right="20" w:hanging="330"/>
        <w:spacing w:after="0" w:line="282" w:lineRule="auto"/>
        <w:tabs>
          <w:tab w:leader="none" w:pos="6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approved minor changes to the design of the 2021 equity program, with a rebalancing of stock options and restricted stock/restricted stock units (RSUs) and an increase of performance stock units (PSUs) in the annual equity grant.</w:t>
      </w:r>
    </w:p>
    <w:p>
      <w:pPr>
        <w:spacing w:after="0" w:line="175" w:lineRule="exact"/>
        <w:rPr>
          <w:sz w:val="20"/>
          <w:szCs w:val="20"/>
          <w:color w:val="auto"/>
        </w:rPr>
      </w:pPr>
    </w:p>
    <w:p>
      <w:pPr>
        <w:jc w:val="both"/>
        <w:ind w:left="20" w:firstLine="551"/>
        <w:spacing w:after="0" w:line="232" w:lineRule="auto"/>
        <w:rPr>
          <w:sz w:val="20"/>
          <w:szCs w:val="20"/>
          <w:color w:val="auto"/>
        </w:rPr>
      </w:pPr>
      <w:r>
        <w:rPr>
          <w:rFonts w:ascii="Times New Roman" w:cs="Times New Roman" w:eastAsia="Times New Roman" w:hAnsi="Times New Roman"/>
          <w:sz w:val="18"/>
          <w:szCs w:val="18"/>
          <w:color w:val="auto"/>
        </w:rPr>
        <w:t>On December 1, 2021, Mr. Jan D. De Witte commenced to serve as the President and CEO of the Company, succeeding Mr. Arduini who, after ten years in the role, retired from the Company. Mr. De Witte served for the past five years as CEO of Barco N.V., where he created stockholder value through digital innovation and new product development, commercial acceleration, international market growth and operational excellence while effectively leading the company through the COVID-19 pandemic.</w:t>
      </w:r>
    </w:p>
    <w:p>
      <w:pPr>
        <w:spacing w:after="0" w:line="23" w:lineRule="exact"/>
        <w:rPr>
          <w:sz w:val="20"/>
          <w:szCs w:val="20"/>
          <w:color w:val="auto"/>
        </w:rPr>
      </w:pPr>
    </w:p>
    <w:p>
      <w:pPr>
        <w:jc w:val="both"/>
        <w:ind w:left="680" w:hanging="330"/>
        <w:spacing w:after="0" w:line="258"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appointment of Mr. De Witte as President and CEO, the Company entered into an employment agreement providing Mr. De Witte with a market competitive compensation package consistent with the Company’s executive compensation philosophy. As part of his employment agreement, Mr. De Witte was awarded an initial grant of restricted stock units (RSUs) with a grant date value of $2,000,000 that will vest in three substantially equal annual installments beginning on the first anniversary of the grant. Mr. De Witte received his grant on January 18, 2022 when his U.S. residency was established.</w:t>
      </w:r>
    </w:p>
    <w:p>
      <w:pPr>
        <w:spacing w:after="0" w:line="75" w:lineRule="exact"/>
        <w:rPr>
          <w:rFonts w:ascii="Times New Roman" w:cs="Times New Roman" w:eastAsia="Times New Roman" w:hAnsi="Times New Roman"/>
          <w:sz w:val="18"/>
          <w:szCs w:val="18"/>
          <w:color w:val="auto"/>
        </w:rPr>
      </w:pPr>
    </w:p>
    <w:p>
      <w:pPr>
        <w:jc w:val="both"/>
        <w:ind w:left="680" w:hanging="330"/>
        <w:spacing w:after="0" w:line="258" w:lineRule="auto"/>
        <w:tabs>
          <w:tab w:leader="none" w:pos="6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for in Mr. Arduini’s equity grant agreements, because he was retirement eligible on his date of separation (December 10, 2021) and he provided at least six months prior written notice of his intent to leave the Company, his outstanding equity was subject to accelerated vesting (see pages 52-55 for details). In order to maintain Mr. Arduini's focus on increasing stockholder value and enable a smooth transition to a new Chief Executive Officer, the Compensation Committee provided Mr. Arduini with eligibility to receive an annual bonus award for the 2021 performance year even though he no longer was an active employee on the date of the bonus payout in March 2022.</w:t>
      </w:r>
    </w:p>
    <w:p>
      <w:pPr>
        <w:spacing w:after="0" w:line="210" w:lineRule="exact"/>
        <w:rPr>
          <w:sz w:val="20"/>
          <w:szCs w:val="20"/>
          <w:color w:val="auto"/>
        </w:rPr>
      </w:pPr>
    </w:p>
    <w:p>
      <w:pPr>
        <w:ind w:left="20" w:firstLine="551"/>
        <w:spacing w:after="0" w:line="282" w:lineRule="auto"/>
        <w:rPr>
          <w:sz w:val="20"/>
          <w:szCs w:val="20"/>
          <w:color w:val="auto"/>
        </w:rPr>
      </w:pPr>
      <w:r>
        <w:rPr>
          <w:rFonts w:ascii="Times New Roman" w:cs="Times New Roman" w:eastAsia="Times New Roman" w:hAnsi="Times New Roman"/>
          <w:sz w:val="18"/>
          <w:szCs w:val="18"/>
          <w:color w:val="auto"/>
        </w:rPr>
        <w:t>The following pages provide details of the decisions the Compensation Committee made to ensure that total compensation for our named executive officers remained competitive, appropriately tied to performance and aligned with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20"/>
          </w:cols>
          <w:pgMar w:left="320" w:top="428"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E8D52"/>
        </w:rPr>
        <w:t>COMPENSATION DISCUSSION AND ANALYSIS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Integra is a world leader in medical technology, offering innovative solutions in neurosurgery, reconstructive and general surgery. Through an unwavering commitment, we strive to limit uncertainty for surgeons so they can concentrate on providing the best patient care. We believe that execution on our four strategic pillars paired with significant opportunities for global growth will continue to drive stockholder value. Delivering this strategy requires a team of highly engaged and skilled leaders who are rewarded for the performance they deliver.</w:t>
      </w:r>
    </w:p>
    <w:p>
      <w:pPr>
        <w:spacing w:after="0" w:line="7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To ensure our leaders are driven to deliver excellence for customers, patients, stockholders and colleagues, our executive compensation program is designed to link business priorities with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7145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2E8D52"/>
        </w:rPr>
        <w:t>OUR EXECUTIVE COMPENSATION PHILOSOPHY</w:t>
      </w:r>
    </w:p>
    <w:p>
      <w:pPr>
        <w:spacing w:after="0" w:line="3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Our executive compensation programs are based on a pay-for-performance philosophy and are designed to...</w:t>
      </w:r>
    </w:p>
    <w:p>
      <w:pPr>
        <w:spacing w:after="0" w:line="216" w:lineRule="exact"/>
        <w:rPr>
          <w:sz w:val="20"/>
          <w:szCs w:val="20"/>
          <w:color w:val="auto"/>
        </w:rPr>
      </w:pPr>
    </w:p>
    <w:p>
      <w:pPr>
        <w:ind w:left="660" w:hanging="14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talented executives who have the skills to drive our continued profitability, growth and success;</w:t>
      </w:r>
    </w:p>
    <w:p>
      <w:pPr>
        <w:spacing w:after="0" w:line="211" w:lineRule="exact"/>
        <w:rPr>
          <w:rFonts w:ascii="Times New Roman" w:cs="Times New Roman" w:eastAsia="Times New Roman" w:hAnsi="Times New Roman"/>
          <w:sz w:val="18"/>
          <w:szCs w:val="18"/>
          <w:color w:val="auto"/>
        </w:rPr>
      </w:pPr>
    </w:p>
    <w:p>
      <w:pPr>
        <w:ind w:left="680" w:right="20" w:hanging="168"/>
        <w:spacing w:after="0" w:line="282" w:lineRule="auto"/>
        <w:tabs>
          <w:tab w:leader="none" w:pos="6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 executive compensation with our short- and long-term corporate goals with an appropriate balance across pay programs prioritizing performance while discouraging unnecessary or excessive risk-taking;</w:t>
      </w:r>
    </w:p>
    <w:p>
      <w:pPr>
        <w:spacing w:after="0" w:line="148"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with those of our stockholders; and</w:t>
      </w:r>
    </w:p>
    <w:p>
      <w:pPr>
        <w:spacing w:after="0" w:line="211" w:lineRule="exact"/>
        <w:rPr>
          <w:rFonts w:ascii="Times New Roman" w:cs="Times New Roman" w:eastAsia="Times New Roman" w:hAnsi="Times New Roman"/>
          <w:sz w:val="18"/>
          <w:szCs w:val="18"/>
          <w:color w:val="auto"/>
        </w:rPr>
      </w:pPr>
    </w:p>
    <w:p>
      <w:pPr>
        <w:ind w:left="660" w:hanging="14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executives for exceptional performance that improves patient outcomes and drives stockholder value (pay-for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the 2021 compensation of our named executive officers listed below. It also provides an overview of our executive compensation program, which we continue to refine based on stockholder feedback, competitive market practice, and Company performance.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20" w:type="dxa"/>
            <w:vAlign w:val="bottom"/>
            <w:tcBorders>
              <w:top w:val="single" w:sz="8" w:color="auto"/>
            </w:tcBorders>
            <w:shd w:val="clear" w:color="auto" w:fill="F2F2F2"/>
          </w:tcPr>
          <w:p>
            <w:pPr>
              <w:ind w:left="540"/>
              <w:spacing w:after="0"/>
              <w:rPr>
                <w:sz w:val="20"/>
                <w:szCs w:val="20"/>
                <w:color w:val="auto"/>
              </w:rPr>
            </w:pPr>
            <w:r>
              <w:rPr>
                <w:rFonts w:ascii="Times New Roman" w:cs="Times New Roman" w:eastAsia="Times New Roman" w:hAnsi="Times New Roman"/>
                <w:sz w:val="14"/>
                <w:szCs w:val="14"/>
                <w:b w:val="1"/>
                <w:bCs w:val="1"/>
                <w:color w:val="2E8D52"/>
              </w:rPr>
              <w:t>NAMED EXECUTIVE</w:t>
            </w:r>
          </w:p>
        </w:tc>
        <w:tc>
          <w:tcPr>
            <w:tcW w:w="6120" w:type="dxa"/>
            <w:vAlign w:val="bottom"/>
            <w:tcBorders>
              <w:top w:val="single" w:sz="8" w:color="auto"/>
            </w:tcBorders>
            <w:vMerge w:val="restart"/>
            <w:shd w:val="clear" w:color="auto" w:fill="F2F2F2"/>
          </w:tcPr>
          <w:p>
            <w:pPr>
              <w:ind w:left="2860"/>
              <w:spacing w:after="0"/>
              <w:rPr>
                <w:sz w:val="20"/>
                <w:szCs w:val="20"/>
                <w:color w:val="auto"/>
              </w:rPr>
            </w:pPr>
            <w:r>
              <w:rPr>
                <w:rFonts w:ascii="Times New Roman" w:cs="Times New Roman" w:eastAsia="Times New Roman" w:hAnsi="Times New Roman"/>
                <w:sz w:val="14"/>
                <w:szCs w:val="14"/>
                <w:b w:val="1"/>
                <w:bCs w:val="1"/>
                <w:color w:val="2E8D52"/>
              </w:rPr>
              <w:t>ROLE</w:t>
            </w:r>
          </w:p>
        </w:tc>
        <w:tc>
          <w:tcPr>
            <w:tcW w:w="2600" w:type="dxa"/>
            <w:vAlign w:val="bottom"/>
            <w:tcBorders>
              <w:top w:val="single" w:sz="8" w:color="auto"/>
            </w:tcBorders>
            <w:shd w:val="clear" w:color="auto" w:fill="F2F2F2"/>
          </w:tcPr>
          <w:p>
            <w:pPr>
              <w:ind w:left="840"/>
              <w:spacing w:after="0"/>
              <w:rPr>
                <w:sz w:val="20"/>
                <w:szCs w:val="20"/>
                <w:color w:val="auto"/>
              </w:rPr>
            </w:pPr>
            <w:r>
              <w:rPr>
                <w:rFonts w:ascii="Times New Roman" w:cs="Times New Roman" w:eastAsia="Times New Roman" w:hAnsi="Times New Roman"/>
                <w:sz w:val="14"/>
                <w:szCs w:val="14"/>
                <w:b w:val="1"/>
                <w:bCs w:val="1"/>
                <w:color w:val="2E8D52"/>
              </w:rPr>
              <w:t>2021 TIME IN</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auto"/>
            </w:tcBorders>
            <w:shd w:val="clear" w:color="auto" w:fill="F2F2F2"/>
          </w:tcPr>
          <w:p>
            <w:pPr>
              <w:ind w:left="940"/>
              <w:spacing w:after="0"/>
              <w:rPr>
                <w:sz w:val="20"/>
                <w:szCs w:val="20"/>
                <w:color w:val="auto"/>
              </w:rPr>
            </w:pPr>
            <w:r>
              <w:rPr>
                <w:rFonts w:ascii="Times New Roman" w:cs="Times New Roman" w:eastAsia="Times New Roman" w:hAnsi="Times New Roman"/>
                <w:sz w:val="14"/>
                <w:szCs w:val="14"/>
                <w:b w:val="1"/>
                <w:bCs w:val="1"/>
                <w:color w:val="2E8D52"/>
              </w:rPr>
              <w:t>OFFICER</w:t>
            </w:r>
          </w:p>
        </w:tc>
        <w:tc>
          <w:tcPr>
            <w:tcW w:w="6120" w:type="dxa"/>
            <w:vAlign w:val="bottom"/>
            <w:tcBorders>
              <w:bottom w:val="single" w:sz="8" w:color="auto"/>
            </w:tcBorders>
            <w:vMerge w:val="continue"/>
            <w:shd w:val="clear" w:color="auto" w:fill="F2F2F2"/>
          </w:tcPr>
          <w:p>
            <w:pPr>
              <w:spacing w:after="0"/>
              <w:rPr>
                <w:sz w:val="17"/>
                <w:szCs w:val="17"/>
                <w:color w:val="auto"/>
              </w:rPr>
            </w:pPr>
          </w:p>
        </w:tc>
        <w:tc>
          <w:tcPr>
            <w:tcW w:w="2600" w:type="dxa"/>
            <w:vAlign w:val="bottom"/>
            <w:tcBorders>
              <w:bottom w:val="single" w:sz="8" w:color="auto"/>
            </w:tcBorders>
            <w:shd w:val="clear" w:color="auto" w:fill="F2F2F2"/>
          </w:tcPr>
          <w:p>
            <w:pPr>
              <w:ind w:left="1100"/>
              <w:spacing w:after="0"/>
              <w:rPr>
                <w:sz w:val="20"/>
                <w:szCs w:val="20"/>
                <w:color w:val="auto"/>
              </w:rPr>
            </w:pPr>
            <w:r>
              <w:rPr>
                <w:rFonts w:ascii="Times New Roman" w:cs="Times New Roman" w:eastAsia="Times New Roman" w:hAnsi="Times New Roman"/>
                <w:sz w:val="14"/>
                <w:szCs w:val="14"/>
                <w:b w:val="1"/>
                <w:bCs w:val="1"/>
                <w:color w:val="2E8D52"/>
              </w:rPr>
              <w:t>ROLE</w:t>
            </w:r>
          </w:p>
        </w:tc>
        <w:tc>
          <w:tcPr>
            <w:tcW w:w="0" w:type="dxa"/>
            <w:vAlign w:val="bottom"/>
          </w:tcPr>
          <w:p>
            <w:pPr>
              <w:spacing w:after="0"/>
              <w:rPr>
                <w:sz w:val="1"/>
                <w:szCs w:val="1"/>
                <w:color w:val="auto"/>
              </w:rPr>
            </w:pPr>
          </w:p>
        </w:tc>
      </w:tr>
      <w:tr>
        <w:trPr>
          <w:trHeight w:val="270"/>
        </w:trPr>
        <w:tc>
          <w:tcPr>
            <w:tcW w:w="2520" w:type="dxa"/>
            <w:vAlign w:val="bottom"/>
            <w:tcBorders>
              <w:bottom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Mr. Jan D. De Witte</w:t>
            </w:r>
            <w:r>
              <w:rPr>
                <w:rFonts w:ascii="Times New Roman" w:cs="Times New Roman" w:eastAsia="Times New Roman" w:hAnsi="Times New Roman"/>
                <w:sz w:val="23"/>
                <w:szCs w:val="23"/>
                <w:color w:val="auto"/>
                <w:vertAlign w:val="superscript"/>
              </w:rPr>
              <w:t>1</w:t>
            </w:r>
          </w:p>
        </w:tc>
        <w:tc>
          <w:tcPr>
            <w:tcW w:w="6120" w:type="dxa"/>
            <w:vAlign w:val="bottom"/>
            <w:tcBorders>
              <w:bottom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(CEO)</w:t>
            </w:r>
          </w:p>
        </w:tc>
        <w:tc>
          <w:tcPr>
            <w:tcW w:w="2600" w:type="dxa"/>
            <w:vAlign w:val="bottom"/>
            <w:tcBorders>
              <w:bottom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Beginning December 1</w:t>
            </w:r>
          </w:p>
        </w:tc>
        <w:tc>
          <w:tcPr>
            <w:tcW w:w="0" w:type="dxa"/>
            <w:vAlign w:val="bottom"/>
          </w:tcPr>
          <w:p>
            <w:pPr>
              <w:spacing w:after="0"/>
              <w:rPr>
                <w:sz w:val="1"/>
                <w:szCs w:val="1"/>
                <w:color w:val="auto"/>
              </w:rPr>
            </w:pPr>
          </w:p>
        </w:tc>
      </w:tr>
      <w:tr>
        <w:trPr>
          <w:trHeight w:val="263"/>
        </w:trPr>
        <w:tc>
          <w:tcPr>
            <w:tcW w:w="252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Mr. Peter J. Arduini</w:t>
            </w:r>
            <w:r>
              <w:rPr>
                <w:rFonts w:ascii="Times New Roman" w:cs="Times New Roman" w:eastAsia="Times New Roman" w:hAnsi="Times New Roman"/>
                <w:sz w:val="23"/>
                <w:szCs w:val="23"/>
                <w:color w:val="auto"/>
                <w:vertAlign w:val="superscript"/>
              </w:rPr>
              <w:t>2</w:t>
            </w:r>
          </w:p>
        </w:tc>
        <w:tc>
          <w:tcPr>
            <w:tcW w:w="6120" w:type="dxa"/>
            <w:vAlign w:val="bottom"/>
            <w:tcBorders>
              <w:bottom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(CEO)</w:t>
            </w:r>
          </w:p>
        </w:tc>
        <w:tc>
          <w:tcPr>
            <w:tcW w:w="2600" w:type="dxa"/>
            <w:vAlign w:val="bottom"/>
            <w:tcBorders>
              <w:bottom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January 1 - November 30</w:t>
            </w:r>
          </w:p>
        </w:tc>
        <w:tc>
          <w:tcPr>
            <w:tcW w:w="0" w:type="dxa"/>
            <w:vAlign w:val="bottom"/>
          </w:tcPr>
          <w:p>
            <w:pPr>
              <w:spacing w:after="0"/>
              <w:rPr>
                <w:sz w:val="1"/>
                <w:szCs w:val="1"/>
                <w:color w:val="auto"/>
              </w:rPr>
            </w:pPr>
          </w:p>
        </w:tc>
      </w:tr>
      <w:tr>
        <w:trPr>
          <w:trHeight w:val="268"/>
        </w:trPr>
        <w:tc>
          <w:tcPr>
            <w:tcW w:w="2520" w:type="dxa"/>
            <w:vAlign w:val="bottom"/>
            <w:tcBorders>
              <w:bottom w:val="single" w:sz="8" w:color="F2F2F2"/>
            </w:tcBorders>
            <w:shd w:val="clear" w:color="auto" w:fill="F2F2F2"/>
          </w:tcPr>
          <w:p>
            <w:pPr>
              <w:spacing w:after="0"/>
              <w:rPr>
                <w:sz w:val="22"/>
                <w:szCs w:val="22"/>
                <w:color w:val="auto"/>
              </w:rPr>
            </w:pPr>
          </w:p>
        </w:tc>
        <w:tc>
          <w:tcPr>
            <w:tcW w:w="612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Special Advisor</w:t>
            </w:r>
          </w:p>
        </w:tc>
        <w:tc>
          <w:tcPr>
            <w:tcW w:w="260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December 1 - December 10</w:t>
            </w:r>
          </w:p>
        </w:tc>
        <w:tc>
          <w:tcPr>
            <w:tcW w:w="0" w:type="dxa"/>
            <w:vAlign w:val="bottom"/>
          </w:tcPr>
          <w:p>
            <w:pPr>
              <w:spacing w:after="0"/>
              <w:rPr>
                <w:sz w:val="1"/>
                <w:szCs w:val="1"/>
                <w:color w:val="auto"/>
              </w:rPr>
            </w:pPr>
          </w:p>
        </w:tc>
      </w:tr>
      <w:tr>
        <w:trPr>
          <w:trHeight w:val="269"/>
        </w:trPr>
        <w:tc>
          <w:tcPr>
            <w:tcW w:w="25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Ms. Carrie Anderson</w:t>
            </w:r>
          </w:p>
        </w:tc>
        <w:tc>
          <w:tcPr>
            <w:tcW w:w="61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(CFO)</w:t>
            </w:r>
          </w:p>
        </w:tc>
        <w:tc>
          <w:tcPr>
            <w:tcW w:w="26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Full Year</w:t>
            </w:r>
          </w:p>
        </w:tc>
        <w:tc>
          <w:tcPr>
            <w:tcW w:w="0" w:type="dxa"/>
            <w:vAlign w:val="bottom"/>
          </w:tcPr>
          <w:p>
            <w:pPr>
              <w:spacing w:after="0"/>
              <w:rPr>
                <w:sz w:val="1"/>
                <w:szCs w:val="1"/>
                <w:color w:val="auto"/>
              </w:rPr>
            </w:pPr>
          </w:p>
        </w:tc>
      </w:tr>
      <w:tr>
        <w:trPr>
          <w:trHeight w:val="268"/>
        </w:trPr>
        <w:tc>
          <w:tcPr>
            <w:tcW w:w="25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Mr. Glenn G. Coleman</w:t>
            </w:r>
          </w:p>
        </w:tc>
        <w:tc>
          <w:tcPr>
            <w:tcW w:w="61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 (COO)</w:t>
            </w:r>
          </w:p>
        </w:tc>
        <w:tc>
          <w:tcPr>
            <w:tcW w:w="26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Full Year</w:t>
            </w:r>
          </w:p>
        </w:tc>
        <w:tc>
          <w:tcPr>
            <w:tcW w:w="0" w:type="dxa"/>
            <w:vAlign w:val="bottom"/>
          </w:tcPr>
          <w:p>
            <w:pPr>
              <w:spacing w:after="0"/>
              <w:rPr>
                <w:sz w:val="1"/>
                <w:szCs w:val="1"/>
                <w:color w:val="auto"/>
              </w:rPr>
            </w:pPr>
          </w:p>
        </w:tc>
      </w:tr>
      <w:tr>
        <w:trPr>
          <w:trHeight w:val="268"/>
        </w:trPr>
        <w:tc>
          <w:tcPr>
            <w:tcW w:w="25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Mr. Robert T. Davis, Jr.</w:t>
            </w:r>
          </w:p>
        </w:tc>
        <w:tc>
          <w:tcPr>
            <w:tcW w:w="61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Executive Vice President, President, Tissue Technologies</w:t>
            </w:r>
          </w:p>
        </w:tc>
        <w:tc>
          <w:tcPr>
            <w:tcW w:w="26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Full Year</w:t>
            </w:r>
          </w:p>
        </w:tc>
        <w:tc>
          <w:tcPr>
            <w:tcW w:w="0" w:type="dxa"/>
            <w:vAlign w:val="bottom"/>
          </w:tcPr>
          <w:p>
            <w:pPr>
              <w:spacing w:after="0"/>
              <w:rPr>
                <w:sz w:val="1"/>
                <w:szCs w:val="1"/>
                <w:color w:val="auto"/>
              </w:rPr>
            </w:pPr>
          </w:p>
        </w:tc>
      </w:tr>
      <w:tr>
        <w:trPr>
          <w:trHeight w:val="244"/>
        </w:trPr>
        <w:tc>
          <w:tcPr>
            <w:tcW w:w="25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Mr. Michael J. McBreen</w:t>
            </w:r>
          </w:p>
        </w:tc>
        <w:tc>
          <w:tcPr>
            <w:tcW w:w="612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Executive Vice President, President, Codman Specialty Surgical</w:t>
            </w:r>
          </w:p>
        </w:tc>
        <w:tc>
          <w:tcPr>
            <w:tcW w:w="26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Full Year</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612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428"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Mr. De Witte joined the Company on December 1, 2021, and assumed the role of President and CEO.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Arduini retired from his position as President and CEO. He remained with the Company as Special Advisor through December 10, 2021.</w:t>
      </w:r>
    </w:p>
    <w:p>
      <w:pPr>
        <w:spacing w:after="0" w:line="200" w:lineRule="exact"/>
        <w:rPr>
          <w:sz w:val="20"/>
          <w:szCs w:val="20"/>
          <w:color w:val="auto"/>
        </w:rPr>
      </w:pPr>
    </w:p>
    <w:p>
      <w:pPr>
        <w:sectPr>
          <w:pgSz w:w="11900" w:h="16838" w:orient="portrait"/>
          <w:cols w:equalWidth="0" w:num="2">
            <w:col w:w="60" w:space="420"/>
            <w:col w:w="10760"/>
          </w:cols>
          <w:pgMar w:left="320" w:top="428" w:right="3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428" w:right="3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SUMMARY OF OUR 2021 DECISIONS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Compensation Committee makes decisions regarding named executive officer total compensation (base salary, annual bonus objectives and payments, and annual equity grants) in connection with our annual performance review process. The table below summarizes the Compensation Committee’s decisions and provides information on updates to the compensation programs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56921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2E8D54"/>
              </w:rPr>
              <w:t>FACTORS THAT GUIDED</w:t>
            </w:r>
          </w:p>
        </w:tc>
        <w:tc>
          <w:tcPr>
            <w:tcW w:w="8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   Our executive compensation philosophy</w:t>
            </w:r>
          </w:p>
        </w:tc>
        <w:tc>
          <w:tcPr>
            <w:tcW w:w="0" w:type="dxa"/>
            <w:vAlign w:val="bottom"/>
          </w:tcPr>
          <w:p>
            <w:pPr>
              <w:spacing w:after="0"/>
              <w:rPr>
                <w:sz w:val="1"/>
                <w:szCs w:val="1"/>
                <w:color w:val="auto"/>
              </w:rPr>
            </w:pPr>
          </w:p>
        </w:tc>
      </w:tr>
      <w:tr>
        <w:trPr>
          <w:trHeight w:val="126"/>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2E8D54"/>
              </w:rPr>
              <w:t>TOTAL COMPENSATION</w:t>
            </w:r>
          </w:p>
        </w:tc>
        <w:tc>
          <w:tcPr>
            <w:tcW w:w="8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2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8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2E8D54"/>
              </w:rPr>
              <w:t>DECISIONS</w:t>
            </w:r>
          </w:p>
        </w:tc>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Degree of achievement of key strategic financial and operational goals</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Individual performance</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Advancement of our diversity and inclusion strategy</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Ongoing impact of the COVID-19 pandemic</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Recommendations of our President and CEO (other than with respect to his own compensation)</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Advice of an independent compensation consultant</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 input</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pay practices</w:t>
            </w: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Current and historical Integra compensation</w:t>
            </w: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2E8D54"/>
              </w:rPr>
              <w:t>KEY 2021 COMPENSATION</w:t>
            </w:r>
          </w:p>
        </w:tc>
        <w:tc>
          <w:tcPr>
            <w:tcW w:w="8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Base Salary Decisions</w:t>
            </w:r>
          </w:p>
        </w:tc>
        <w:tc>
          <w:tcPr>
            <w:tcW w:w="0" w:type="dxa"/>
            <w:vAlign w:val="bottom"/>
          </w:tcPr>
          <w:p>
            <w:pPr>
              <w:spacing w:after="0"/>
              <w:rPr>
                <w:sz w:val="1"/>
                <w:szCs w:val="1"/>
                <w:color w:val="auto"/>
              </w:rPr>
            </w:pPr>
          </w:p>
        </w:tc>
      </w:tr>
      <w:tr>
        <w:trPr>
          <w:trHeight w:val="234"/>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2E8D54"/>
              </w:rPr>
              <w:t>DECISIONS</w:t>
            </w:r>
          </w:p>
        </w:tc>
        <w:tc>
          <w:tcPr>
            <w:tcW w:w="8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SEE PAGES 35 – 40 FOR</w:t>
            </w:r>
          </w:p>
        </w:tc>
        <w:tc>
          <w:tcPr>
            <w:tcW w:w="8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On April 1, 2021, most named executive officers received salary increases in line with the overall Company-wide 2021</w:t>
            </w:r>
          </w:p>
        </w:tc>
        <w:tc>
          <w:tcPr>
            <w:tcW w:w="0" w:type="dxa"/>
            <w:vAlign w:val="bottom"/>
          </w:tcPr>
          <w:p>
            <w:pPr>
              <w:spacing w:after="0"/>
              <w:rPr>
                <w:sz w:val="1"/>
                <w:szCs w:val="1"/>
                <w:color w:val="auto"/>
              </w:rPr>
            </w:pPr>
          </w:p>
        </w:tc>
      </w:tr>
      <w:tr>
        <w:trPr>
          <w:trHeight w:val="216"/>
        </w:trPr>
        <w:tc>
          <w:tcPr>
            <w:tcW w:w="2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MORE INFORMATION</w:t>
            </w:r>
          </w:p>
        </w:tc>
        <w:tc>
          <w:tcPr>
            <w:tcW w:w="8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global annual merit budget of 3%. Ms. Anderson received a 5% increase on April 1, 2021 to reflect her 2020 performance</w:t>
            </w:r>
          </w:p>
        </w:tc>
        <w:tc>
          <w:tcPr>
            <w:tcW w:w="0" w:type="dxa"/>
            <w:vAlign w:val="bottom"/>
          </w:tcPr>
          <w:p>
            <w:pPr>
              <w:spacing w:after="0"/>
              <w:rPr>
                <w:sz w:val="1"/>
                <w:szCs w:val="1"/>
                <w:color w:val="auto"/>
              </w:rPr>
            </w:pPr>
          </w:p>
        </w:tc>
      </w:tr>
      <w:tr>
        <w:trPr>
          <w:trHeight w:val="234"/>
        </w:trPr>
        <w:tc>
          <w:tcPr>
            <w:tcW w:w="2320" w:type="dxa"/>
            <w:vAlign w:val="bottom"/>
          </w:tcPr>
          <w:p>
            <w:pPr>
              <w:spacing w:after="0"/>
              <w:rPr>
                <w:sz w:val="20"/>
                <w:szCs w:val="20"/>
                <w:color w:val="auto"/>
              </w:rPr>
            </w:pPr>
          </w:p>
        </w:tc>
        <w:tc>
          <w:tcPr>
            <w:tcW w:w="8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and better align her salary with the 50th percentile of our peer group.</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Cash Bonus Decisions</w:t>
      </w:r>
    </w:p>
    <w:p>
      <w:pPr>
        <w:spacing w:after="0" w:line="121" w:lineRule="exact"/>
        <w:rPr>
          <w:sz w:val="20"/>
          <w:szCs w:val="20"/>
          <w:color w:val="auto"/>
        </w:rPr>
      </w:pPr>
    </w:p>
    <w:p>
      <w:pPr>
        <w:ind w:left="2380" w:right="20"/>
        <w:spacing w:after="0" w:line="282" w:lineRule="auto"/>
        <w:rPr>
          <w:sz w:val="20"/>
          <w:szCs w:val="20"/>
          <w:color w:val="auto"/>
        </w:rPr>
      </w:pPr>
      <w:r>
        <w:rPr>
          <w:rFonts w:ascii="Times New Roman" w:cs="Times New Roman" w:eastAsia="Times New Roman" w:hAnsi="Times New Roman"/>
          <w:sz w:val="18"/>
          <w:szCs w:val="18"/>
          <w:color w:val="auto"/>
        </w:rPr>
        <w:t>In February 2021, the Compensation Committee approved the short-term incentive design, metrics and performance goals for named executive officers, which cascades more broadly to all plan participants.</w:t>
      </w:r>
    </w:p>
    <w:p>
      <w:pPr>
        <w:spacing w:after="0" w:line="54" w:lineRule="exact"/>
        <w:rPr>
          <w:sz w:val="20"/>
          <w:szCs w:val="20"/>
          <w:color w:val="auto"/>
        </w:rPr>
      </w:pPr>
    </w:p>
    <w:p>
      <w:pPr>
        <w:ind w:left="2380" w:right="40"/>
        <w:spacing w:after="0" w:line="266" w:lineRule="auto"/>
        <w:rPr>
          <w:sz w:val="20"/>
          <w:szCs w:val="20"/>
          <w:color w:val="auto"/>
        </w:rPr>
      </w:pPr>
      <w:r>
        <w:rPr>
          <w:rFonts w:ascii="Times New Roman" w:cs="Times New Roman" w:eastAsia="Times New Roman" w:hAnsi="Times New Roman"/>
          <w:sz w:val="18"/>
          <w:szCs w:val="18"/>
          <w:color w:val="auto"/>
        </w:rPr>
        <w:t>Mr. De Witte was awarded an annual bonus payment of $144,384, in accordance with his employment agreement and is in recognition of a smooth CEO transition and strong company financial performance. This amount represented his target bonus, pro-rated to reflect his partial year of employment, adjusted to 200% of his prorated 2021 base salary.</w:t>
      </w:r>
    </w:p>
    <w:p>
      <w:pPr>
        <w:spacing w:after="0" w:line="6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color w:val="auto"/>
        </w:rPr>
        <w:t>As a result of exceeding targeted business performance goals in 2021, the overall annual bonus pool was funded at</w:t>
      </w:r>
    </w:p>
    <w:p>
      <w:pPr>
        <w:spacing w:after="0" w:line="27" w:lineRule="exact"/>
        <w:rPr>
          <w:sz w:val="20"/>
          <w:szCs w:val="20"/>
          <w:color w:val="auto"/>
        </w:rPr>
      </w:pPr>
    </w:p>
    <w:p>
      <w:pPr>
        <w:ind w:left="2380" w:right="60"/>
        <w:spacing w:after="0" w:line="253" w:lineRule="auto"/>
        <w:rPr>
          <w:sz w:val="20"/>
          <w:szCs w:val="20"/>
          <w:color w:val="auto"/>
        </w:rPr>
      </w:pPr>
      <w:r>
        <w:rPr>
          <w:rFonts w:ascii="Times New Roman" w:cs="Times New Roman" w:eastAsia="Times New Roman" w:hAnsi="Times New Roman"/>
          <w:sz w:val="18"/>
          <w:szCs w:val="18"/>
          <w:color w:val="auto"/>
        </w:rPr>
        <w:t>135.1% of target. The Compensation Committee considered this funding appropriate based on the results of the Company and notable effort and achievements of the executive officers and non-executive participants. Mr. Arduini was awarded an annual bonus payment of 135.1% of his target opportunity. Other named executive officers were awarded annual bonus payments between 127.4% and 140.1% of their individual target opportunities. Annual bonus payments were paid in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428"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62750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627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Equity Grant Decisions</w:t>
      </w:r>
    </w:p>
    <w:p>
      <w:pPr>
        <w:spacing w:after="0" w:line="121" w:lineRule="exact"/>
        <w:rPr>
          <w:sz w:val="20"/>
          <w:szCs w:val="20"/>
          <w:color w:val="auto"/>
        </w:rPr>
      </w:pPr>
    </w:p>
    <w:p>
      <w:pPr>
        <w:ind w:left="2380" w:right="140"/>
        <w:spacing w:after="0" w:line="258" w:lineRule="auto"/>
        <w:rPr>
          <w:sz w:val="20"/>
          <w:szCs w:val="20"/>
          <w:color w:val="auto"/>
        </w:rPr>
      </w:pPr>
      <w:r>
        <w:rPr>
          <w:rFonts w:ascii="Times New Roman" w:cs="Times New Roman" w:eastAsia="Times New Roman" w:hAnsi="Times New Roman"/>
          <w:sz w:val="18"/>
          <w:szCs w:val="18"/>
          <w:color w:val="auto"/>
        </w:rPr>
        <w:t>In making equity grant decisions for 2021, the Compensation Committee took into account that Integra’s executive management team remained keenly focused on its employees and patients, ensuring the Company could supply its products while keeping its employees safe even as COVID-19 continued to present business challenges. The executive management team, through swift and decisive action, minimized the impact to the Company and leveraged opportunities in 2020 to position Integra for success in 2021 and beyond.</w:t>
      </w:r>
    </w:p>
    <w:p>
      <w:pPr>
        <w:spacing w:after="0" w:line="75" w:lineRule="exact"/>
        <w:rPr>
          <w:sz w:val="20"/>
          <w:szCs w:val="20"/>
          <w:color w:val="auto"/>
        </w:rPr>
      </w:pPr>
    </w:p>
    <w:p>
      <w:pPr>
        <w:ind w:left="2380" w:right="20"/>
        <w:spacing w:after="0" w:line="261" w:lineRule="auto"/>
        <w:rPr>
          <w:sz w:val="20"/>
          <w:szCs w:val="20"/>
          <w:color w:val="auto"/>
        </w:rPr>
      </w:pPr>
      <w:r>
        <w:rPr>
          <w:rFonts w:ascii="Times New Roman" w:cs="Times New Roman" w:eastAsia="Times New Roman" w:hAnsi="Times New Roman"/>
          <w:sz w:val="18"/>
          <w:szCs w:val="18"/>
          <w:color w:val="auto"/>
        </w:rPr>
        <w:t>For the 2021 annual equity grant, the Compensation Committee rebalanced stock options and restricted stock and increased PSUs. A greater portion of performance-based awards was delivered to align the NEOs with our accelerated growth goals, with PSUs weighted approximately 60% and stock options and restricted stock (RSUs for Mr. Arduini) each weighted at 20%.</w:t>
      </w:r>
    </w:p>
    <w:p>
      <w:pPr>
        <w:spacing w:after="0" w:line="72" w:lineRule="exact"/>
        <w:rPr>
          <w:sz w:val="20"/>
          <w:szCs w:val="20"/>
          <w:color w:val="auto"/>
        </w:rPr>
      </w:pPr>
    </w:p>
    <w:p>
      <w:pPr>
        <w:ind w:left="2380" w:right="80"/>
        <w:spacing w:after="0" w:line="261" w:lineRule="auto"/>
        <w:rPr>
          <w:sz w:val="20"/>
          <w:szCs w:val="20"/>
          <w:color w:val="auto"/>
        </w:rPr>
      </w:pPr>
      <w:r>
        <w:rPr>
          <w:rFonts w:ascii="Times New Roman" w:cs="Times New Roman" w:eastAsia="Times New Roman" w:hAnsi="Times New Roman"/>
          <w:sz w:val="18"/>
          <w:szCs w:val="18"/>
          <w:color w:val="auto"/>
        </w:rPr>
        <w:t>To enhance our performance-oriented incentives to drive sustainable long-term performance, the Compensation Committee increased the 2021 PSU grant’s maximum level of performance rewarded from 7% organic revenue growth to 14% and the vesting percentage opportunity for this award from 150% of target to 200% when this exceptional performance is achieved or surpassed.</w:t>
      </w:r>
    </w:p>
    <w:p>
      <w:pPr>
        <w:spacing w:after="0" w:line="72" w:lineRule="exact"/>
        <w:rPr>
          <w:sz w:val="20"/>
          <w:szCs w:val="20"/>
          <w:color w:val="auto"/>
        </w:rPr>
      </w:pPr>
    </w:p>
    <w:p>
      <w:pPr>
        <w:ind w:left="2380" w:right="180"/>
        <w:spacing w:after="0" w:line="329" w:lineRule="auto"/>
        <w:rPr>
          <w:sz w:val="20"/>
          <w:szCs w:val="20"/>
          <w:color w:val="auto"/>
        </w:rPr>
      </w:pPr>
      <w:r>
        <w:rPr>
          <w:rFonts w:ascii="Times New Roman" w:cs="Times New Roman" w:eastAsia="Times New Roman" w:hAnsi="Times New Roman"/>
          <w:sz w:val="18"/>
          <w:szCs w:val="18"/>
          <w:color w:val="auto"/>
        </w:rPr>
        <w:t>In 2021, Mr. Arduini received an annual equity grant with a fair market value of $7,250,113. Grants for the other named executive officers ranged in value from $1,024,490 to $2,224,909.</w:t>
      </w:r>
    </w:p>
    <w:p>
      <w:pPr>
        <w:spacing w:after="0" w:line="18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PSU Vesting Decisions</w:t>
      </w:r>
    </w:p>
    <w:p>
      <w:pPr>
        <w:spacing w:after="0" w:line="108" w:lineRule="exact"/>
        <w:rPr>
          <w:sz w:val="20"/>
          <w:szCs w:val="20"/>
          <w:color w:val="auto"/>
        </w:rPr>
      </w:pPr>
    </w:p>
    <w:p>
      <w:pPr>
        <w:jc w:val="both"/>
        <w:ind w:left="2380"/>
        <w:spacing w:after="0" w:line="261" w:lineRule="auto"/>
        <w:rPr>
          <w:sz w:val="20"/>
          <w:szCs w:val="20"/>
          <w:color w:val="auto"/>
        </w:rPr>
      </w:pPr>
      <w:r>
        <w:rPr>
          <w:rFonts w:ascii="Times New Roman" w:cs="Times New Roman" w:eastAsia="Times New Roman" w:hAnsi="Times New Roman"/>
          <w:sz w:val="18"/>
          <w:szCs w:val="18"/>
          <w:color w:val="auto"/>
        </w:rPr>
        <w:t>In February 2022, the Compensation Committee reviewed the annual organic revenue growth goal for 2021 performance as it relates to the vesting of 2019, 2020 and 2021 PSU grants. Based on the Company's strong performance, PSUs tied to the 2021 performance year vested at the maximum levels - 150% of target for the 2019 and 2020 PSUs and 200% of target for the 2021 PSUs.</w:t>
      </w:r>
    </w:p>
    <w:p>
      <w:pPr>
        <w:spacing w:after="0" w:line="28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CEO Transition Decisions</w:t>
      </w:r>
    </w:p>
    <w:p>
      <w:pPr>
        <w:spacing w:after="0" w:line="121" w:lineRule="exact"/>
        <w:rPr>
          <w:sz w:val="20"/>
          <w:szCs w:val="20"/>
          <w:color w:val="auto"/>
        </w:rPr>
      </w:pPr>
    </w:p>
    <w:p>
      <w:pPr>
        <w:ind w:left="2380" w:right="60"/>
        <w:spacing w:after="0" w:line="254" w:lineRule="auto"/>
        <w:rPr>
          <w:sz w:val="20"/>
          <w:szCs w:val="20"/>
          <w:color w:val="auto"/>
        </w:rPr>
      </w:pPr>
      <w:r>
        <w:rPr>
          <w:rFonts w:ascii="Times New Roman" w:cs="Times New Roman" w:eastAsia="Times New Roman" w:hAnsi="Times New Roman"/>
          <w:sz w:val="18"/>
          <w:szCs w:val="18"/>
          <w:color w:val="auto"/>
        </w:rPr>
        <w:t>On December 1, 2021, the Company entered into an employment agreement with Mr. De Witte in connection with his appointment as President and CEO. Mr. De Witte's base annual salary was set at $850,000 with a cash bonus target of 110% of base salary. Mr. De Witte received an initial grant of equity as part of his offer to join the Company through a grant of RSUs with a grant value of $2,000,000. Mr. De Witte received this grant on January 18, 2022, when his U.S. residency was established. This award will vest in three substantially equal annual installments starting on the first anniversary of the grant. Beginning in 2022, Mr. De Witte will be eligible to receive annual equity-based awards, with the amount, form and mix to be determined by the Compensation Committee. The 2022 annual award is anticipated to be $4,000,000 with Compensation Committee discretion to award a different value, which may be lower.</w:t>
      </w:r>
    </w:p>
    <w:p>
      <w:pPr>
        <w:spacing w:after="0" w:line="205" w:lineRule="exact"/>
        <w:rPr>
          <w:sz w:val="20"/>
          <w:szCs w:val="20"/>
          <w:color w:val="auto"/>
        </w:rPr>
      </w:pPr>
    </w:p>
    <w:p>
      <w:pPr>
        <w:ind w:left="2380" w:right="320"/>
        <w:spacing w:after="0" w:line="236" w:lineRule="auto"/>
        <w:rPr>
          <w:sz w:val="20"/>
          <w:szCs w:val="20"/>
          <w:color w:val="auto"/>
        </w:rPr>
      </w:pPr>
      <w:r>
        <w:rPr>
          <w:rFonts w:ascii="Times New Roman" w:cs="Times New Roman" w:eastAsia="Times New Roman" w:hAnsi="Times New Roman"/>
          <w:sz w:val="18"/>
          <w:szCs w:val="18"/>
          <w:color w:val="auto"/>
        </w:rPr>
        <w:t>In order to maintain Mr. Arduini’s focus on increasing stockholder value and ensure a smooth CEO transition, the Compensation Committee provided him with the eligibility to receive an annual bonus award for 2021 even though he would no longer be an active employee on the date of the bonus payout in March 2022.</w:t>
      </w:r>
    </w:p>
    <w:p>
      <w:pPr>
        <w:spacing w:after="0" w:line="37" w:lineRule="exact"/>
        <w:rPr>
          <w:sz w:val="20"/>
          <w:szCs w:val="20"/>
          <w:color w:val="auto"/>
        </w:rPr>
      </w:pPr>
    </w:p>
    <w:p>
      <w:pPr>
        <w:ind w:left="20" w:right="20"/>
        <w:spacing w:after="0" w:line="261" w:lineRule="auto"/>
        <w:rPr>
          <w:sz w:val="20"/>
          <w:szCs w:val="20"/>
          <w:color w:val="auto"/>
        </w:rPr>
      </w:pPr>
      <w:r>
        <w:rPr>
          <w:rFonts w:ascii="Times New Roman" w:cs="Times New Roman" w:eastAsia="Times New Roman" w:hAnsi="Times New Roman"/>
          <w:sz w:val="18"/>
          <w:szCs w:val="18"/>
          <w:color w:val="2E8D54"/>
        </w:rPr>
        <w:t xml:space="preserve">SAY-ON-PAY RESULTS AND </w:t>
      </w:r>
      <w:r>
        <w:rPr>
          <w:rFonts w:ascii="Times New Roman" w:cs="Times New Roman" w:eastAsia="Times New Roman" w:hAnsi="Times New Roman"/>
          <w:sz w:val="18"/>
          <w:szCs w:val="18"/>
          <w:color w:val="000000"/>
        </w:rPr>
        <w:t>The Company continues to receive high levels of Say on Pay support, with 97.9% of votes cast in favor at our 2021</w:t>
      </w:r>
      <w:r>
        <w:rPr>
          <w:rFonts w:ascii="Times New Roman" w:cs="Times New Roman" w:eastAsia="Times New Roman" w:hAnsi="Times New Roman"/>
          <w:sz w:val="18"/>
          <w:szCs w:val="18"/>
          <w:color w:val="2E8D54"/>
        </w:rPr>
        <w:t xml:space="preserve"> STOCKHOLDER FEEDBACK </w:t>
      </w:r>
      <w:r>
        <w:rPr>
          <w:rFonts w:ascii="Times New Roman" w:cs="Times New Roman" w:eastAsia="Times New Roman" w:hAnsi="Times New Roman"/>
          <w:sz w:val="18"/>
          <w:szCs w:val="18"/>
          <w:color w:val="000000"/>
        </w:rPr>
        <w:t>annual meeting of stockholders. The Compensation Committee believes this support, coupled with positive feedback from</w:t>
      </w:r>
    </w:p>
    <w:p>
      <w:pPr>
        <w:ind w:left="2380" w:right="60"/>
        <w:spacing w:after="0" w:line="260" w:lineRule="auto"/>
        <w:rPr>
          <w:sz w:val="20"/>
          <w:szCs w:val="20"/>
          <w:color w:val="auto"/>
        </w:rPr>
      </w:pPr>
      <w:r>
        <w:rPr>
          <w:rFonts w:ascii="Times New Roman" w:cs="Times New Roman" w:eastAsia="Times New Roman" w:hAnsi="Times New Roman"/>
          <w:sz w:val="18"/>
          <w:szCs w:val="18"/>
          <w:color w:val="auto"/>
        </w:rPr>
        <w:t>stockholders, to be an endorsement of our current program, which is considered as part of the Compensation Committee’s annual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428"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SUPPORTING OUR PAY-FOR-PERFORMANCE PHILOSOPHY</w:t>
      </w:r>
    </w:p>
    <w:p>
      <w:pPr>
        <w:spacing w:after="0" w:line="283" w:lineRule="exact"/>
        <w:rPr>
          <w:sz w:val="20"/>
          <w:szCs w:val="20"/>
          <w:color w:val="auto"/>
        </w:rPr>
      </w:pPr>
    </w:p>
    <w:p>
      <w:pPr>
        <w:jc w:val="both"/>
        <w:ind w:left="20" w:firstLine="486"/>
        <w:spacing w:after="0" w:line="258" w:lineRule="auto"/>
        <w:rPr>
          <w:sz w:val="20"/>
          <w:szCs w:val="20"/>
          <w:color w:val="auto"/>
        </w:rPr>
      </w:pPr>
      <w:r>
        <w:rPr>
          <w:rFonts w:ascii="Times New Roman" w:cs="Times New Roman" w:eastAsia="Times New Roman" w:hAnsi="Times New Roman"/>
          <w:sz w:val="18"/>
          <w:szCs w:val="18"/>
          <w:color w:val="auto"/>
        </w:rPr>
        <w:t>In support of our pay-for-performance philosophy and achievement of strong Company performance, the majority of the total compensation opportunity that our President and CEO and other named executive officers receive is “at-risk” and dependent upon future performance. Market-competitive base salaries are established to provide our named executive officers with a stable and secure source of income with “at-risk” pay aligned to driving our four strategy pillars.</w:t>
      </w:r>
    </w:p>
    <w:p>
      <w:pPr>
        <w:spacing w:after="0" w:line="75" w:lineRule="exact"/>
        <w:rPr>
          <w:sz w:val="20"/>
          <w:szCs w:val="20"/>
          <w:color w:val="auto"/>
        </w:rPr>
      </w:pPr>
    </w:p>
    <w:p>
      <w:pPr>
        <w:jc w:val="both"/>
        <w:ind w:left="20" w:firstLine="486"/>
        <w:spacing w:after="0" w:line="255" w:lineRule="auto"/>
        <w:rPr>
          <w:sz w:val="20"/>
          <w:szCs w:val="20"/>
          <w:color w:val="auto"/>
        </w:rPr>
      </w:pPr>
      <w:r>
        <w:rPr>
          <w:rFonts w:ascii="Times New Roman" w:cs="Times New Roman" w:eastAsia="Times New Roman" w:hAnsi="Times New Roman"/>
          <w:sz w:val="18"/>
          <w:szCs w:val="18"/>
          <w:color w:val="auto"/>
        </w:rPr>
        <w:t>Consistent with the Company’s overall executive compensation philosophy, named executive officers are rewarded for their strong leadership and individual performance and provided with equity incentives to ensure alignment of their interests with those of our stockholders. For Mr. De Witte, 85% of his anticipated on-going total target direct compensation opportunity as outlined in his employment agreement is at-risk and shown below. Mr. De Witte's $2,000,000 initial equity award at hire is excluded from his on-going total target direct compensation. On average, percentage of target total direct compensation for our named executive officers other than Mr. Arduini that is at-risk is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611505</wp:posOffset>
            </wp:positionV>
            <wp:extent cx="5657850" cy="1920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E8D54"/>
        </w:rPr>
        <w:t xml:space="preserve">The majority of total direct compensation for our named executive officers — 85% for our President and CEO and an average of 75% for our other named executive officers — is </w:t>
      </w:r>
      <w:r>
        <w:rPr>
          <w:rFonts w:ascii="Times New Roman" w:cs="Times New Roman" w:eastAsia="Times New Roman" w:hAnsi="Times New Roman"/>
          <w:sz w:val="18"/>
          <w:szCs w:val="18"/>
          <w:b w:val="1"/>
          <w:bCs w:val="1"/>
          <w:color w:val="2E8D54"/>
        </w:rPr>
        <w:t>“at-risk” based on the achievement of specific performance goals and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-1153795</wp:posOffset>
            </wp:positionV>
            <wp:extent cx="2314575" cy="1268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14575" cy="1268730"/>
                    </a:xfrm>
                    <a:prstGeom prst="rect">
                      <a:avLst/>
                    </a:prstGeom>
                    <a:noFill/>
                  </pic:spPr>
                </pic:pic>
              </a:graphicData>
            </a:graphic>
          </wp:anchor>
        </w:drawing>
      </w:r>
    </w:p>
    <w:p>
      <w:pPr>
        <w:sectPr>
          <w:pgSz w:w="11900" w:h="16838" w:orient="portrait"/>
          <w:cols w:equalWidth="0" w:num="2">
            <w:col w:w="7480" w:space="220"/>
            <w:col w:w="3320"/>
          </w:cols>
          <w:pgMar w:left="320" w:top="428" w:right="5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ALIGNING PAY WITH PERFORMANCE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2021, the performance-based components of our executive compensation program were designed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777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pacing w:after="0" w:line="221" w:lineRule="exact"/>
        <w:rPr>
          <w:sz w:val="20"/>
          <w:szCs w:val="20"/>
          <w:color w:val="auto"/>
        </w:rPr>
      </w:pPr>
    </w:p>
    <w:tbl>
      <w:tblPr>
        <w:tblLayout w:type="fixed"/>
        <w:tblInd w:w="1520" w:type="dxa"/>
        <w:tblCellMar>
          <w:top w:w="0" w:type="dxa"/>
          <w:left w:w="0" w:type="dxa"/>
          <w:bottom w:w="0" w:type="dxa"/>
          <w:right w:w="0" w:type="dxa"/>
        </w:tblCellMar>
      </w:tblPr>
      <w:tr>
        <w:trPr>
          <w:trHeight w:val="190"/>
        </w:trPr>
        <w:tc>
          <w:tcPr>
            <w:tcW w:w="322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2E8D54"/>
              </w:rPr>
              <w:t>SHORT-TERM INCENTIVE</w:t>
            </w:r>
          </w:p>
        </w:tc>
        <w:tc>
          <w:tcPr>
            <w:tcW w:w="3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4"/>
              </w:rPr>
              <w:t>LONG-TERM INCENTIVE</w:t>
            </w: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4"/>
              </w:rPr>
              <w:t>LONG-TERM INCENTIVE</w:t>
            </w:r>
          </w:p>
        </w:tc>
      </w:tr>
      <w:tr>
        <w:trPr>
          <w:trHeight w:val="23"/>
        </w:trPr>
        <w:tc>
          <w:tcPr>
            <w:tcW w:w="32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3220" w:type="dxa"/>
            <w:vAlign w:val="bottom"/>
          </w:tcPr>
          <w:p>
            <w:pPr>
              <w:jc w:val="center"/>
              <w:ind w:left="19"/>
              <w:spacing w:after="0"/>
              <w:rPr>
                <w:sz w:val="20"/>
                <w:szCs w:val="20"/>
                <w:color w:val="auto"/>
              </w:rPr>
            </w:pPr>
            <w:r>
              <w:rPr>
                <w:rFonts w:ascii="Times New Roman" w:cs="Times New Roman" w:eastAsia="Times New Roman" w:hAnsi="Times New Roman"/>
                <w:sz w:val="18"/>
                <w:szCs w:val="18"/>
                <w:b w:val="1"/>
                <w:bCs w:val="1"/>
                <w:color w:val="auto"/>
                <w:w w:val="98"/>
              </w:rPr>
              <w:t>Annual Bonus</w:t>
            </w:r>
          </w:p>
        </w:tc>
        <w:tc>
          <w:tcPr>
            <w:tcW w:w="3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Performance-based Equity</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Time-based Equity</w:t>
            </w:r>
          </w:p>
        </w:tc>
      </w:tr>
    </w:tbl>
    <w:p>
      <w:pPr>
        <w:spacing w:after="0" w:line="32" w:lineRule="exact"/>
        <w:rPr>
          <w:sz w:val="20"/>
          <w:szCs w:val="20"/>
          <w:color w:val="auto"/>
        </w:rPr>
      </w:pPr>
    </w:p>
    <w:p>
      <w:pPr>
        <w:sectPr>
          <w:pgSz w:w="11900" w:h="16838" w:orient="portrait"/>
          <w:cols w:equalWidth="0" w:num="1">
            <w:col w:w="11240"/>
          </w:cols>
          <w:pgMar w:left="320" w:top="428" w:right="339" w:bottom="1440" w:gutter="0" w:footer="0" w:header="0"/>
        </w:sectPr>
      </w:pPr>
    </w:p>
    <w:p>
      <w:pPr>
        <w:ind w:left="20"/>
        <w:spacing w:after="0"/>
        <w:tabs>
          <w:tab w:leader="none" w:pos="1520" w:val="left"/>
        </w:tabs>
        <w:rPr>
          <w:sz w:val="20"/>
          <w:szCs w:val="20"/>
          <w:color w:val="auto"/>
        </w:rPr>
      </w:pPr>
      <w:r>
        <w:rPr>
          <w:rFonts w:ascii="Times New Roman" w:cs="Times New Roman" w:eastAsia="Times New Roman" w:hAnsi="Times New Roman"/>
          <w:sz w:val="17"/>
          <w:szCs w:val="17"/>
          <w:b w:val="1"/>
          <w:bCs w:val="1"/>
          <w:color w:val="auto"/>
        </w:rPr>
        <w:t>Objective</w:t>
      </w:r>
      <w:r>
        <w:rPr>
          <w:sz w:val="20"/>
          <w:szCs w:val="20"/>
          <w:color w:val="auto"/>
        </w:rPr>
        <w:tab/>
      </w:r>
      <w:r>
        <w:rPr>
          <w:rFonts w:ascii="Times New Roman" w:cs="Times New Roman" w:eastAsia="Times New Roman" w:hAnsi="Times New Roman"/>
          <w:sz w:val="17"/>
          <w:szCs w:val="17"/>
          <w:color w:val="auto"/>
        </w:rPr>
        <w:t>Reward achievement of short-term (annual)</w:t>
      </w:r>
    </w:p>
    <w:p>
      <w:pPr>
        <w:spacing w:after="0" w:line="5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corporate performance goals</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Times New Roman" w:cs="Times New Roman" w:eastAsia="Times New Roman" w:hAnsi="Times New Roman"/>
          <w:sz w:val="18"/>
          <w:szCs w:val="18"/>
          <w:color w:val="auto"/>
        </w:rPr>
        <w:t>Reward exceptional long-term financial Reinforce ownership in the Company with results and drive stockholder value creation a focus to increase stockholder value over</w:t>
      </w:r>
    </w:p>
    <w:p>
      <w:pPr>
        <w:ind w:left="3200"/>
        <w:spacing w:after="0"/>
        <w:rPr>
          <w:sz w:val="20"/>
          <w:szCs w:val="20"/>
          <w:color w:val="auto"/>
        </w:rPr>
      </w:pPr>
      <w:r>
        <w:rPr>
          <w:rFonts w:ascii="Times New Roman" w:cs="Times New Roman" w:eastAsia="Times New Roman" w:hAnsi="Times New Roman"/>
          <w:sz w:val="18"/>
          <w:szCs w:val="18"/>
          <w:color w:val="auto"/>
        </w:rPr>
        <w:t>the long term and support retention of</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executives</w:t>
      </w:r>
    </w:p>
    <w:p>
      <w:pPr>
        <w:spacing w:after="0" w:line="41" w:lineRule="exact"/>
        <w:rPr>
          <w:sz w:val="20"/>
          <w:szCs w:val="20"/>
          <w:color w:val="auto"/>
        </w:rPr>
      </w:pPr>
    </w:p>
    <w:p>
      <w:pPr>
        <w:sectPr>
          <w:pgSz w:w="11900" w:h="16838" w:orient="portrait"/>
          <w:cols w:equalWidth="0" w:num="2">
            <w:col w:w="4680" w:space="180"/>
            <w:col w:w="6380"/>
          </w:cols>
          <w:pgMar w:left="320" w:top="428" w:right="339" w:bottom="1440" w:gutter="0" w:footer="0" w:header="0"/>
          <w:type w:val="continuous"/>
        </w:sectPr>
      </w:pPr>
    </w:p>
    <w:tbl>
      <w:tblPr>
        <w:tblLayout w:type="fixed"/>
        <w:tblInd w:w="20" w:type="dxa"/>
        <w:tblCellMar>
          <w:top w:w="0" w:type="dxa"/>
          <w:left w:w="0" w:type="dxa"/>
          <w:bottom w:w="0" w:type="dxa"/>
          <w:right w:w="0" w:type="dxa"/>
        </w:tblCellMar>
      </w:tblPr>
      <w:tr>
        <w:trPr>
          <w:trHeight w:val="25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23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Cash</w:t>
            </w:r>
          </w:p>
        </w:tc>
        <w:tc>
          <w:tcPr>
            <w:tcW w:w="444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color w:val="auto"/>
                <w:w w:val="99"/>
              </w:rPr>
              <w:t>Performance Stock Units (PSUs) (~60%)</w:t>
            </w: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2380" w:type="dxa"/>
            <w:vAlign w:val="bottom"/>
          </w:tcPr>
          <w:p>
            <w:pPr>
              <w:spacing w:after="0"/>
              <w:rPr>
                <w:sz w:val="9"/>
                <w:szCs w:val="9"/>
                <w:color w:val="auto"/>
              </w:rPr>
            </w:pPr>
          </w:p>
        </w:tc>
        <w:tc>
          <w:tcPr>
            <w:tcW w:w="4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4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Non-qualified Stock Options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20"/>
        <w:spacing w:after="0" w:line="282" w:lineRule="auto"/>
        <w:rPr>
          <w:sz w:val="20"/>
          <w:szCs w:val="20"/>
          <w:color w:val="auto"/>
        </w:rPr>
      </w:pPr>
      <w:r>
        <w:rPr>
          <w:rFonts w:ascii="Times New Roman" w:cs="Times New Roman" w:eastAsia="Times New Roman" w:hAnsi="Times New Roman"/>
          <w:sz w:val="18"/>
          <w:szCs w:val="18"/>
          <w:color w:val="auto"/>
        </w:rPr>
        <w:t>Restricted Stock Units (RSUs) (20%) for CEO only</w:t>
      </w:r>
    </w:p>
    <w:p>
      <w:pPr>
        <w:spacing w:after="0" w:line="162"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8"/>
          <w:szCs w:val="18"/>
          <w:color w:val="auto"/>
        </w:rPr>
        <w:t>Restricted Stock (20%) for all other named executive officers</w:t>
      </w:r>
    </w:p>
    <w:p>
      <w:pPr>
        <w:spacing w:after="0" w:line="1" w:lineRule="exact"/>
        <w:rPr>
          <w:sz w:val="20"/>
          <w:szCs w:val="20"/>
          <w:color w:val="auto"/>
        </w:rPr>
      </w:pPr>
    </w:p>
    <w:p>
      <w:pPr>
        <w:sectPr>
          <w:pgSz w:w="11900" w:h="16838" w:orient="portrait"/>
          <w:cols w:equalWidth="0" w:num="2">
            <w:col w:w="7820" w:space="240"/>
            <w:col w:w="3180"/>
          </w:cols>
          <w:pgMar w:left="320" w:top="428" w:right="339" w:bottom="1440" w:gutter="0" w:footer="0" w:header="0"/>
          <w:type w:val="continuous"/>
        </w:sectPr>
      </w:pPr>
    </w:p>
    <w:tbl>
      <w:tblPr>
        <w:tblLayout w:type="fixed"/>
        <w:tblInd w:w="0" w:type="dxa"/>
        <w:tblCellMar>
          <w:top w:w="0" w:type="dxa"/>
          <w:left w:w="0" w:type="dxa"/>
          <w:bottom w:w="0" w:type="dxa"/>
          <w:right w:w="0" w:type="dxa"/>
        </w:tblCellMar>
      </w:tblPr>
      <w:tr>
        <w:trPr>
          <w:trHeight w:val="292"/>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Time Horizon</w:t>
            </w:r>
          </w:p>
        </w:tc>
        <w:tc>
          <w:tcPr>
            <w:tcW w:w="33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1 Year</w:t>
            </w:r>
          </w:p>
        </w:tc>
        <w:tc>
          <w:tcPr>
            <w:tcW w:w="36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3</w:t>
            </w:r>
          </w:p>
        </w:tc>
        <w:tc>
          <w:tcPr>
            <w:tcW w:w="26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Years (PSU)</w:t>
            </w:r>
          </w:p>
        </w:tc>
        <w:tc>
          <w:tcPr>
            <w:tcW w:w="3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3 Years</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54"/>
        </w:trPr>
        <w:tc>
          <w:tcPr>
            <w:tcW w:w="1320" w:type="dxa"/>
            <w:vAlign w:val="bottom"/>
          </w:tcPr>
          <w:p>
            <w:pPr>
              <w:spacing w:after="0"/>
              <w:rPr>
                <w:sz w:val="4"/>
                <w:szCs w:val="4"/>
                <w:color w:val="auto"/>
              </w:rPr>
            </w:pPr>
          </w:p>
        </w:tc>
        <w:tc>
          <w:tcPr>
            <w:tcW w:w="330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2640" w:type="dxa"/>
            <w:vAlign w:val="bottom"/>
            <w:vMerge w:val="continue"/>
          </w:tcPr>
          <w:p>
            <w:pPr>
              <w:spacing w:after="0"/>
              <w:rPr>
                <w:sz w:val="4"/>
                <w:szCs w:val="4"/>
                <w:color w:val="auto"/>
              </w:rPr>
            </w:pPr>
          </w:p>
        </w:tc>
        <w:tc>
          <w:tcPr>
            <w:tcW w:w="3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 (Stock Options)</w:t>
            </w: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3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330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Revenue — 40% weighting</w:t>
            </w:r>
          </w:p>
        </w:tc>
        <w:tc>
          <w:tcPr>
            <w:tcW w:w="3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Annual organic revenue growth</w:t>
            </w:r>
            <w:r>
              <w:rPr>
                <w:rFonts w:ascii="Times New Roman" w:cs="Times New Roman" w:eastAsia="Times New Roman" w:hAnsi="Times New Roman"/>
                <w:sz w:val="23"/>
                <w:szCs w:val="23"/>
                <w:color w:val="auto"/>
                <w:vertAlign w:val="superscript"/>
              </w:rPr>
              <w:t>3</w:t>
            </w:r>
          </w:p>
        </w:tc>
        <w:tc>
          <w:tcPr>
            <w:tcW w:w="362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Stock price appreciation</w:t>
            </w:r>
          </w:p>
        </w:tc>
        <w:tc>
          <w:tcPr>
            <w:tcW w:w="0" w:type="dxa"/>
            <w:vAlign w:val="bottom"/>
          </w:tcPr>
          <w:p>
            <w:pPr>
              <w:spacing w:after="0"/>
              <w:rPr>
                <w:sz w:val="1"/>
                <w:szCs w:val="1"/>
                <w:color w:val="auto"/>
              </w:rPr>
            </w:pPr>
          </w:p>
        </w:tc>
      </w:tr>
      <w:tr>
        <w:trPr>
          <w:trHeight w:val="181"/>
        </w:trPr>
        <w:tc>
          <w:tcPr>
            <w:tcW w:w="1320" w:type="dxa"/>
            <w:vAlign w:val="bottom"/>
          </w:tcPr>
          <w:p>
            <w:pPr>
              <w:spacing w:after="0"/>
              <w:rPr>
                <w:sz w:val="15"/>
                <w:szCs w:val="15"/>
                <w:color w:val="auto"/>
              </w:rPr>
            </w:pPr>
          </w:p>
        </w:tc>
        <w:tc>
          <w:tcPr>
            <w:tcW w:w="3300" w:type="dxa"/>
            <w:vAlign w:val="bottom"/>
            <w:vMerge w:val="continue"/>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1320" w:type="dxa"/>
            <w:vAlign w:val="bottom"/>
          </w:tcPr>
          <w:p>
            <w:pPr>
              <w:spacing w:after="0"/>
              <w:rPr>
                <w:sz w:val="24"/>
                <w:szCs w:val="24"/>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 40% weighting</w:t>
            </w:r>
          </w:p>
        </w:tc>
        <w:tc>
          <w:tcPr>
            <w:tcW w:w="3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price appreciation</w:t>
            </w:r>
          </w:p>
        </w:tc>
        <w:tc>
          <w:tcPr>
            <w:tcW w:w="36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Continued employment</w:t>
            </w:r>
          </w:p>
        </w:tc>
        <w:tc>
          <w:tcPr>
            <w:tcW w:w="0" w:type="dxa"/>
            <w:vAlign w:val="bottom"/>
          </w:tcPr>
          <w:p>
            <w:pPr>
              <w:spacing w:after="0"/>
              <w:rPr>
                <w:sz w:val="1"/>
                <w:szCs w:val="1"/>
                <w:color w:val="auto"/>
              </w:rPr>
            </w:pPr>
          </w:p>
        </w:tc>
      </w:tr>
      <w:tr>
        <w:trPr>
          <w:trHeight w:val="255"/>
        </w:trPr>
        <w:tc>
          <w:tcPr>
            <w:tcW w:w="1320" w:type="dxa"/>
            <w:vAlign w:val="bottom"/>
          </w:tcPr>
          <w:p>
            <w:pPr>
              <w:spacing w:after="0"/>
              <w:rPr>
                <w:sz w:val="22"/>
                <w:szCs w:val="22"/>
                <w:color w:val="auto"/>
              </w:rPr>
            </w:pPr>
          </w:p>
        </w:tc>
        <w:tc>
          <w:tcPr>
            <w:tcW w:w="3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 — 20% weighting</w:t>
            </w:r>
          </w:p>
        </w:tc>
        <w:tc>
          <w:tcPr>
            <w:tcW w:w="36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132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00" w:right="20" w:hanging="492"/>
        <w:spacing w:after="0" w:line="229" w:lineRule="auto"/>
        <w:tabs>
          <w:tab w:leader="none" w:pos="491"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Mr. De Witte, RSUs vest annually over three years with a deferral feature that provides that the award will be paid within 30 days following the six-month anniversary of his departure from the Company.</w:t>
      </w:r>
    </w:p>
    <w:p>
      <w:pPr>
        <w:spacing w:after="0" w:line="36" w:lineRule="exact"/>
        <w:rPr>
          <w:sz w:val="20"/>
          <w:szCs w:val="20"/>
          <w:color w:val="auto"/>
        </w:rPr>
      </w:pPr>
    </w:p>
    <w:p>
      <w:pPr>
        <w:jc w:val="both"/>
        <w:ind w:left="500" w:hanging="492"/>
        <w:spacing w:after="0" w:line="241" w:lineRule="auto"/>
        <w:tabs>
          <w:tab w:leader="none" w:pos="491"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discontinued product lines charges; (iv) EU Medical Device Regulation-related charges; (v) COVID-19 related charges; (vi) convertible debt non-cash interest; (vii) intangible asset amortization expense; and, (viii) income tax impact from adjustments.</w:t>
      </w:r>
    </w:p>
    <w:p>
      <w:pPr>
        <w:spacing w:after="0" w:line="37" w:lineRule="exact"/>
        <w:rPr>
          <w:sz w:val="20"/>
          <w:szCs w:val="20"/>
          <w:color w:val="auto"/>
        </w:rPr>
      </w:pPr>
    </w:p>
    <w:p>
      <w:pPr>
        <w:ind w:left="500" w:hanging="492"/>
        <w:spacing w:after="0" w:line="229" w:lineRule="auto"/>
        <w:tabs>
          <w:tab w:leader="none" w:pos="491"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Organic revenue consists of total revenues excluding the effects of currency exchange rates, revenues from current-period acquisitions and product divestitures and discontinuances. Organic revenue growth is the increase in organic revenue compared to the prior year’s organic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428" w:right="339" w:bottom="1440" w:gutter="0" w:footer="0" w:header="0"/>
          <w:type w:val="continuous"/>
        </w:sectPr>
      </w:pPr>
    </w:p>
    <w:bookmarkStart w:id="36" w:name="page37"/>
    <w:bookmarkEnd w:id="3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COMPENSATION BEST PRACTICES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Compensation Committee applies a number of corporate governance features related to executive compensation, which are summarized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these mechanisms help to ensure alignment of executive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3471545" cy="3677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71545" cy="3677285"/>
                    </a:xfrm>
                    <a:prstGeom prst="rect">
                      <a:avLst/>
                    </a:prstGeom>
                    <a:noFill/>
                  </pic:spPr>
                </pic:pic>
              </a:graphicData>
            </a:graphic>
          </wp:anchor>
        </w:drawing>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Borders>
              <w:top w:val="single" w:sz="8" w:color="auto"/>
              <w:bottom w:val="single" w:sz="8" w:color="F2F2F2"/>
            </w:tcBorders>
            <w:shd w:val="clear" w:color="auto" w:fill="F2F2F2"/>
          </w:tcPr>
          <w:p>
            <w:pPr>
              <w:spacing w:after="0"/>
              <w:rPr>
                <w:sz w:val="19"/>
                <w:szCs w:val="19"/>
                <w:color w:val="auto"/>
              </w:rPr>
            </w:pPr>
          </w:p>
        </w:tc>
        <w:tc>
          <w:tcPr>
            <w:tcW w:w="5020" w:type="dxa"/>
            <w:vAlign w:val="bottom"/>
            <w:tcBorders>
              <w:top w:val="single" w:sz="8" w:color="auto"/>
              <w:bottom w:val="single" w:sz="8" w:color="F2F2F2"/>
            </w:tcBorders>
            <w:shd w:val="clear" w:color="auto" w:fill="F2F2F2"/>
          </w:tcPr>
          <w:p>
            <w:pPr>
              <w:ind w:left="2020"/>
              <w:spacing w:after="0"/>
              <w:rPr>
                <w:sz w:val="20"/>
                <w:szCs w:val="20"/>
                <w:color w:val="auto"/>
              </w:rPr>
            </w:pPr>
            <w:r>
              <w:rPr>
                <w:rFonts w:ascii="Times New Roman" w:cs="Times New Roman" w:eastAsia="Times New Roman" w:hAnsi="Times New Roman"/>
                <w:sz w:val="14"/>
                <w:szCs w:val="14"/>
                <w:b w:val="1"/>
                <w:bCs w:val="1"/>
                <w:color w:val="2E8D52"/>
              </w:rPr>
              <w:t>WHAT WE DO</w:t>
            </w:r>
          </w:p>
        </w:tc>
        <w:tc>
          <w:tcPr>
            <w:tcW w:w="240" w:type="dxa"/>
            <w:vAlign w:val="bottom"/>
            <w:tcBorders>
              <w:top w:val="single" w:sz="8" w:color="F2F2F2"/>
              <w:bottom w:val="single" w:sz="8" w:color="F2F2F2"/>
            </w:tcBorders>
            <w:shd w:val="clear" w:color="auto" w:fill="F2F2F2"/>
          </w:tcPr>
          <w:p>
            <w:pPr>
              <w:spacing w:after="0"/>
              <w:rPr>
                <w:sz w:val="19"/>
                <w:szCs w:val="19"/>
                <w:color w:val="auto"/>
              </w:rPr>
            </w:pPr>
          </w:p>
        </w:tc>
        <w:tc>
          <w:tcPr>
            <w:tcW w:w="320" w:type="dxa"/>
            <w:vAlign w:val="bottom"/>
            <w:tcBorders>
              <w:top w:val="single" w:sz="8" w:color="auto"/>
              <w:bottom w:val="single" w:sz="8" w:color="F2F2F2"/>
            </w:tcBorders>
            <w:shd w:val="clear" w:color="auto" w:fill="F2F2F2"/>
          </w:tcPr>
          <w:p>
            <w:pPr>
              <w:spacing w:after="0"/>
              <w:rPr>
                <w:sz w:val="19"/>
                <w:szCs w:val="19"/>
                <w:color w:val="auto"/>
              </w:rPr>
            </w:pPr>
          </w:p>
        </w:tc>
        <w:tc>
          <w:tcPr>
            <w:tcW w:w="5180" w:type="dxa"/>
            <w:vAlign w:val="bottom"/>
            <w:tcBorders>
              <w:top w:val="single" w:sz="8" w:color="auto"/>
              <w:bottom w:val="single" w:sz="8" w:color="F2F2F2"/>
            </w:tcBorders>
            <w:shd w:val="clear" w:color="auto" w:fill="F2F2F2"/>
          </w:tcPr>
          <w:p>
            <w:pPr>
              <w:ind w:left="1940"/>
              <w:spacing w:after="0"/>
              <w:rPr>
                <w:sz w:val="20"/>
                <w:szCs w:val="20"/>
                <w:color w:val="auto"/>
              </w:rPr>
            </w:pPr>
            <w:r>
              <w:rPr>
                <w:rFonts w:ascii="Times New Roman" w:cs="Times New Roman" w:eastAsia="Times New Roman" w:hAnsi="Times New Roman"/>
                <w:sz w:val="14"/>
                <w:szCs w:val="14"/>
                <w:b w:val="1"/>
                <w:bCs w:val="1"/>
                <w:color w:val="2E8D52"/>
                <w:shd w:val="clear" w:color="auto" w:fill="F2F2F2"/>
              </w:rPr>
              <w:t>WHAT WE DON’T DO</w:t>
            </w:r>
          </w:p>
        </w:tc>
      </w:tr>
      <w:tr>
        <w:trPr>
          <w:trHeight w:val="218"/>
        </w:trPr>
        <w:tc>
          <w:tcPr>
            <w:tcW w:w="460" w:type="dxa"/>
            <w:vAlign w:val="bottom"/>
            <w:tcBorders>
              <w:top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Deliver executive compensation primarily through performance-</w:t>
            </w:r>
          </w:p>
        </w:tc>
        <w:tc>
          <w:tcPr>
            <w:tcW w:w="240" w:type="dxa"/>
            <w:vAlign w:val="bottom"/>
            <w:tcBorders>
              <w:top w:val="single" w:sz="8" w:color="F2F2F2"/>
            </w:tcBorders>
            <w:shd w:val="clear" w:color="auto" w:fill="F2F2F2"/>
          </w:tcPr>
          <w:p>
            <w:pPr>
              <w:spacing w:after="0"/>
              <w:rPr>
                <w:sz w:val="18"/>
                <w:szCs w:val="18"/>
                <w:color w:val="auto"/>
              </w:rPr>
            </w:pPr>
          </w:p>
        </w:tc>
        <w:tc>
          <w:tcPr>
            <w:tcW w:w="320" w:type="dxa"/>
            <w:vAlign w:val="bottom"/>
            <w:tcBorders>
              <w:top w:val="single" w:sz="8" w:color="auto"/>
            </w:tcBorders>
            <w:shd w:val="clear" w:color="auto" w:fill="F2F2F2"/>
          </w:tcPr>
          <w:p>
            <w:pPr>
              <w:ind w:left="20"/>
              <w:spacing w:after="0" w:line="181" w:lineRule="exact"/>
              <w:rPr>
                <w:sz w:val="20"/>
                <w:szCs w:val="20"/>
                <w:color w:val="auto"/>
              </w:rPr>
            </w:pPr>
            <w:r>
              <w:rPr>
                <w:rFonts w:ascii="MS PGothic" w:cs="MS PGothic" w:eastAsia="MS PGothic" w:hAnsi="MS PGothic"/>
                <w:sz w:val="18"/>
                <w:szCs w:val="18"/>
                <w:color w:val="auto"/>
                <w:shd w:val="clear" w:color="auto" w:fill="909294"/>
              </w:rPr>
              <w:t>☒</w:t>
            </w:r>
          </w:p>
        </w:tc>
        <w:tc>
          <w:tcPr>
            <w:tcW w:w="5180" w:type="dxa"/>
            <w:vAlign w:val="bottom"/>
            <w:tcBorders>
              <w:top w:val="single" w:sz="8" w:color="auto"/>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No hedging or pledging of equity</w:t>
            </w:r>
          </w:p>
        </w:tc>
      </w:tr>
      <w:tr>
        <w:trPr>
          <w:trHeight w:val="261"/>
        </w:trPr>
        <w:tc>
          <w:tcPr>
            <w:tcW w:w="460" w:type="dxa"/>
            <w:vAlign w:val="bottom"/>
          </w:tcPr>
          <w:p>
            <w:pPr>
              <w:spacing w:after="0"/>
              <w:rPr>
                <w:sz w:val="22"/>
                <w:szCs w:val="22"/>
                <w:color w:val="auto"/>
              </w:rPr>
            </w:pPr>
          </w:p>
        </w:tc>
        <w:tc>
          <w:tcPr>
            <w:tcW w:w="502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based at-risk pay</w:t>
            </w:r>
          </w:p>
        </w:tc>
        <w:tc>
          <w:tcPr>
            <w:tcW w:w="240" w:type="dxa"/>
            <w:vAlign w:val="bottom"/>
            <w:tcBorders>
              <w:bottom w:val="single" w:sz="8" w:color="F2F2F2"/>
            </w:tcBorders>
            <w:shd w:val="clear" w:color="auto" w:fill="F2F2F2"/>
          </w:tcPr>
          <w:p>
            <w:pPr>
              <w:spacing w:after="0"/>
              <w:rPr>
                <w:sz w:val="22"/>
                <w:szCs w:val="22"/>
                <w:color w:val="auto"/>
              </w:rPr>
            </w:pPr>
          </w:p>
        </w:tc>
        <w:tc>
          <w:tcPr>
            <w:tcW w:w="320" w:type="dxa"/>
            <w:vAlign w:val="bottom"/>
            <w:tcBorders>
              <w:bottom w:val="single" w:sz="8" w:color="F2F2F2"/>
            </w:tcBorders>
            <w:shd w:val="clear" w:color="auto" w:fill="F2F2F2"/>
          </w:tcPr>
          <w:p>
            <w:pPr>
              <w:spacing w:after="0"/>
              <w:rPr>
                <w:sz w:val="22"/>
                <w:szCs w:val="22"/>
                <w:color w:val="auto"/>
              </w:rPr>
            </w:pPr>
          </w:p>
        </w:tc>
        <w:tc>
          <w:tcPr>
            <w:tcW w:w="5180" w:type="dxa"/>
            <w:vAlign w:val="bottom"/>
            <w:tcBorders>
              <w:bottom w:val="single" w:sz="8" w:color="F2F2F2"/>
            </w:tcBorders>
            <w:shd w:val="clear" w:color="auto" w:fill="F2F2F2"/>
          </w:tcPr>
          <w:p>
            <w:pPr>
              <w:spacing w:after="0"/>
              <w:rPr>
                <w:sz w:val="22"/>
                <w:szCs w:val="22"/>
                <w:color w:val="auto"/>
              </w:rPr>
            </w:pPr>
          </w:p>
        </w:tc>
      </w:tr>
      <w:tr>
        <w:trPr>
          <w:trHeight w:val="263"/>
        </w:trPr>
        <w:tc>
          <w:tcPr>
            <w:tcW w:w="460" w:type="dxa"/>
            <w:vAlign w:val="bottom"/>
            <w:tcBorders>
              <w:top w:val="single" w:sz="8" w:color="auto"/>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Maintain a peer group for benchmarking pay</w:t>
            </w:r>
          </w:p>
        </w:tc>
        <w:tc>
          <w:tcPr>
            <w:tcW w:w="240" w:type="dxa"/>
            <w:vAlign w:val="bottom"/>
            <w:tcBorders>
              <w:top w:val="single" w:sz="8" w:color="F2F2F2"/>
            </w:tcBorders>
            <w:shd w:val="clear" w:color="auto" w:fill="F2F2F2"/>
          </w:tcPr>
          <w:p>
            <w:pPr>
              <w:spacing w:after="0"/>
              <w:rPr>
                <w:sz w:val="22"/>
                <w:szCs w:val="22"/>
                <w:color w:val="auto"/>
              </w:rPr>
            </w:pPr>
          </w:p>
        </w:tc>
        <w:tc>
          <w:tcPr>
            <w:tcW w:w="320" w:type="dxa"/>
            <w:vAlign w:val="bottom"/>
            <w:tcBorders>
              <w:top w:val="single" w:sz="8" w:color="auto"/>
              <w:bottom w:val="single" w:sz="8" w:color="auto"/>
            </w:tcBorders>
            <w:shd w:val="clear" w:color="auto" w:fill="F2F2F2"/>
          </w:tcPr>
          <w:p>
            <w:pPr>
              <w:ind w:left="20"/>
              <w:spacing w:after="0" w:line="181" w:lineRule="exact"/>
              <w:rPr>
                <w:sz w:val="20"/>
                <w:szCs w:val="20"/>
                <w:color w:val="auto"/>
              </w:rPr>
            </w:pPr>
            <w:r>
              <w:rPr>
                <w:rFonts w:ascii="MS PGothic" w:cs="MS PGothic" w:eastAsia="MS PGothic" w:hAnsi="MS PGothic"/>
                <w:sz w:val="18"/>
                <w:szCs w:val="18"/>
                <w:color w:val="auto"/>
                <w:shd w:val="clear" w:color="auto" w:fill="909294"/>
              </w:rPr>
              <w:t>☒</w:t>
            </w:r>
          </w:p>
        </w:tc>
        <w:tc>
          <w:tcPr>
            <w:tcW w:w="5180" w:type="dxa"/>
            <w:vAlign w:val="bottom"/>
            <w:tcBorders>
              <w:top w:val="single" w:sz="8" w:color="auto"/>
              <w:bottom w:val="single" w:sz="8" w:color="auto"/>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No repricing of stock options</w:t>
            </w:r>
          </w:p>
        </w:tc>
      </w:tr>
      <w:tr>
        <w:trPr>
          <w:trHeight w:val="218"/>
        </w:trPr>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 challenging short- and long-term incentive objectives</w:t>
            </w:r>
          </w:p>
        </w:tc>
        <w:tc>
          <w:tcPr>
            <w:tcW w:w="240" w:type="dxa"/>
            <w:vAlign w:val="bottom"/>
          </w:tcPr>
          <w:p>
            <w:pPr>
              <w:spacing w:after="0"/>
              <w:rPr>
                <w:sz w:val="18"/>
                <w:szCs w:val="18"/>
                <w:color w:val="auto"/>
              </w:rPr>
            </w:pPr>
          </w:p>
        </w:tc>
        <w:tc>
          <w:tcPr>
            <w:tcW w:w="320" w:type="dxa"/>
            <w:vAlign w:val="bottom"/>
            <w:shd w:val="clear" w:color="auto" w:fill="F2F2F2"/>
          </w:tcPr>
          <w:p>
            <w:pPr>
              <w:ind w:left="20"/>
              <w:spacing w:after="0" w:line="181" w:lineRule="exact"/>
              <w:rPr>
                <w:sz w:val="20"/>
                <w:szCs w:val="20"/>
                <w:color w:val="auto"/>
              </w:rPr>
            </w:pPr>
            <w:r>
              <w:rPr>
                <w:rFonts w:ascii="MS PGothic" w:cs="MS PGothic" w:eastAsia="MS PGothic" w:hAnsi="MS PGothic"/>
                <w:sz w:val="18"/>
                <w:szCs w:val="18"/>
                <w:color w:val="auto"/>
                <w:shd w:val="clear" w:color="auto" w:fill="909294"/>
              </w:rPr>
              <w:t>☒</w:t>
            </w:r>
          </w:p>
        </w:tc>
        <w:tc>
          <w:tcPr>
            <w:tcW w:w="5180" w:type="dxa"/>
            <w:vAlign w:val="bottom"/>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No guarantees or minimums related to base salary increases, annual</w:t>
            </w:r>
          </w:p>
        </w:tc>
      </w:tr>
      <w:tr>
        <w:trPr>
          <w:trHeight w:val="261"/>
        </w:trPr>
        <w:tc>
          <w:tcPr>
            <w:tcW w:w="460" w:type="dxa"/>
            <w:vAlign w:val="bottom"/>
          </w:tcPr>
          <w:p>
            <w:pPr>
              <w:spacing w:after="0"/>
              <w:rPr>
                <w:sz w:val="22"/>
                <w:szCs w:val="22"/>
                <w:color w:val="auto"/>
              </w:rPr>
            </w:pPr>
          </w:p>
        </w:tc>
        <w:tc>
          <w:tcPr>
            <w:tcW w:w="5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Borders>
              <w:bottom w:val="single" w:sz="8" w:color="F2F2F2"/>
            </w:tcBorders>
            <w:shd w:val="clear" w:color="auto" w:fill="F2F2F2"/>
          </w:tcPr>
          <w:p>
            <w:pPr>
              <w:spacing w:after="0"/>
              <w:rPr>
                <w:sz w:val="22"/>
                <w:szCs w:val="22"/>
                <w:color w:val="auto"/>
              </w:rPr>
            </w:pPr>
          </w:p>
        </w:tc>
        <w:tc>
          <w:tcPr>
            <w:tcW w:w="5180" w:type="dxa"/>
            <w:vAlign w:val="bottom"/>
            <w:tcBorders>
              <w:bottom w:val="single" w:sz="8" w:color="F2F2F2"/>
            </w:tcBorders>
            <w:shd w:val="clear" w:color="auto" w:fill="F2F2F2"/>
          </w:tcPr>
          <w:p>
            <w:pPr>
              <w:ind w:left="160"/>
              <w:spacing w:after="0"/>
              <w:rPr>
                <w:sz w:val="20"/>
                <w:szCs w:val="20"/>
                <w:color w:val="auto"/>
              </w:rPr>
            </w:pPr>
            <w:r>
              <w:rPr>
                <w:rFonts w:ascii="Times New Roman" w:cs="Times New Roman" w:eastAsia="Times New Roman" w:hAnsi="Times New Roman"/>
                <w:sz w:val="18"/>
                <w:szCs w:val="18"/>
                <w:color w:val="auto"/>
              </w:rPr>
              <w:t>bonuses or equity grants</w:t>
            </w:r>
          </w:p>
        </w:tc>
      </w:tr>
      <w:tr>
        <w:trPr>
          <w:trHeight w:val="218"/>
        </w:trPr>
        <w:tc>
          <w:tcPr>
            <w:tcW w:w="460" w:type="dxa"/>
            <w:vAlign w:val="bottom"/>
            <w:tcBorders>
              <w:top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Place a cap on the annual bonus payments and PSUs earned that</w:t>
            </w:r>
          </w:p>
        </w:tc>
        <w:tc>
          <w:tcPr>
            <w:tcW w:w="240" w:type="dxa"/>
            <w:vAlign w:val="bottom"/>
          </w:tcPr>
          <w:p>
            <w:pPr>
              <w:spacing w:after="0"/>
              <w:rPr>
                <w:sz w:val="18"/>
                <w:szCs w:val="18"/>
                <w:color w:val="auto"/>
              </w:rPr>
            </w:pPr>
          </w:p>
        </w:tc>
        <w:tc>
          <w:tcPr>
            <w:tcW w:w="320" w:type="dxa"/>
            <w:vAlign w:val="bottom"/>
            <w:tcBorders>
              <w:top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shd w:val="clear" w:color="auto" w:fill="909294"/>
              </w:rPr>
              <w:t>☒</w:t>
            </w:r>
          </w:p>
        </w:tc>
        <w:tc>
          <w:tcPr>
            <w:tcW w:w="51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 duplication of long-term performance targets with our annual</w:t>
            </w:r>
          </w:p>
        </w:tc>
      </w:tr>
      <w:tr>
        <w:trPr>
          <w:trHeight w:val="234"/>
        </w:trPr>
        <w:tc>
          <w:tcPr>
            <w:tcW w:w="4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executives can receive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 targets</w:t>
            </w:r>
          </w:p>
        </w:tc>
      </w:tr>
      <w:tr>
        <w:trPr>
          <w:trHeight w:val="27"/>
        </w:trPr>
        <w:tc>
          <w:tcPr>
            <w:tcW w:w="4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18"/>
        </w:trPr>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Provide strong oversight that ensures adherence to equity grant</w:t>
            </w:r>
          </w:p>
        </w:tc>
        <w:tc>
          <w:tcPr>
            <w:tcW w:w="240" w:type="dxa"/>
            <w:vAlign w:val="bottom"/>
          </w:tcPr>
          <w:p>
            <w:pPr>
              <w:spacing w:after="0"/>
              <w:rPr>
                <w:sz w:val="18"/>
                <w:szCs w:val="18"/>
                <w:color w:val="auto"/>
              </w:rPr>
            </w:pP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909294"/>
              </w:rPr>
              <w:t>☒</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gross-ups in connection with a change in control</w:t>
            </w:r>
          </w:p>
        </w:tc>
      </w:tr>
      <w:tr>
        <w:trPr>
          <w:trHeight w:val="234"/>
        </w:trPr>
        <w:tc>
          <w:tcPr>
            <w:tcW w:w="4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18"/>
        </w:trPr>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Maintain a clawback policy for annual bonus and equity</w:t>
            </w:r>
          </w:p>
        </w:tc>
        <w:tc>
          <w:tcPr>
            <w:tcW w:w="240" w:type="dxa"/>
            <w:vAlign w:val="bottom"/>
          </w:tcPr>
          <w:p>
            <w:pPr>
              <w:spacing w:after="0"/>
              <w:rPr>
                <w:sz w:val="18"/>
                <w:szCs w:val="18"/>
                <w:color w:val="auto"/>
              </w:rPr>
            </w:pP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909294"/>
              </w:rPr>
              <w:t>☒</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excessive perquisites</w:t>
            </w:r>
          </w:p>
        </w:tc>
      </w:tr>
      <w:tr>
        <w:trPr>
          <w:trHeight w:val="234"/>
        </w:trPr>
        <w:tc>
          <w:tcPr>
            <w:tcW w:w="4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as well as an anti-hedging/pledging policy</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18"/>
        </w:trPr>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Require stock ownership by executives, with minimum ownership</w:t>
            </w:r>
          </w:p>
        </w:tc>
        <w:tc>
          <w:tcPr>
            <w:tcW w:w="240" w:type="dxa"/>
            <w:vAlign w:val="bottom"/>
          </w:tcPr>
          <w:p>
            <w:pPr>
              <w:spacing w:after="0"/>
              <w:rPr>
                <w:sz w:val="18"/>
                <w:szCs w:val="18"/>
                <w:color w:val="auto"/>
              </w:rPr>
            </w:pPr>
          </w:p>
        </w:tc>
        <w:tc>
          <w:tcPr>
            <w:tcW w:w="32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909294"/>
              </w:rPr>
              <w:t>☒</w:t>
            </w:r>
          </w:p>
        </w:tc>
        <w:tc>
          <w:tcPr>
            <w:tcW w:w="5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supplemental executive retirement plans</w:t>
            </w:r>
          </w:p>
        </w:tc>
      </w:tr>
      <w:tr>
        <w:trPr>
          <w:trHeight w:val="234"/>
        </w:trPr>
        <w:tc>
          <w:tcPr>
            <w:tcW w:w="460" w:type="dxa"/>
            <w:vAlign w:val="bottom"/>
          </w:tcPr>
          <w:p>
            <w:pPr>
              <w:spacing w:after="0"/>
              <w:rPr>
                <w:sz w:val="20"/>
                <w:szCs w:val="20"/>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levels defined by role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7"/>
        </w:trPr>
        <w:tc>
          <w:tcPr>
            <w:tcW w:w="4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76"/>
        </w:trPr>
        <w:tc>
          <w:tcPr>
            <w:tcW w:w="460" w:type="dxa"/>
            <w:vAlign w:val="bottom"/>
          </w:tcPr>
          <w:p>
            <w:pPr>
              <w:ind w:left="20"/>
              <w:spacing w:after="0" w:line="181" w:lineRule="exact"/>
              <w:rPr>
                <w:sz w:val="20"/>
                <w:szCs w:val="20"/>
                <w:color w:val="auto"/>
              </w:rPr>
            </w:pPr>
            <w:r>
              <w:rPr>
                <w:rFonts w:ascii="MS PGothic" w:cs="MS PGothic" w:eastAsia="MS PGothic" w:hAnsi="MS PGothic"/>
                <w:sz w:val="18"/>
                <w:szCs w:val="18"/>
                <w:color w:val="auto"/>
                <w:shd w:val="clear" w:color="auto" w:fill="2E8D52"/>
              </w:rPr>
              <w:t>☑</w:t>
            </w:r>
          </w:p>
        </w:tc>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Have double-trigger change-in-control arrangements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-1953260</wp:posOffset>
            </wp:positionV>
            <wp:extent cx="3643630" cy="3214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643630" cy="3214370"/>
                    </a:xfrm>
                    <a:prstGeom prst="rect">
                      <a:avLst/>
                    </a:prstGeom>
                    <a:noFill/>
                  </pic:spPr>
                </pic:pic>
              </a:graphicData>
            </a:graphic>
          </wp:anchor>
        </w:drawing>
      </w:r>
    </w:p>
    <w:p>
      <w:pPr>
        <w:ind w:left="480" w:right="6100" w:hanging="454"/>
        <w:spacing w:after="0" w:line="265" w:lineRule="auto"/>
        <w:tabs>
          <w:tab w:leader="none" w:pos="480" w:val="left"/>
        </w:tabs>
        <w:numPr>
          <w:ilvl w:val="0"/>
          <w:numId w:val="20"/>
        </w:numPr>
        <w:rPr>
          <w:rFonts w:ascii="MS PGothic" w:cs="MS PGothic" w:eastAsia="MS PGothic" w:hAnsi="MS PGothic"/>
          <w:sz w:val="18"/>
          <w:szCs w:val="18"/>
          <w:color w:val="auto"/>
          <w:shd w:val="clear" w:color="auto" w:fill="2E8D52"/>
        </w:rPr>
      </w:pPr>
      <w:r>
        <w:rPr>
          <w:rFonts w:ascii="Times New Roman" w:cs="Times New Roman" w:eastAsia="Times New Roman" w:hAnsi="Times New Roman"/>
          <w:sz w:val="18"/>
          <w:szCs w:val="18"/>
          <w:color w:val="auto"/>
        </w:rPr>
        <w:t>Conduct an annual risk assessment to mitigate any compensation program-related risk having a material adverse effect on the Company</w:t>
      </w:r>
    </w:p>
    <w:p>
      <w:pPr>
        <w:spacing w:after="0" w:line="29" w:lineRule="exact"/>
        <w:rPr>
          <w:rFonts w:ascii="MS PGothic" w:cs="MS PGothic" w:eastAsia="MS PGothic" w:hAnsi="MS PGothic"/>
          <w:sz w:val="18"/>
          <w:szCs w:val="18"/>
          <w:color w:val="auto"/>
          <w:shd w:val="clear" w:color="auto" w:fill="2E8D52"/>
        </w:rPr>
      </w:pPr>
    </w:p>
    <w:p>
      <w:pPr>
        <w:ind w:left="480" w:right="5920" w:hanging="454"/>
        <w:spacing w:after="0" w:line="272" w:lineRule="auto"/>
        <w:tabs>
          <w:tab w:leader="none" w:pos="480" w:val="left"/>
        </w:tabs>
        <w:numPr>
          <w:ilvl w:val="0"/>
          <w:numId w:val="20"/>
        </w:numPr>
        <w:rPr>
          <w:rFonts w:ascii="MS PGothic" w:cs="MS PGothic" w:eastAsia="MS PGothic" w:hAnsi="MS PGothic"/>
          <w:sz w:val="18"/>
          <w:szCs w:val="18"/>
          <w:color w:val="auto"/>
          <w:shd w:val="clear" w:color="auto" w:fill="2E8D52"/>
        </w:rPr>
      </w:pPr>
      <w:r>
        <w:rPr>
          <w:rFonts w:ascii="Times New Roman" w:cs="Times New Roman" w:eastAsia="Times New Roman" w:hAnsi="Times New Roman"/>
          <w:sz w:val="18"/>
          <w:szCs w:val="18"/>
          <w:color w:val="auto"/>
        </w:rPr>
        <w:t>Offer market-competitive benefits for executives that are consistent with the benefits provided to the rest of our employees</w:t>
      </w:r>
    </w:p>
    <w:p>
      <w:pPr>
        <w:spacing w:after="0" w:line="30" w:lineRule="exact"/>
        <w:rPr>
          <w:rFonts w:ascii="MS PGothic" w:cs="MS PGothic" w:eastAsia="MS PGothic" w:hAnsi="MS PGothic"/>
          <w:sz w:val="18"/>
          <w:szCs w:val="18"/>
          <w:color w:val="auto"/>
          <w:shd w:val="clear" w:color="auto" w:fill="2E8D52"/>
        </w:rPr>
      </w:pPr>
    </w:p>
    <w:p>
      <w:pPr>
        <w:ind w:left="480" w:right="5880" w:hanging="454"/>
        <w:spacing w:after="0" w:line="272" w:lineRule="auto"/>
        <w:tabs>
          <w:tab w:leader="none" w:pos="480" w:val="left"/>
        </w:tabs>
        <w:numPr>
          <w:ilvl w:val="0"/>
          <w:numId w:val="20"/>
        </w:numPr>
        <w:rPr>
          <w:rFonts w:ascii="MS PGothic" w:cs="MS PGothic" w:eastAsia="MS PGothic" w:hAnsi="MS PGothic"/>
          <w:sz w:val="18"/>
          <w:szCs w:val="18"/>
          <w:color w:val="auto"/>
          <w:shd w:val="clear" w:color="auto" w:fill="2E8D52"/>
        </w:rPr>
      </w:pPr>
      <w:r>
        <w:rPr>
          <w:rFonts w:ascii="Times New Roman" w:cs="Times New Roman" w:eastAsia="Times New Roman" w:hAnsi="Times New Roman"/>
          <w:sz w:val="18"/>
          <w:szCs w:val="18"/>
          <w:color w:val="auto"/>
        </w:rPr>
        <w:t>Consult with an independent consultant on compensation levels and practices</w:t>
      </w:r>
    </w:p>
    <w:p>
      <w:pPr>
        <w:spacing w:after="0" w:line="30" w:lineRule="exact"/>
        <w:rPr>
          <w:rFonts w:ascii="MS PGothic" w:cs="MS PGothic" w:eastAsia="MS PGothic" w:hAnsi="MS PGothic"/>
          <w:sz w:val="18"/>
          <w:szCs w:val="18"/>
          <w:color w:val="auto"/>
          <w:shd w:val="clear" w:color="auto" w:fill="2E8D52"/>
        </w:rPr>
      </w:pPr>
    </w:p>
    <w:p>
      <w:pPr>
        <w:ind w:left="480" w:hanging="454"/>
        <w:spacing w:after="0"/>
        <w:tabs>
          <w:tab w:leader="none" w:pos="480" w:val="left"/>
        </w:tabs>
        <w:numPr>
          <w:ilvl w:val="0"/>
          <w:numId w:val="20"/>
        </w:numPr>
        <w:rPr>
          <w:rFonts w:ascii="MS PGothic" w:cs="MS PGothic" w:eastAsia="MS PGothic" w:hAnsi="MS PGothic"/>
          <w:sz w:val="18"/>
          <w:szCs w:val="18"/>
          <w:color w:val="auto"/>
          <w:shd w:val="clear" w:color="auto" w:fill="2E8D52"/>
        </w:rPr>
      </w:pPr>
      <w:r>
        <w:rPr>
          <w:rFonts w:ascii="Times New Roman" w:cs="Times New Roman" w:eastAsia="Times New Roman" w:hAnsi="Times New Roman"/>
          <w:sz w:val="18"/>
          <w:szCs w:val="18"/>
          <w:color w:val="auto"/>
        </w:rPr>
        <w:t>Engage with stockholders regarding our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715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INPUT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105410</wp:posOffset>
            </wp:positionV>
            <wp:extent cx="2177415" cy="651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77415" cy="651510"/>
                    </a:xfrm>
                    <a:prstGeom prst="rect">
                      <a:avLst/>
                    </a:prstGeom>
                    <a:noFill/>
                  </pic:spPr>
                </pic:pic>
              </a:graphicData>
            </a:graphic>
          </wp:anchor>
        </w:drawing>
      </w:r>
    </w:p>
    <w:p>
      <w:pPr>
        <w:spacing w:after="0" w:line="169" w:lineRule="exact"/>
        <w:rPr>
          <w:sz w:val="20"/>
          <w:szCs w:val="20"/>
          <w:color w:val="auto"/>
        </w:rPr>
      </w:pPr>
    </w:p>
    <w:p>
      <w:pPr>
        <w:ind w:left="20" w:right="420" w:firstLine="486"/>
        <w:spacing w:after="0" w:line="181" w:lineRule="auto"/>
        <w:rPr>
          <w:sz w:val="20"/>
          <w:szCs w:val="20"/>
          <w:color w:val="auto"/>
        </w:rPr>
      </w:pPr>
      <w:r>
        <w:rPr>
          <w:rFonts w:ascii="Times New Roman" w:cs="Times New Roman" w:eastAsia="Times New Roman" w:hAnsi="Times New Roman"/>
          <w:sz w:val="15"/>
          <w:szCs w:val="15"/>
          <w:color w:val="auto"/>
        </w:rPr>
        <w:t xml:space="preserve">We value the opinions of our stockholders and regularly solicit input on our executive compensation </w:t>
      </w:r>
      <w:r>
        <w:rPr>
          <w:rFonts w:ascii="Times New Roman" w:cs="Times New Roman" w:eastAsia="Times New Roman" w:hAnsi="Times New Roman"/>
          <w:sz w:val="26"/>
          <w:szCs w:val="26"/>
          <w:color w:val="2E8D52"/>
          <w:vertAlign w:val="superscript"/>
        </w:rPr>
        <w:t>For our 2021 Say on Pay, approximately</w:t>
      </w:r>
      <w:r>
        <w:rPr>
          <w:rFonts w:ascii="Times New Roman" w:cs="Times New Roman" w:eastAsia="Times New Roman" w:hAnsi="Times New Roman"/>
          <w:sz w:val="15"/>
          <w:szCs w:val="15"/>
          <w:color w:val="auto"/>
        </w:rPr>
        <w:t xml:space="preserve"> program. In evaluating the design of our executive compensation and the compensation decisions for each </w:t>
      </w:r>
      <w:r>
        <w:rPr>
          <w:rFonts w:ascii="Times New Roman" w:cs="Times New Roman" w:eastAsia="Times New Roman" w:hAnsi="Times New Roman"/>
          <w:sz w:val="26"/>
          <w:szCs w:val="26"/>
          <w:b w:val="1"/>
          <w:bCs w:val="1"/>
          <w:color w:val="2E8D52"/>
          <w:vertAlign w:val="superscript"/>
        </w:rPr>
        <w:t>97.9% of the “say-on-pay” stockholder</w:t>
      </w:r>
    </w:p>
    <w:tbl>
      <w:tblPr>
        <w:tblLayout w:type="fixed"/>
        <w:tblInd w:w="20" w:type="dxa"/>
        <w:tblCellMar>
          <w:top w:w="0" w:type="dxa"/>
          <w:left w:w="0" w:type="dxa"/>
          <w:bottom w:w="0" w:type="dxa"/>
          <w:right w:w="0" w:type="dxa"/>
        </w:tblCellMar>
      </w:tblPr>
      <w:tr>
        <w:trPr>
          <w:trHeight w:val="256"/>
        </w:trPr>
        <w:tc>
          <w:tcPr>
            <w:tcW w:w="1122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xml:space="preserve">of our named executive officers, the Compensation Committee considers stockholder input including the </w:t>
            </w:r>
            <w:r>
              <w:rPr>
                <w:rFonts w:ascii="Times New Roman" w:cs="Times New Roman" w:eastAsia="Times New Roman" w:hAnsi="Times New Roman"/>
                <w:sz w:val="29"/>
                <w:szCs w:val="29"/>
                <w:b w:val="1"/>
                <w:bCs w:val="1"/>
                <w:color w:val="2E8D52"/>
                <w:vertAlign w:val="superscript"/>
              </w:rPr>
              <w:t>votes cast approved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9"/>
                <w:szCs w:val="29"/>
                <w:color w:val="2E8D52"/>
                <w:vertAlign w:val="superscript"/>
              </w:rPr>
              <w:t>the compensation for our</w:t>
            </w:r>
          </w:p>
        </w:tc>
        <w:tc>
          <w:tcPr>
            <w:tcW w:w="0" w:type="dxa"/>
            <w:vAlign w:val="bottom"/>
          </w:tcPr>
          <w:p>
            <w:pPr>
              <w:spacing w:after="0"/>
              <w:rPr>
                <w:sz w:val="1"/>
                <w:szCs w:val="1"/>
                <w:color w:val="auto"/>
              </w:rPr>
            </w:pPr>
          </w:p>
        </w:tc>
      </w:tr>
      <w:tr>
        <w:trPr>
          <w:trHeight w:val="216"/>
        </w:trPr>
        <w:tc>
          <w:tcPr>
            <w:tcW w:w="7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advisory “say-on-pay” vote at our annual meeting.</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2E8D52"/>
              </w:rPr>
              <w:t>named executive officers.</w:t>
            </w:r>
          </w:p>
        </w:tc>
        <w:tc>
          <w:tcPr>
            <w:tcW w:w="0" w:type="dxa"/>
            <w:vAlign w:val="bottom"/>
          </w:tcPr>
          <w:p>
            <w:pPr>
              <w:spacing w:after="0"/>
              <w:rPr>
                <w:sz w:val="1"/>
                <w:szCs w:val="1"/>
                <w:color w:val="auto"/>
              </w:rPr>
            </w:pPr>
          </w:p>
        </w:tc>
      </w:tr>
      <w:tr>
        <w:trPr>
          <w:trHeight w:val="54"/>
        </w:trPr>
        <w:tc>
          <w:tcPr>
            <w:tcW w:w="7800" w:type="dxa"/>
            <w:vAlign w:val="bottom"/>
            <w:vMerge w:val="continue"/>
          </w:tcPr>
          <w:p>
            <w:pPr>
              <w:spacing w:after="0"/>
              <w:rPr>
                <w:sz w:val="4"/>
                <w:szCs w:val="4"/>
                <w:color w:val="auto"/>
              </w:rPr>
            </w:pPr>
          </w:p>
        </w:tc>
        <w:tc>
          <w:tcPr>
            <w:tcW w:w="3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our 2021 Say on Pay, approximately 97.9% of the votes cast approved the compensation for our named executive officers. We believe this support resulted largely from the improvements we have made, and continue to make, to our executive compensation program and the positive effect they have had on the Company’s performance. The strong Say on Pay vote shows support for our current executive compensation design.</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Over the course of 2021, we gathered feedback with respect to our executive compensation program in a number of different settings. Integra’s management team engaged with stockholders representing over 50% of our outstanding shares by participating in 11 institutional investor events at which we discussed our strategic plans and growth prospects and held approximately 300 meetings with institutional investors. Through this engagement, we received feedback from stockholders on topics such as corporate strategy, governance and sustainability, as well as business and financial performance. Feedback from investors continues to highlight organic revenue growth as a key indicator for the strength of our business and a driver of stockholder value creation.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428" w:right="3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strengthen our pay-for-performance culture, the Compensation Committee considered our strong 2021 vote results and the feedback obtained from our investor outreach when making decisions relating to compensation for our named executive officers for 2021. Our philosophy is to use performance metrics that directly align with our business strategy and stockholder interests. Based on these factors, annual organic revenue growth has been used as our long-term incentive performance shares metric since 2018 and will continue to be the measure in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Compensation Committee reviews the executive compensation program for all named executive officers, as well as other executives within the Company, on an annual basis. While Integra management provides input, it is the responsibility of the Compensation Committee to evaluate and approve our executive compensation philosophy, plans, policies, programs and decisions.</w:t>
      </w:r>
    </w:p>
    <w:p>
      <w:pPr>
        <w:spacing w:after="0" w:line="68"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steps the Compensation Committee follows to ensure the total compensation for our named executive officers is competitive, appropriately tied to performance, and does not promote undue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071995" cy="28892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71995" cy="288925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E8D54"/>
          <w:shd w:val="clear" w:color="auto" w:fill="F2F2F2"/>
        </w:rPr>
        <w:t>STEP 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E8D54"/>
          <w:shd w:val="clear" w:color="auto" w:fill="F2F2F2"/>
        </w:rPr>
        <w:t>INPUT ON COMPENSATION</w:t>
      </w:r>
    </w:p>
    <w:p>
      <w:pPr>
        <w:spacing w:after="0" w:line="218"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8"/>
          <w:szCs w:val="18"/>
          <w:color w:val="auto"/>
        </w:rPr>
        <w:t xml:space="preserve">At the beginning of each year,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xml:space="preserve"> </w:t>
      </w:r>
      <w:r>
        <w:rPr>
          <w:rFonts w:ascii="Arial" w:cs="Arial" w:eastAsia="Arial" w:hAnsi="Arial"/>
          <w:sz w:val="35"/>
          <w:szCs w:val="35"/>
          <w:color w:val="auto"/>
          <w:vertAlign w:val="superscript"/>
        </w:rPr>
        <w:t>è</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including the President and CEO, provides recommendations </w:t>
      </w:r>
      <w:r>
        <w:rPr>
          <w:rFonts w:ascii="Times New Roman" w:cs="Times New Roman" w:eastAsia="Times New Roman" w:hAnsi="Times New Roman"/>
          <w:sz w:val="18"/>
          <w:szCs w:val="18"/>
          <w:color w:val="auto"/>
        </w:rPr>
        <w:t>to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regarding the compensation of the named executive officers. The CEO does not make recommendations on his own pay.</w:t>
      </w:r>
    </w:p>
    <w:p>
      <w:pPr>
        <w:spacing w:after="0" w:line="93" w:lineRule="exact"/>
        <w:rPr>
          <w:sz w:val="20"/>
          <w:szCs w:val="20"/>
          <w:color w:val="auto"/>
        </w:rPr>
      </w:pPr>
    </w:p>
    <w:p>
      <w:pPr>
        <w:ind w:left="20" w:right="180"/>
        <w:spacing w:after="0" w:line="273" w:lineRule="auto"/>
        <w:rPr>
          <w:sz w:val="20"/>
          <w:szCs w:val="20"/>
          <w:color w:val="auto"/>
        </w:rPr>
      </w:pPr>
      <w:r>
        <w:rPr>
          <w:rFonts w:ascii="Times New Roman" w:cs="Times New Roman" w:eastAsia="Times New Roman" w:hAnsi="Times New Roman"/>
          <w:sz w:val="17"/>
          <w:szCs w:val="17"/>
          <w:color w:val="auto"/>
        </w:rPr>
        <w:t xml:space="preserve">These recommendations take into consideration the </w:t>
      </w:r>
      <w:r>
        <w:rPr>
          <w:rFonts w:ascii="Times New Roman" w:cs="Times New Roman" w:eastAsia="Times New Roman" w:hAnsi="Times New Roman"/>
          <w:sz w:val="17"/>
          <w:szCs w:val="17"/>
          <w:b w:val="1"/>
          <w:bCs w:val="1"/>
          <w:color w:val="auto"/>
        </w:rPr>
        <w:t>competitive market pay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data provided by the Board’s independent consultant, </w:t>
      </w:r>
      <w:r>
        <w:rPr>
          <w:rFonts w:ascii="Times New Roman" w:cs="Times New Roman" w:eastAsia="Times New Roman" w:hAnsi="Times New Roman"/>
          <w:sz w:val="17"/>
          <w:szCs w:val="17"/>
          <w:color w:val="auto"/>
        </w:rPr>
        <w:t>as well as an evaluation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named executive officer’s role, performance and contributions to the Company’s results, as well as the individual’s long-term potential.</w:t>
      </w:r>
    </w:p>
    <w:p>
      <w:pPr>
        <w:spacing w:after="0" w:line="63" w:lineRule="exact"/>
        <w:rPr>
          <w:sz w:val="20"/>
          <w:szCs w:val="20"/>
          <w:color w:val="auto"/>
        </w:rPr>
      </w:pPr>
    </w:p>
    <w:p>
      <w:pPr>
        <w:ind w:left="20" w:right="260"/>
        <w:spacing w:after="0" w:line="282" w:lineRule="auto"/>
        <w:rPr>
          <w:sz w:val="20"/>
          <w:szCs w:val="20"/>
          <w:color w:val="auto"/>
        </w:rPr>
      </w:pPr>
      <w:r>
        <w:rPr>
          <w:rFonts w:ascii="Times New Roman" w:cs="Times New Roman" w:eastAsia="Times New Roman" w:hAnsi="Times New Roman"/>
          <w:sz w:val="18"/>
          <w:szCs w:val="18"/>
          <w:color w:val="auto"/>
        </w:rPr>
        <w:t>(See more below on the Board’s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1513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E8D54"/>
          <w:shd w:val="clear" w:color="auto" w:fill="F2F2F2"/>
        </w:rPr>
        <w:t>STEP 2:</w:t>
      </w:r>
    </w:p>
    <w:p>
      <w:pPr>
        <w:ind w:right="1360"/>
        <w:spacing w:after="0" w:line="229" w:lineRule="auto"/>
        <w:rPr>
          <w:sz w:val="20"/>
          <w:szCs w:val="20"/>
          <w:color w:val="auto"/>
        </w:rPr>
      </w:pPr>
      <w:r>
        <w:rPr>
          <w:rFonts w:ascii="Times New Roman" w:cs="Times New Roman" w:eastAsia="Times New Roman" w:hAnsi="Times New Roman"/>
          <w:sz w:val="14"/>
          <w:szCs w:val="14"/>
          <w:b w:val="1"/>
          <w:bCs w:val="1"/>
          <w:color w:val="2E8D54"/>
          <w:shd w:val="clear" w:color="auto" w:fill="F2F2F2"/>
        </w:rPr>
        <w:t>COMPENSATION COMMITTEE DECISIONS</w:t>
      </w:r>
    </w:p>
    <w:p>
      <w:pPr>
        <w:spacing w:after="0" w:line="11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shd w:val="clear" w:color="auto" w:fill="F2F2F2"/>
        </w:rPr>
        <w:t xml:space="preserve">The Compensation Committee considers these </w:t>
      </w:r>
      <w:r>
        <w:rPr>
          <w:rFonts w:ascii="Arial" w:cs="Arial" w:eastAsia="Arial" w:hAnsi="Arial"/>
          <w:sz w:val="35"/>
          <w:szCs w:val="35"/>
          <w:color w:val="auto"/>
          <w:vertAlign w:val="superscript"/>
        </w:rPr>
        <w:t>è</w:t>
      </w:r>
      <w:r>
        <w:rPr>
          <w:rFonts w:ascii="Times New Roman" w:cs="Times New Roman" w:eastAsia="Times New Roman" w:hAnsi="Times New Roman"/>
          <w:sz w:val="18"/>
          <w:szCs w:val="18"/>
          <w:color w:val="auto"/>
          <w:shd w:val="clear" w:color="auto" w:fill="F2F2F2"/>
        </w:rPr>
        <w:t xml:space="preserve"> recommendations together with the input of our independent compensation consultant and subsequently the </w:t>
      </w:r>
      <w:r>
        <w:rPr>
          <w:rFonts w:ascii="Times New Roman" w:cs="Times New Roman" w:eastAsia="Times New Roman" w:hAnsi="Times New Roman"/>
          <w:sz w:val="18"/>
          <w:szCs w:val="18"/>
          <w:b w:val="1"/>
          <w:bCs w:val="1"/>
          <w:color w:val="auto"/>
          <w:shd w:val="clear" w:color="auto" w:fill="F2F2F2"/>
        </w:rPr>
        <w:t>Compensation Committee</w:t>
      </w:r>
      <w:r>
        <w:rPr>
          <w:rFonts w:ascii="Times New Roman" w:cs="Times New Roman" w:eastAsia="Times New Roman" w:hAnsi="Times New Roman"/>
          <w:sz w:val="18"/>
          <w:szCs w:val="18"/>
          <w:color w:val="auto"/>
          <w:shd w:val="clear" w:color="auto" w:fill="F2F2F2"/>
        </w:rPr>
        <w:t xml:space="preserve"> </w:t>
      </w:r>
      <w:r>
        <w:rPr>
          <w:rFonts w:ascii="Times New Roman" w:cs="Times New Roman" w:eastAsia="Times New Roman" w:hAnsi="Times New Roman"/>
          <w:sz w:val="18"/>
          <w:szCs w:val="18"/>
          <w:b w:val="1"/>
          <w:bCs w:val="1"/>
          <w:color w:val="auto"/>
          <w:shd w:val="clear" w:color="auto" w:fill="F2F2F2"/>
        </w:rPr>
        <w:t>determines the named executive officers’ compensation, ensuring it is aligned with our compensation philosophy.</w:t>
      </w:r>
    </w:p>
    <w:p>
      <w:pPr>
        <w:spacing w:after="0" w:line="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shd w:val="clear" w:color="auto" w:fill="F2F2F2"/>
        </w:rPr>
        <w:t>All aspects of the CEO’s compensation are determined solely by the Compensation Committee, with input from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845820</wp:posOffset>
            </wp:positionV>
            <wp:extent cx="21602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E8D54"/>
        </w:rPr>
        <w:t>STEP 3:</w:t>
      </w:r>
    </w:p>
    <w:p>
      <w:pPr>
        <w:spacing w:after="0" w:line="19" w:lineRule="exact"/>
        <w:rPr>
          <w:sz w:val="20"/>
          <w:szCs w:val="20"/>
          <w:color w:val="auto"/>
        </w:rPr>
      </w:pPr>
    </w:p>
    <w:p>
      <w:pPr>
        <w:ind w:right="1460"/>
        <w:spacing w:after="0" w:line="278" w:lineRule="auto"/>
        <w:rPr>
          <w:sz w:val="20"/>
          <w:szCs w:val="20"/>
          <w:color w:val="auto"/>
        </w:rPr>
      </w:pPr>
      <w:r>
        <w:rPr>
          <w:rFonts w:ascii="Times New Roman" w:cs="Times New Roman" w:eastAsia="Times New Roman" w:hAnsi="Times New Roman"/>
          <w:sz w:val="14"/>
          <w:szCs w:val="14"/>
          <w:b w:val="1"/>
          <w:bCs w:val="1"/>
          <w:color w:val="2E8D54"/>
        </w:rPr>
        <w:t>COMPENSATION COMMITTEE OVERSIGHT</w:t>
      </w:r>
    </w:p>
    <w:p>
      <w:pPr>
        <w:spacing w:after="0" w:line="16" w:lineRule="exact"/>
        <w:rPr>
          <w:sz w:val="20"/>
          <w:szCs w:val="20"/>
          <w:color w:val="auto"/>
        </w:rPr>
      </w:pPr>
    </w:p>
    <w:p>
      <w:pPr>
        <w:ind w:right="680"/>
        <w:spacing w:after="0" w:line="317" w:lineRule="auto"/>
        <w:rPr>
          <w:sz w:val="20"/>
          <w:szCs w:val="20"/>
          <w:color w:val="auto"/>
        </w:rPr>
      </w:pPr>
      <w:r>
        <w:rPr>
          <w:rFonts w:ascii="Times New Roman" w:cs="Times New Roman" w:eastAsia="Times New Roman" w:hAnsi="Times New Roman"/>
          <w:sz w:val="17"/>
          <w:szCs w:val="17"/>
          <w:color w:val="auto"/>
        </w:rPr>
        <w:t xml:space="preserve">For the coming year, the </w:t>
      </w:r>
      <w:r>
        <w:rPr>
          <w:rFonts w:ascii="Times New Roman" w:cs="Times New Roman" w:eastAsia="Times New Roman" w:hAnsi="Times New Roman"/>
          <w:sz w:val="17"/>
          <w:szCs w:val="17"/>
          <w:b w:val="1"/>
          <w:bCs w:val="1"/>
          <w:color w:val="auto"/>
        </w:rPr>
        <w:t>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Committee reviews and approves:</w:t>
      </w:r>
    </w:p>
    <w:p>
      <w:pPr>
        <w:spacing w:after="0" w:line="28" w:lineRule="exact"/>
        <w:rPr>
          <w:sz w:val="20"/>
          <w:szCs w:val="20"/>
          <w:color w:val="auto"/>
        </w:rPr>
      </w:pPr>
    </w:p>
    <w:p>
      <w:pPr>
        <w:ind w:left="480" w:hanging="318"/>
        <w:spacing w:after="0"/>
        <w:tabs>
          <w:tab w:leader="none" w:pos="4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Objectives for the CEO</w:t>
      </w:r>
    </w:p>
    <w:p>
      <w:pPr>
        <w:spacing w:after="0" w:line="117" w:lineRule="exact"/>
        <w:rPr>
          <w:rFonts w:ascii="Times New Roman" w:cs="Times New Roman" w:eastAsia="Times New Roman" w:hAnsi="Times New Roman"/>
          <w:sz w:val="18"/>
          <w:szCs w:val="18"/>
          <w:color w:val="auto"/>
        </w:rPr>
      </w:pPr>
    </w:p>
    <w:p>
      <w:pPr>
        <w:ind w:left="480" w:right="520" w:hanging="318"/>
        <w:spacing w:after="0" w:line="266" w:lineRule="auto"/>
        <w:tabs>
          <w:tab w:leader="none" w:pos="4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pay target opportunities for annual bonus and long-term equity incentives</w:t>
      </w:r>
    </w:p>
    <w:p>
      <w:pPr>
        <w:spacing w:after="0" w:line="67" w:lineRule="exact"/>
        <w:rPr>
          <w:rFonts w:ascii="Times New Roman" w:cs="Times New Roman" w:eastAsia="Times New Roman" w:hAnsi="Times New Roman"/>
          <w:sz w:val="18"/>
          <w:szCs w:val="18"/>
          <w:color w:val="auto"/>
        </w:rPr>
      </w:pPr>
    </w:p>
    <w:p>
      <w:pPr>
        <w:ind w:left="480" w:right="580" w:hanging="318"/>
        <w:spacing w:after="0" w:line="282" w:lineRule="auto"/>
        <w:tabs>
          <w:tab w:leader="none" w:pos="4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metrics for the annual bonus and equity grants</w:t>
      </w:r>
    </w:p>
    <w:p>
      <w:pPr>
        <w:spacing w:after="0" w:line="54"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The Compensation Committee ensures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30480</wp:posOffset>
            </wp:positionV>
            <wp:extent cx="22377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377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520" w:space="280"/>
            <w:col w:w="3500" w:space="340"/>
            <w:col w:w="3600"/>
          </w:cols>
          <w:pgMar w:left="320" w:top="428" w:right="339" w:bottom="144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INDEPENDENT COMPENSATION CONSULTANT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Compensation Committee retains Willis Towers Watson as its independent executive compensation consultant. Willis Towers Watson provides market analyses and recommendations that inform the Committee’s decisions; provides updates on market trends and the regulatory environment as it relates to executive compensation; reviews various executive compensation proposals presented by management to the Compensation Committee; and works with the Compensation Committee to validate and strengthen the pay-for-performance relationship and alignment with stockholders.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rules of the Securities and Exchange Commission (“SEC”), the Committee has reviewed the SEC’s independence factors for compensation advisers and concluded that no conflict of interest exists that would prevent Willis Towers Watson from independently representing the Committee. In 2021, in addition to the executive compensation consulting services provided, Willis Towers Watson provided corporate risk and brokering services and additional rewards consulting services to the Company with total fees of $400,489.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428" w:right="339" w:bottom="1440" w:gutter="0" w:footer="0" w:header="0"/>
          <w:type w:val="continuous"/>
        </w:sectPr>
      </w:pPr>
    </w:p>
    <w:bookmarkStart w:id="38" w:name="page39"/>
    <w:bookmarkEnd w:id="38"/>
    <w:p>
      <w:pPr>
        <w:spacing w:after="0" w:line="234" w:lineRule="auto"/>
        <w:framePr w:w="3260" w:h="808" w:wrap="auto" w:vAnchor="page" w:hAnchor="page" w:x="8140" w:y="2761"/>
        <w:rPr>
          <w:rFonts w:ascii="Times New Roman" w:cs="Times New Roman" w:eastAsia="Times New Roman" w:hAnsi="Times New Roman"/>
          <w:sz w:val="18"/>
          <w:szCs w:val="18"/>
          <w:color w:val="2E8D54"/>
        </w:rPr>
      </w:pPr>
      <w:r>
        <w:rPr>
          <w:rFonts w:ascii="Times New Roman" w:cs="Times New Roman" w:eastAsia="Times New Roman" w:hAnsi="Times New Roman"/>
          <w:sz w:val="18"/>
          <w:szCs w:val="18"/>
          <w:color w:val="2E8D54"/>
        </w:rPr>
        <w:t>We generally position each element of compensation and the total compensation packages for executive officers to reflect the 50th percentile of our peer group.</w:t>
      </w:r>
    </w:p>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rFonts w:ascii="Times New Roman" w:cs="Times New Roman" w:eastAsia="Times New Roman" w:hAnsi="Times New Roman"/>
          <w:sz w:val="18"/>
          <w:szCs w:val="18"/>
          <w:color w:val="2E8D54"/>
        </w:rPr>
      </w:pPr>
    </w:p>
    <w:p>
      <w:pPr>
        <w:spacing w:after="0" w:line="200" w:lineRule="exact"/>
        <w:rPr>
          <w:rFonts w:ascii="Times New Roman" w:cs="Times New Roman" w:eastAsia="Times New Roman" w:hAnsi="Times New Roman"/>
          <w:sz w:val="18"/>
          <w:szCs w:val="18"/>
          <w:color w:val="2E8D54"/>
        </w:rPr>
      </w:pPr>
    </w:p>
    <w:p>
      <w:pPr>
        <w:spacing w:after="0" w:line="200" w:lineRule="exact"/>
        <w:rPr>
          <w:rFonts w:ascii="Times New Roman" w:cs="Times New Roman" w:eastAsia="Times New Roman" w:hAnsi="Times New Roman"/>
          <w:sz w:val="18"/>
          <w:szCs w:val="18"/>
          <w:color w:val="2E8D54"/>
        </w:rPr>
      </w:pPr>
    </w:p>
    <w:p>
      <w:pPr>
        <w:spacing w:after="0" w:line="233" w:lineRule="exact"/>
        <w:rPr>
          <w:rFonts w:ascii="Times New Roman" w:cs="Times New Roman" w:eastAsia="Times New Roman" w:hAnsi="Times New Roman"/>
          <w:sz w:val="18"/>
          <w:szCs w:val="18"/>
          <w:color w:val="2E8D54"/>
        </w:rPr>
      </w:pPr>
    </w:p>
    <w:p>
      <w:pPr>
        <w:ind w:left="40"/>
        <w:spacing w:after="0"/>
        <w:rPr>
          <w:sz w:val="20"/>
          <w:szCs w:val="20"/>
          <w:color w:val="auto"/>
        </w:rPr>
      </w:pPr>
      <w:r>
        <w:rPr>
          <w:rFonts w:ascii="Times New Roman" w:cs="Times New Roman" w:eastAsia="Times New Roman" w:hAnsi="Times New Roman"/>
          <w:sz w:val="18"/>
          <w:szCs w:val="18"/>
          <w:b w:val="1"/>
          <w:bCs w:val="1"/>
          <w:color w:val="auto"/>
        </w:rPr>
        <w:t>ROLE OF THE EXECUTIVE COMPENSATION PEER GROUP</w:t>
      </w:r>
    </w:p>
    <w:p>
      <w:pPr>
        <w:spacing w:after="0" w:line="20" w:lineRule="exact"/>
        <w:rPr>
          <w:rFonts w:ascii="Times New Roman" w:cs="Times New Roman" w:eastAsia="Times New Roman" w:hAnsi="Times New Roman"/>
          <w:sz w:val="18"/>
          <w:szCs w:val="18"/>
          <w:color w:val="2E8D54"/>
        </w:rPr>
      </w:pPr>
      <w:r>
        <w:rPr>
          <w:rFonts w:ascii="Times New Roman" w:cs="Times New Roman" w:eastAsia="Times New Roman" w:hAnsi="Times New Roman"/>
          <w:sz w:val="18"/>
          <w:szCs w:val="18"/>
          <w:color w:val="2E8D54"/>
        </w:rPr>
        <w:drawing>
          <wp:anchor simplePos="0" relativeHeight="251657728" behindDoc="1" locked="0" layoutInCell="0" allowOverlap="1">
            <wp:simplePos x="0" y="0"/>
            <wp:positionH relativeFrom="column">
              <wp:posOffset>4977130</wp:posOffset>
            </wp:positionH>
            <wp:positionV relativeFrom="paragraph">
              <wp:posOffset>105410</wp:posOffset>
            </wp:positionV>
            <wp:extent cx="2160270" cy="130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60270" cy="1303020"/>
                    </a:xfrm>
                    <a:prstGeom prst="rect">
                      <a:avLst/>
                    </a:prstGeom>
                    <a:noFill/>
                  </pic:spPr>
                </pic:pic>
              </a:graphicData>
            </a:graphic>
          </wp:anchor>
        </w:drawing>
      </w:r>
    </w:p>
    <w:p>
      <w:pPr>
        <w:spacing w:after="0" w:line="263" w:lineRule="exact"/>
        <w:rPr>
          <w:rFonts w:ascii="Times New Roman" w:cs="Times New Roman" w:eastAsia="Times New Roman" w:hAnsi="Times New Roman"/>
          <w:sz w:val="18"/>
          <w:szCs w:val="18"/>
          <w:color w:val="2E8D54"/>
        </w:rPr>
      </w:pPr>
    </w:p>
    <w:p>
      <w:pPr>
        <w:ind w:left="520"/>
        <w:spacing w:after="0"/>
        <w:rPr>
          <w:sz w:val="20"/>
          <w:szCs w:val="20"/>
          <w:color w:val="auto"/>
        </w:rPr>
      </w:pPr>
      <w:r>
        <w:rPr>
          <w:rFonts w:ascii="Times New Roman" w:cs="Times New Roman" w:eastAsia="Times New Roman" w:hAnsi="Times New Roman"/>
          <w:sz w:val="18"/>
          <w:szCs w:val="18"/>
          <w:color w:val="auto"/>
        </w:rPr>
        <w:t>To help ensure we provide our named executive officers with fair and market-competitive</w:t>
      </w:r>
    </w:p>
    <w:p>
      <w:pPr>
        <w:spacing w:after="0" w:line="27" w:lineRule="exact"/>
        <w:rPr>
          <w:rFonts w:ascii="Times New Roman" w:cs="Times New Roman" w:eastAsia="Times New Roman" w:hAnsi="Times New Roman"/>
          <w:sz w:val="18"/>
          <w:szCs w:val="18"/>
          <w:color w:val="2E8D54"/>
        </w:rPr>
      </w:pPr>
    </w:p>
    <w:p>
      <w:pPr>
        <w:jc w:val="both"/>
        <w:ind w:left="20" w:right="100"/>
        <w:spacing w:after="0" w:line="212" w:lineRule="auto"/>
        <w:rPr>
          <w:sz w:val="20"/>
          <w:szCs w:val="20"/>
          <w:color w:val="auto"/>
        </w:rPr>
      </w:pPr>
      <w:r>
        <w:rPr>
          <w:rFonts w:ascii="Times New Roman" w:cs="Times New Roman" w:eastAsia="Times New Roman" w:hAnsi="Times New Roman"/>
          <w:sz w:val="18"/>
          <w:szCs w:val="18"/>
          <w:color w:val="auto"/>
        </w:rPr>
        <w:t xml:space="preserve">compensation and to support retention of our key leaders, we annually review the compensation we offer </w:t>
      </w:r>
      <w:r>
        <w:rPr>
          <w:rFonts w:ascii="Times New Roman" w:cs="Times New Roman" w:eastAsia="Times New Roman" w:hAnsi="Times New Roman"/>
          <w:sz w:val="18"/>
          <w:szCs w:val="18"/>
          <w:color w:val="2E8D54"/>
        </w:rPr>
        <w:t>Integra is currently 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2E8D54"/>
        </w:rPr>
        <w:t>38th percentile for</w:t>
      </w:r>
      <w:r>
        <w:rPr>
          <w:rFonts w:ascii="Times New Roman" w:cs="Times New Roman" w:eastAsia="Times New Roman" w:hAnsi="Times New Roman"/>
          <w:sz w:val="18"/>
          <w:szCs w:val="18"/>
          <w:color w:val="auto"/>
        </w:rPr>
        <w:t xml:space="preserve"> our executives against executives within our peer group of companies. In 2021, this peer group consisted of </w:t>
      </w:r>
      <w:r>
        <w:rPr>
          <w:rFonts w:ascii="Times New Roman" w:cs="Times New Roman" w:eastAsia="Times New Roman" w:hAnsi="Times New Roman"/>
          <w:sz w:val="18"/>
          <w:szCs w:val="18"/>
          <w:b w:val="1"/>
          <w:bCs w:val="1"/>
          <w:color w:val="2E8D54"/>
        </w:rPr>
        <w:t>revenue when compared to the peer group.</w:t>
      </w:r>
      <w:r>
        <w:rPr>
          <w:rFonts w:ascii="Times New Roman" w:cs="Times New Roman" w:eastAsia="Times New Roman" w:hAnsi="Times New Roman"/>
          <w:sz w:val="18"/>
          <w:szCs w:val="18"/>
          <w:color w:val="auto"/>
        </w:rPr>
        <w:t xml:space="preserve"> companies determined to be:</w:t>
      </w:r>
    </w:p>
    <w:p>
      <w:pPr>
        <w:spacing w:after="0" w:line="189" w:lineRule="exact"/>
        <w:rPr>
          <w:rFonts w:ascii="Times New Roman" w:cs="Times New Roman" w:eastAsia="Times New Roman" w:hAnsi="Times New Roman"/>
          <w:sz w:val="18"/>
          <w:szCs w:val="18"/>
          <w:color w:val="2E8D54"/>
        </w:rPr>
      </w:pPr>
    </w:p>
    <w:p>
      <w:pPr>
        <w:ind w:left="520" w:right="4020"/>
        <w:spacing w:after="0" w:line="391" w:lineRule="auto"/>
        <w:rPr>
          <w:sz w:val="20"/>
          <w:szCs w:val="20"/>
          <w:color w:val="auto"/>
        </w:rPr>
      </w:pPr>
      <w:r>
        <w:rPr>
          <w:rFonts w:ascii="Times New Roman" w:cs="Times New Roman" w:eastAsia="Times New Roman" w:hAnsi="Times New Roman"/>
          <w:sz w:val="18"/>
          <w:szCs w:val="18"/>
          <w:color w:val="auto"/>
        </w:rPr>
        <w:t>• Similar in size (revenue and market capitalization), complexity and global reach to Integra; • In the medical technology or a similar industry; • In competition with Integra for executive talent.</w:t>
      </w:r>
    </w:p>
    <w:p>
      <w:pPr>
        <w:spacing w:after="0" w:line="20" w:lineRule="exact"/>
        <w:rPr>
          <w:rFonts w:ascii="Times New Roman" w:cs="Times New Roman" w:eastAsia="Times New Roman" w:hAnsi="Times New Roman"/>
          <w:sz w:val="18"/>
          <w:szCs w:val="18"/>
          <w:color w:val="2E8D54"/>
        </w:rPr>
      </w:pPr>
      <w:r>
        <w:rPr>
          <w:rFonts w:ascii="Times New Roman" w:cs="Times New Roman" w:eastAsia="Times New Roman" w:hAnsi="Times New Roman"/>
          <w:sz w:val="18"/>
          <w:szCs w:val="18"/>
          <w:color w:val="2E8D54"/>
        </w:rPr>
        <w:drawing>
          <wp:anchor simplePos="0" relativeHeight="251657728" behindDoc="1" locked="0" layoutInCell="0" allowOverlap="1">
            <wp:simplePos x="0" y="0"/>
            <wp:positionH relativeFrom="column">
              <wp:posOffset>4977130</wp:posOffset>
            </wp:positionH>
            <wp:positionV relativeFrom="paragraph">
              <wp:posOffset>-29845</wp:posOffset>
            </wp:positionV>
            <wp:extent cx="21602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72" w:lineRule="exact"/>
        <w:rPr>
          <w:rFonts w:ascii="Times New Roman" w:cs="Times New Roman" w:eastAsia="Times New Roman" w:hAnsi="Times New Roman"/>
          <w:sz w:val="18"/>
          <w:szCs w:val="18"/>
          <w:color w:val="2E8D54"/>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peer group is regularly reviewed by the Compensation Committee with consideration given to our strategy and the advice of our independent compensation consultant. The 2021 peer group approved by the Compensation Committee remains unchanged from 2020 other than the removal of Wright Medical Group N.V. due to its acquisition by Stryker:</w:t>
      </w:r>
    </w:p>
    <w:p>
      <w:pPr>
        <w:spacing w:after="0" w:line="20" w:lineRule="exact"/>
        <w:rPr>
          <w:rFonts w:ascii="Times New Roman" w:cs="Times New Roman" w:eastAsia="Times New Roman" w:hAnsi="Times New Roman"/>
          <w:sz w:val="18"/>
          <w:szCs w:val="18"/>
          <w:color w:val="2E8D54"/>
        </w:rPr>
      </w:pPr>
      <w:r>
        <w:rPr>
          <w:rFonts w:ascii="Times New Roman" w:cs="Times New Roman" w:eastAsia="Times New Roman" w:hAnsi="Times New Roman"/>
          <w:sz w:val="18"/>
          <w:szCs w:val="18"/>
          <w:color w:val="2E8D54"/>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15175" cy="13798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379855"/>
                    </a:xfrm>
                    <a:prstGeom prst="rect">
                      <a:avLst/>
                    </a:prstGeom>
                    <a:noFill/>
                  </pic:spPr>
                </pic:pic>
              </a:graphicData>
            </a:graphic>
          </wp:anchor>
        </w:drawing>
      </w:r>
    </w:p>
    <w:p>
      <w:pPr>
        <w:spacing w:after="0" w:line="109" w:lineRule="exact"/>
        <w:rPr>
          <w:rFonts w:ascii="Times New Roman" w:cs="Times New Roman" w:eastAsia="Times New Roman" w:hAnsi="Times New Roman"/>
          <w:sz w:val="18"/>
          <w:szCs w:val="18"/>
          <w:color w:val="2E8D54"/>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2E8D54"/>
        </w:rPr>
        <w:t>2021 EXECUTIVE COMPENSATION PEER GROUP</w:t>
      </w:r>
    </w:p>
    <w:p>
      <w:pPr>
        <w:spacing w:after="0" w:line="33" w:lineRule="exact"/>
        <w:rPr>
          <w:rFonts w:ascii="Times New Roman" w:cs="Times New Roman" w:eastAsia="Times New Roman" w:hAnsi="Times New Roman"/>
          <w:sz w:val="18"/>
          <w:szCs w:val="18"/>
          <w:color w:val="2E8D54"/>
        </w:rPr>
      </w:pPr>
    </w:p>
    <w:tbl>
      <w:tblPr>
        <w:tblLayout w:type="fixed"/>
        <w:tblInd w:w="0" w:type="dxa"/>
        <w:tblCellMar>
          <w:top w:w="0" w:type="dxa"/>
          <w:left w:w="0" w:type="dxa"/>
          <w:bottom w:w="0" w:type="dxa"/>
          <w:right w:w="0" w:type="dxa"/>
        </w:tblCellMar>
      </w:tblPr>
      <w:tr>
        <w:trPr>
          <w:trHeight w:val="284"/>
        </w:trPr>
        <w:tc>
          <w:tcPr>
            <w:tcW w:w="340" w:type="dxa"/>
            <w:vAlign w:val="bottom"/>
          </w:tcPr>
          <w:p>
            <w:pPr>
              <w:spacing w:after="0"/>
              <w:rPr>
                <w:sz w:val="24"/>
                <w:szCs w:val="24"/>
                <w:color w:val="auto"/>
              </w:rPr>
            </w:pPr>
          </w:p>
        </w:tc>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ABIOMED, Inc.</w:t>
            </w:r>
          </w:p>
        </w:tc>
        <w:tc>
          <w:tcPr>
            <w:tcW w:w="332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Integer Holdings Corporation</w:t>
            </w:r>
          </w:p>
        </w:tc>
        <w:tc>
          <w:tcPr>
            <w:tcW w:w="418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Teleflex Incorporated</w:t>
            </w:r>
          </w:p>
        </w:tc>
        <w:tc>
          <w:tcPr>
            <w:tcW w:w="360" w:type="dxa"/>
            <w:vAlign w:val="bottom"/>
            <w:tcBorders>
              <w:top w:val="single" w:sz="8" w:color="F2F2F2"/>
            </w:tcBorders>
            <w:shd w:val="clear" w:color="auto" w:fill="F2F2F2"/>
          </w:tcPr>
          <w:p>
            <w:pPr>
              <w:spacing w:after="0"/>
              <w:rPr>
                <w:sz w:val="24"/>
                <w:szCs w:val="24"/>
                <w:color w:val="auto"/>
              </w:rPr>
            </w:pPr>
          </w:p>
        </w:tc>
      </w:tr>
      <w:tr>
        <w:trPr>
          <w:trHeight w:val="283"/>
        </w:trPr>
        <w:tc>
          <w:tcPr>
            <w:tcW w:w="340" w:type="dxa"/>
            <w:vAlign w:val="bottom"/>
          </w:tcPr>
          <w:p>
            <w:pPr>
              <w:spacing w:after="0"/>
              <w:rPr>
                <w:sz w:val="24"/>
                <w:szCs w:val="24"/>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Align Technology, Inc.</w:t>
            </w:r>
          </w:p>
        </w:tc>
        <w:tc>
          <w:tcPr>
            <w:tcW w:w="3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Intuitive Surgical, Inc.</w:t>
            </w:r>
          </w:p>
        </w:tc>
        <w:tc>
          <w:tcPr>
            <w:tcW w:w="4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Cooper Companies, Inc.</w:t>
            </w:r>
          </w:p>
        </w:tc>
        <w:tc>
          <w:tcPr>
            <w:tcW w:w="360" w:type="dxa"/>
            <w:vAlign w:val="bottom"/>
            <w:shd w:val="clear" w:color="auto" w:fill="F2F2F2"/>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CONMED Corporation</w:t>
            </w:r>
          </w:p>
        </w:tc>
        <w:tc>
          <w:tcPr>
            <w:tcW w:w="3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Invacare Corporation</w:t>
            </w:r>
          </w:p>
        </w:tc>
        <w:tc>
          <w:tcPr>
            <w:tcW w:w="4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Varian Medical Systems, Inc.</w:t>
            </w:r>
          </w:p>
        </w:tc>
        <w:tc>
          <w:tcPr>
            <w:tcW w:w="360" w:type="dxa"/>
            <w:vAlign w:val="bottom"/>
            <w:shd w:val="clear" w:color="auto" w:fill="F2F2F2"/>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Edwards Lifesciences Corporation</w:t>
            </w:r>
          </w:p>
        </w:tc>
        <w:tc>
          <w:tcPr>
            <w:tcW w:w="3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Masimo Corporation</w:t>
            </w:r>
          </w:p>
        </w:tc>
        <w:tc>
          <w:tcPr>
            <w:tcW w:w="41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West Pharmaceutical Services, Inc.</w:t>
            </w:r>
          </w:p>
        </w:tc>
        <w:tc>
          <w:tcPr>
            <w:tcW w:w="360" w:type="dxa"/>
            <w:vAlign w:val="bottom"/>
            <w:shd w:val="clear" w:color="auto" w:fill="F2F2F2"/>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Haemonetics Corporation</w:t>
            </w:r>
          </w:p>
        </w:tc>
        <w:tc>
          <w:tcPr>
            <w:tcW w:w="3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Nuvasive, Inc.</w:t>
            </w:r>
          </w:p>
        </w:tc>
        <w:tc>
          <w:tcPr>
            <w:tcW w:w="4180" w:type="dxa"/>
            <w:vAlign w:val="bottom"/>
          </w:tcPr>
          <w:p>
            <w:pPr>
              <w:spacing w:after="0"/>
              <w:rPr>
                <w:sz w:val="23"/>
                <w:szCs w:val="23"/>
                <w:color w:val="auto"/>
              </w:rPr>
            </w:pPr>
          </w:p>
        </w:tc>
        <w:tc>
          <w:tcPr>
            <w:tcW w:w="360" w:type="dxa"/>
            <w:vAlign w:val="bottom"/>
            <w:shd w:val="clear" w:color="auto" w:fill="F2F2F2"/>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Hill-Rom Holdings, Inc.</w:t>
            </w:r>
          </w:p>
        </w:tc>
        <w:tc>
          <w:tcPr>
            <w:tcW w:w="3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ResMed, Inc.</w:t>
            </w:r>
          </w:p>
        </w:tc>
        <w:tc>
          <w:tcPr>
            <w:tcW w:w="4180" w:type="dxa"/>
            <w:vAlign w:val="bottom"/>
          </w:tcPr>
          <w:p>
            <w:pPr>
              <w:spacing w:after="0"/>
              <w:rPr>
                <w:sz w:val="23"/>
                <w:szCs w:val="23"/>
                <w:color w:val="auto"/>
              </w:rPr>
            </w:pPr>
          </w:p>
        </w:tc>
        <w:tc>
          <w:tcPr>
            <w:tcW w:w="360" w:type="dxa"/>
            <w:vAlign w:val="bottom"/>
            <w:shd w:val="clear" w:color="auto" w:fill="F2F2F2"/>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Hologic, Inc.</w:t>
            </w:r>
          </w:p>
        </w:tc>
        <w:tc>
          <w:tcPr>
            <w:tcW w:w="3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Steris Plc</w:t>
            </w:r>
          </w:p>
        </w:tc>
        <w:tc>
          <w:tcPr>
            <w:tcW w:w="4180" w:type="dxa"/>
            <w:vAlign w:val="bottom"/>
          </w:tcPr>
          <w:p>
            <w:pPr>
              <w:spacing w:after="0"/>
              <w:rPr>
                <w:sz w:val="23"/>
                <w:szCs w:val="23"/>
                <w:color w:val="auto"/>
              </w:rPr>
            </w:pPr>
          </w:p>
        </w:tc>
        <w:tc>
          <w:tcPr>
            <w:tcW w:w="360" w:type="dxa"/>
            <w:vAlign w:val="bottom"/>
            <w:shd w:val="clear" w:color="auto" w:fill="F2F2F2"/>
          </w:tcPr>
          <w:p>
            <w:pPr>
              <w:spacing w:after="0"/>
              <w:rPr>
                <w:sz w:val="23"/>
                <w:szCs w:val="23"/>
                <w:color w:val="auto"/>
              </w:rPr>
            </w:pPr>
          </w:p>
        </w:tc>
      </w:tr>
      <w:tr>
        <w:trPr>
          <w:trHeight w:val="27"/>
        </w:trPr>
        <w:tc>
          <w:tcPr>
            <w:tcW w:w="3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360" w:type="dxa"/>
            <w:vAlign w:val="bottom"/>
            <w:shd w:val="clear" w:color="auto" w:fill="F2F2F2"/>
          </w:tcPr>
          <w:p>
            <w:pPr>
              <w:spacing w:after="0"/>
              <w:rPr>
                <w:sz w:val="2"/>
                <w:szCs w:val="2"/>
                <w:color w:val="auto"/>
              </w:rPr>
            </w:pPr>
          </w:p>
        </w:tc>
      </w:tr>
      <w:tr>
        <w:trPr>
          <w:trHeight w:val="162"/>
        </w:trPr>
        <w:tc>
          <w:tcPr>
            <w:tcW w:w="340" w:type="dxa"/>
            <w:vAlign w:val="bottom"/>
            <w:tcBorders>
              <w:bottom w:val="single" w:sz="8" w:color="auto"/>
            </w:tcBorders>
            <w:shd w:val="clear" w:color="auto" w:fill="F2F2F2"/>
          </w:tcPr>
          <w:p>
            <w:pPr>
              <w:spacing w:after="0"/>
              <w:rPr>
                <w:sz w:val="14"/>
                <w:szCs w:val="14"/>
                <w:color w:val="auto"/>
              </w:rPr>
            </w:pPr>
          </w:p>
        </w:tc>
        <w:tc>
          <w:tcPr>
            <w:tcW w:w="3020" w:type="dxa"/>
            <w:vAlign w:val="bottom"/>
            <w:tcBorders>
              <w:bottom w:val="single" w:sz="8" w:color="auto"/>
            </w:tcBorders>
            <w:shd w:val="clear" w:color="auto" w:fill="F2F2F2"/>
          </w:tcPr>
          <w:p>
            <w:pPr>
              <w:spacing w:after="0"/>
              <w:rPr>
                <w:sz w:val="14"/>
                <w:szCs w:val="14"/>
                <w:color w:val="auto"/>
              </w:rPr>
            </w:pPr>
          </w:p>
        </w:tc>
        <w:tc>
          <w:tcPr>
            <w:tcW w:w="3320" w:type="dxa"/>
            <w:vAlign w:val="bottom"/>
            <w:tcBorders>
              <w:bottom w:val="single" w:sz="8" w:color="auto"/>
            </w:tcBorders>
            <w:shd w:val="clear" w:color="auto" w:fill="F2F2F2"/>
          </w:tcPr>
          <w:p>
            <w:pPr>
              <w:spacing w:after="0"/>
              <w:rPr>
                <w:sz w:val="14"/>
                <w:szCs w:val="14"/>
                <w:color w:val="auto"/>
              </w:rPr>
            </w:pPr>
          </w:p>
        </w:tc>
        <w:tc>
          <w:tcPr>
            <w:tcW w:w="4180" w:type="dxa"/>
            <w:vAlign w:val="bottom"/>
            <w:tcBorders>
              <w:bottom w:val="single" w:sz="8" w:color="auto"/>
            </w:tcBorders>
            <w:shd w:val="clear" w:color="auto" w:fill="F2F2F2"/>
          </w:tcPr>
          <w:p>
            <w:pPr>
              <w:spacing w:after="0"/>
              <w:rPr>
                <w:sz w:val="14"/>
                <w:szCs w:val="14"/>
                <w:color w:val="auto"/>
              </w:rPr>
            </w:pPr>
          </w:p>
        </w:tc>
        <w:tc>
          <w:tcPr>
            <w:tcW w:w="360" w:type="dxa"/>
            <w:vAlign w:val="bottom"/>
            <w:tcBorders>
              <w:bottom w:val="single" w:sz="8" w:color="auto"/>
            </w:tcBorders>
            <w:shd w:val="clear" w:color="auto" w:fill="F2F2F2"/>
          </w:tcPr>
          <w:p>
            <w:pPr>
              <w:spacing w:after="0"/>
              <w:rPr>
                <w:sz w:val="14"/>
                <w:szCs w:val="14"/>
                <w:color w:val="auto"/>
              </w:rPr>
            </w:pPr>
          </w:p>
        </w:tc>
      </w:tr>
    </w:tbl>
    <w:p>
      <w:pPr>
        <w:spacing w:after="0" w:line="200" w:lineRule="exact"/>
        <w:rPr>
          <w:rFonts w:ascii="Times New Roman" w:cs="Times New Roman" w:eastAsia="Times New Roman" w:hAnsi="Times New Roman"/>
          <w:sz w:val="18"/>
          <w:szCs w:val="18"/>
          <w:color w:val="2E8D54"/>
        </w:rPr>
      </w:pPr>
    </w:p>
    <w:p>
      <w:pPr>
        <w:spacing w:after="0" w:line="200" w:lineRule="exact"/>
        <w:rPr>
          <w:rFonts w:ascii="Times New Roman" w:cs="Times New Roman" w:eastAsia="Times New Roman" w:hAnsi="Times New Roman"/>
          <w:sz w:val="18"/>
          <w:szCs w:val="18"/>
          <w:color w:val="2E8D54"/>
        </w:rPr>
      </w:pPr>
    </w:p>
    <w:p>
      <w:pPr>
        <w:spacing w:after="0" w:line="257" w:lineRule="exact"/>
        <w:rPr>
          <w:rFonts w:ascii="Times New Roman" w:cs="Times New Roman" w:eastAsia="Times New Roman" w:hAnsi="Times New Roman"/>
          <w:sz w:val="18"/>
          <w:szCs w:val="18"/>
          <w:color w:val="2E8D54"/>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28"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ELEMENTS OF THE EXECUTIVE COMPENSATION PROGRAM</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Integra’s executive compensation consists of fixed pay and variable pay, including cash and non-cash components. We continue to emphasize variable pay rather than fixed pay, with the majority of the compensation being “at risk” performance-based compensation. We compare our executive compensation elements and total compensation against those of our peer group companies targeting the median while aligning to our executive compensation philosophy. The chart below summarizes the various elements of Integra’s executive compensation and their purpose: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40" w:type="dxa"/>
            <w:vAlign w:val="bottom"/>
            <w:tcBorders>
              <w:top w:val="single" w:sz="8" w:color="auto"/>
            </w:tcBorders>
            <w:shd w:val="clear" w:color="auto" w:fill="F2F2F2"/>
          </w:tcPr>
          <w:p>
            <w:pPr>
              <w:spacing w:after="0"/>
              <w:rPr>
                <w:sz w:val="15"/>
                <w:szCs w:val="15"/>
                <w:color w:val="auto"/>
              </w:rPr>
            </w:pPr>
          </w:p>
        </w:tc>
        <w:tc>
          <w:tcPr>
            <w:tcW w:w="2500" w:type="dxa"/>
            <w:vAlign w:val="bottom"/>
            <w:tcBorders>
              <w:top w:val="single" w:sz="8" w:color="auto"/>
            </w:tcBorders>
          </w:tcPr>
          <w:p>
            <w:pPr>
              <w:spacing w:after="0"/>
              <w:rPr>
                <w:sz w:val="15"/>
                <w:szCs w:val="15"/>
                <w:color w:val="auto"/>
              </w:rPr>
            </w:pP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4"/>
              </w:rPr>
              <w:t>TYPE OF</w:t>
            </w:r>
          </w:p>
        </w:tc>
        <w:tc>
          <w:tcPr>
            <w:tcW w:w="4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40" w:type="dxa"/>
            <w:vAlign w:val="bottom"/>
            <w:tcBorders>
              <w:bottom w:val="single" w:sz="8" w:color="F2F2F2"/>
            </w:tcBorders>
            <w:shd w:val="clear" w:color="auto" w:fill="F2F2F2"/>
          </w:tcPr>
          <w:p>
            <w:pPr>
              <w:spacing w:after="0"/>
              <w:rPr>
                <w:sz w:val="18"/>
                <w:szCs w:val="18"/>
                <w:color w:val="auto"/>
              </w:rPr>
            </w:pPr>
          </w:p>
        </w:tc>
        <w:tc>
          <w:tcPr>
            <w:tcW w:w="25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2E8D54"/>
              </w:rPr>
              <w:t>OBJECTIVE</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4"/>
              </w:rPr>
              <w:t>COMPENSATION</w:t>
            </w:r>
          </w:p>
        </w:tc>
        <w:tc>
          <w:tcPr>
            <w:tcW w:w="464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2E8D54"/>
              </w:rPr>
              <w:t>KEY FEATURES</w:t>
            </w:r>
          </w:p>
        </w:tc>
        <w:tc>
          <w:tcPr>
            <w:tcW w:w="0" w:type="dxa"/>
            <w:vAlign w:val="bottom"/>
          </w:tcPr>
          <w:p>
            <w:pPr>
              <w:spacing w:after="0"/>
              <w:rPr>
                <w:sz w:val="1"/>
                <w:szCs w:val="1"/>
                <w:color w:val="auto"/>
              </w:rPr>
            </w:pPr>
          </w:p>
        </w:tc>
      </w:tr>
      <w:tr>
        <w:trPr>
          <w:trHeight w:val="218"/>
        </w:trPr>
        <w:tc>
          <w:tcPr>
            <w:tcW w:w="204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Provide competitive fixed pay</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46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Reflects individual skills, experience, responsibilities</w:t>
            </w:r>
          </w:p>
        </w:tc>
        <w:tc>
          <w:tcPr>
            <w:tcW w:w="0" w:type="dxa"/>
            <w:vAlign w:val="bottom"/>
          </w:tcPr>
          <w:p>
            <w:pPr>
              <w:spacing w:after="0"/>
              <w:rPr>
                <w:sz w:val="1"/>
                <w:szCs w:val="1"/>
                <w:color w:val="auto"/>
              </w:rPr>
            </w:pPr>
          </w:p>
        </w:tc>
      </w:tr>
      <w:tr>
        <w:trPr>
          <w:trHeight w:val="108"/>
        </w:trPr>
        <w:tc>
          <w:tcPr>
            <w:tcW w:w="2040" w:type="dxa"/>
            <w:vAlign w:val="bottom"/>
            <w:shd w:val="clear" w:color="auto" w:fill="F2F2F2"/>
          </w:tcPr>
          <w:p>
            <w:pPr>
              <w:spacing w:after="0"/>
              <w:rPr>
                <w:sz w:val="9"/>
                <w:szCs w:val="9"/>
                <w:color w:val="auto"/>
              </w:rPr>
            </w:pP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that is tied to the market and</w:t>
            </w:r>
          </w:p>
        </w:tc>
        <w:tc>
          <w:tcPr>
            <w:tcW w:w="2060" w:type="dxa"/>
            <w:vAlign w:val="bottom"/>
            <w:shd w:val="clear" w:color="auto" w:fill="F2F2F2"/>
          </w:tcPr>
          <w:p>
            <w:pPr>
              <w:spacing w:after="0"/>
              <w:rPr>
                <w:sz w:val="9"/>
                <w:szCs w:val="9"/>
                <w:color w:val="auto"/>
              </w:rPr>
            </w:pP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F2F2F2"/>
          </w:tcPr>
          <w:p>
            <w:pPr>
              <w:spacing w:after="0"/>
              <w:rPr>
                <w:sz w:val="9"/>
                <w:szCs w:val="9"/>
                <w:color w:val="auto"/>
              </w:rPr>
            </w:pPr>
          </w:p>
        </w:tc>
        <w:tc>
          <w:tcPr>
            <w:tcW w:w="2500" w:type="dxa"/>
            <w:vAlign w:val="bottom"/>
            <w:vMerge w:val="continue"/>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and performance over time</w:t>
            </w:r>
          </w:p>
        </w:tc>
        <w:tc>
          <w:tcPr>
            <w:tcW w:w="0" w:type="dxa"/>
            <w:vAlign w:val="bottom"/>
          </w:tcPr>
          <w:p>
            <w:pPr>
              <w:spacing w:after="0"/>
              <w:rPr>
                <w:sz w:val="1"/>
                <w:szCs w:val="1"/>
                <w:color w:val="auto"/>
              </w:rPr>
            </w:pPr>
          </w:p>
        </w:tc>
      </w:tr>
      <w:tr>
        <w:trPr>
          <w:trHeight w:val="126"/>
        </w:trPr>
        <w:tc>
          <w:tcPr>
            <w:tcW w:w="2040" w:type="dxa"/>
            <w:vAlign w:val="bottom"/>
            <w:shd w:val="clear" w:color="auto" w:fill="F2F2F2"/>
          </w:tcPr>
          <w:p>
            <w:pPr>
              <w:spacing w:after="0"/>
              <w:rPr>
                <w:sz w:val="10"/>
                <w:szCs w:val="10"/>
                <w:color w:val="auto"/>
              </w:rPr>
            </w:pP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allows us to attract, retain and</w:t>
            </w:r>
          </w:p>
        </w:tc>
        <w:tc>
          <w:tcPr>
            <w:tcW w:w="2060" w:type="dxa"/>
            <w:vAlign w:val="bottom"/>
            <w:shd w:val="clear" w:color="auto" w:fill="F2F2F2"/>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40" w:type="dxa"/>
            <w:vAlign w:val="bottom"/>
            <w:shd w:val="clear" w:color="auto" w:fill="F2F2F2"/>
          </w:tcPr>
          <w:p>
            <w:pPr>
              <w:spacing w:after="0"/>
              <w:rPr>
                <w:sz w:val="7"/>
                <w:szCs w:val="7"/>
                <w:color w:val="auto"/>
              </w:rPr>
            </w:pPr>
          </w:p>
        </w:tc>
        <w:tc>
          <w:tcPr>
            <w:tcW w:w="2500" w:type="dxa"/>
            <w:vAlign w:val="bottom"/>
            <w:vMerge w:val="continue"/>
          </w:tcPr>
          <w:p>
            <w:pPr>
              <w:spacing w:after="0"/>
              <w:rPr>
                <w:sz w:val="7"/>
                <w:szCs w:val="7"/>
                <w:color w:val="auto"/>
              </w:rPr>
            </w:pPr>
          </w:p>
        </w:tc>
        <w:tc>
          <w:tcPr>
            <w:tcW w:w="2060" w:type="dxa"/>
            <w:vAlign w:val="bottom"/>
            <w:shd w:val="clear" w:color="auto" w:fill="F2F2F2"/>
          </w:tcPr>
          <w:p>
            <w:pPr>
              <w:spacing w:after="0"/>
              <w:rPr>
                <w:sz w:val="7"/>
                <w:szCs w:val="7"/>
                <w:color w:val="auto"/>
              </w:rPr>
            </w:pPr>
          </w:p>
        </w:tc>
        <w:tc>
          <w:tcPr>
            <w:tcW w:w="4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F2F2F2"/>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motivate executives within the</w:t>
            </w:r>
          </w:p>
        </w:tc>
        <w:tc>
          <w:tcPr>
            <w:tcW w:w="2060" w:type="dxa"/>
            <w:vAlign w:val="bottom"/>
            <w:shd w:val="clear" w:color="auto" w:fill="F2F2F2"/>
          </w:tcPr>
          <w:p>
            <w:pPr>
              <w:spacing w:after="0"/>
              <w:rPr>
                <w:sz w:val="18"/>
                <w:szCs w:val="18"/>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Influences annual bonus and long-term incentive</w:t>
            </w:r>
          </w:p>
        </w:tc>
        <w:tc>
          <w:tcPr>
            <w:tcW w:w="0" w:type="dxa"/>
            <w:vAlign w:val="bottom"/>
          </w:tcPr>
          <w:p>
            <w:pPr>
              <w:spacing w:after="0"/>
              <w:rPr>
                <w:sz w:val="1"/>
                <w:szCs w:val="1"/>
                <w:color w:val="auto"/>
              </w:rPr>
            </w:pPr>
          </w:p>
        </w:tc>
      </w:tr>
      <w:tr>
        <w:trPr>
          <w:trHeight w:val="216"/>
        </w:trPr>
        <w:tc>
          <w:tcPr>
            <w:tcW w:w="2040" w:type="dxa"/>
            <w:vAlign w:val="bottom"/>
            <w:shd w:val="clear" w:color="auto" w:fill="F2F2F2"/>
          </w:tcPr>
          <w:p>
            <w:pPr>
              <w:spacing w:after="0"/>
              <w:rPr>
                <w:sz w:val="18"/>
                <w:szCs w:val="18"/>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technology industry and</w:t>
            </w:r>
          </w:p>
        </w:tc>
        <w:tc>
          <w:tcPr>
            <w:tcW w:w="2060" w:type="dxa"/>
            <w:vAlign w:val="bottom"/>
            <w:shd w:val="clear" w:color="auto" w:fill="F2F2F2"/>
          </w:tcPr>
          <w:p>
            <w:pPr>
              <w:spacing w:after="0"/>
              <w:rPr>
                <w:sz w:val="18"/>
                <w:szCs w:val="18"/>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opportunity</w:t>
            </w:r>
          </w:p>
        </w:tc>
        <w:tc>
          <w:tcPr>
            <w:tcW w:w="0" w:type="dxa"/>
            <w:vAlign w:val="bottom"/>
          </w:tcPr>
          <w:p>
            <w:pPr>
              <w:spacing w:after="0"/>
              <w:rPr>
                <w:sz w:val="1"/>
                <w:szCs w:val="1"/>
                <w:color w:val="auto"/>
              </w:rPr>
            </w:pPr>
          </w:p>
        </w:tc>
      </w:tr>
      <w:tr>
        <w:trPr>
          <w:trHeight w:val="234"/>
        </w:trPr>
        <w:tc>
          <w:tcPr>
            <w:tcW w:w="2040" w:type="dxa"/>
            <w:vAlign w:val="bottom"/>
            <w:shd w:val="clear" w:color="auto" w:fill="F2F2F2"/>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broader market</w:t>
            </w:r>
          </w:p>
        </w:tc>
        <w:tc>
          <w:tcPr>
            <w:tcW w:w="2060" w:type="dxa"/>
            <w:vAlign w:val="bottom"/>
            <w:shd w:val="clear" w:color="auto" w:fill="F2F2F2"/>
          </w:tcPr>
          <w:p>
            <w:pPr>
              <w:spacing w:after="0"/>
              <w:rPr>
                <w:sz w:val="20"/>
                <w:szCs w:val="20"/>
                <w:color w:val="auto"/>
              </w:rPr>
            </w:pPr>
          </w:p>
        </w:tc>
        <w:tc>
          <w:tcPr>
            <w:tcW w:w="4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Provides a stable and secure source of income</w:t>
            </w:r>
          </w:p>
        </w:tc>
        <w:tc>
          <w:tcPr>
            <w:tcW w:w="0" w:type="dxa"/>
            <w:vAlign w:val="bottom"/>
          </w:tcPr>
          <w:p>
            <w:pPr>
              <w:spacing w:after="0"/>
              <w:rPr>
                <w:sz w:val="1"/>
                <w:szCs w:val="1"/>
                <w:color w:val="auto"/>
              </w:rPr>
            </w:pPr>
          </w:p>
        </w:tc>
      </w:tr>
      <w:tr>
        <w:trPr>
          <w:trHeight w:val="135"/>
        </w:trPr>
        <w:tc>
          <w:tcPr>
            <w:tcW w:w="2040" w:type="dxa"/>
            <w:vAlign w:val="bottom"/>
            <w:tcBorders>
              <w:bottom w:val="single" w:sz="8" w:color="F2F2F2"/>
            </w:tcBorders>
            <w:shd w:val="clear" w:color="auto" w:fill="F2F2F2"/>
          </w:tcPr>
          <w:p>
            <w:pPr>
              <w:spacing w:after="0"/>
              <w:rPr>
                <w:sz w:val="11"/>
                <w:szCs w:val="11"/>
                <w:color w:val="auto"/>
              </w:rPr>
            </w:pPr>
          </w:p>
        </w:tc>
        <w:tc>
          <w:tcPr>
            <w:tcW w:w="2500" w:type="dxa"/>
            <w:vAlign w:val="bottom"/>
          </w:tcPr>
          <w:p>
            <w:pPr>
              <w:spacing w:after="0"/>
              <w:rPr>
                <w:sz w:val="11"/>
                <w:szCs w:val="11"/>
                <w:color w:val="auto"/>
              </w:rPr>
            </w:pPr>
          </w:p>
        </w:tc>
        <w:tc>
          <w:tcPr>
            <w:tcW w:w="2060" w:type="dxa"/>
            <w:vAlign w:val="bottom"/>
            <w:tcBorders>
              <w:bottom w:val="single" w:sz="8" w:color="F2F2F2"/>
            </w:tcBorders>
            <w:shd w:val="clear" w:color="auto" w:fill="F2F2F2"/>
          </w:tcPr>
          <w:p>
            <w:pPr>
              <w:spacing w:after="0"/>
              <w:rPr>
                <w:sz w:val="11"/>
                <w:szCs w:val="11"/>
                <w:color w:val="auto"/>
              </w:rPr>
            </w:pPr>
          </w:p>
        </w:tc>
        <w:tc>
          <w:tcPr>
            <w:tcW w:w="4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204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Incentive</w:t>
            </w: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Encourage focus on short-term</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Cash</w:t>
            </w:r>
          </w:p>
        </w:tc>
        <w:tc>
          <w:tcPr>
            <w:tcW w:w="46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Performance-based reward tied to achievement of short-</w:t>
            </w:r>
          </w:p>
        </w:tc>
        <w:tc>
          <w:tcPr>
            <w:tcW w:w="0" w:type="dxa"/>
            <w:vAlign w:val="bottom"/>
          </w:tcPr>
          <w:p>
            <w:pPr>
              <w:spacing w:after="0"/>
              <w:rPr>
                <w:sz w:val="1"/>
                <w:szCs w:val="1"/>
                <w:color w:val="auto"/>
              </w:rPr>
            </w:pPr>
          </w:p>
        </w:tc>
      </w:tr>
      <w:tr>
        <w:trPr>
          <w:trHeight w:val="112"/>
        </w:trPr>
        <w:tc>
          <w:tcPr>
            <w:tcW w:w="204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—Annual Bonus</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business performance</w:t>
            </w:r>
          </w:p>
        </w:tc>
        <w:tc>
          <w:tcPr>
            <w:tcW w:w="2060" w:type="dxa"/>
            <w:vAlign w:val="bottom"/>
            <w:shd w:val="clear" w:color="auto" w:fill="F2F2F2"/>
          </w:tcPr>
          <w:p>
            <w:pPr>
              <w:spacing w:after="0"/>
              <w:rPr>
                <w:sz w:val="9"/>
                <w:szCs w:val="9"/>
                <w:color w:val="auto"/>
              </w:rPr>
            </w:pP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40" w:type="dxa"/>
            <w:vAlign w:val="bottom"/>
            <w:vMerge w:val="continue"/>
            <w:shd w:val="clear" w:color="auto" w:fill="F2F2F2"/>
          </w:tcPr>
          <w:p>
            <w:pPr>
              <w:spacing w:after="0"/>
              <w:rPr>
                <w:sz w:val="10"/>
                <w:szCs w:val="10"/>
                <w:color w:val="auto"/>
              </w:rPr>
            </w:pPr>
          </w:p>
        </w:tc>
        <w:tc>
          <w:tcPr>
            <w:tcW w:w="2500" w:type="dxa"/>
            <w:vAlign w:val="bottom"/>
            <w:vMerge w:val="continue"/>
          </w:tcPr>
          <w:p>
            <w:pPr>
              <w:spacing w:after="0"/>
              <w:rPr>
                <w:sz w:val="10"/>
                <w:szCs w:val="10"/>
                <w:color w:val="auto"/>
              </w:rPr>
            </w:pPr>
          </w:p>
        </w:tc>
        <w:tc>
          <w:tcPr>
            <w:tcW w:w="2060" w:type="dxa"/>
            <w:vAlign w:val="bottom"/>
            <w:shd w:val="clear" w:color="auto" w:fill="F2F2F2"/>
          </w:tcPr>
          <w:p>
            <w:pPr>
              <w:spacing w:after="0"/>
              <w:rPr>
                <w:sz w:val="10"/>
                <w:szCs w:val="10"/>
                <w:color w:val="auto"/>
              </w:rPr>
            </w:pPr>
          </w:p>
        </w:tc>
        <w:tc>
          <w:tcPr>
            <w:tcW w:w="46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term corporate performance goals</w:t>
            </w:r>
          </w:p>
        </w:tc>
        <w:tc>
          <w:tcPr>
            <w:tcW w:w="0" w:type="dxa"/>
            <w:vAlign w:val="bottom"/>
          </w:tcPr>
          <w:p>
            <w:pPr>
              <w:spacing w:after="0"/>
              <w:rPr>
                <w:sz w:val="1"/>
                <w:szCs w:val="1"/>
                <w:color w:val="auto"/>
              </w:rPr>
            </w:pPr>
          </w:p>
        </w:tc>
      </w:tr>
      <w:tr>
        <w:trPr>
          <w:trHeight w:val="108"/>
        </w:trPr>
        <w:tc>
          <w:tcPr>
            <w:tcW w:w="2040" w:type="dxa"/>
            <w:vAlign w:val="bottom"/>
            <w:shd w:val="clear" w:color="auto" w:fill="F2F2F2"/>
          </w:tcPr>
          <w:p>
            <w:pPr>
              <w:spacing w:after="0"/>
              <w:rPr>
                <w:sz w:val="9"/>
                <w:szCs w:val="9"/>
                <w:color w:val="auto"/>
              </w:rPr>
            </w:pPr>
          </w:p>
        </w:tc>
        <w:tc>
          <w:tcPr>
            <w:tcW w:w="2500" w:type="dxa"/>
            <w:vAlign w:val="bottom"/>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040" w:type="dxa"/>
            <w:vAlign w:val="bottom"/>
            <w:shd w:val="clear" w:color="auto" w:fill="F2F2F2"/>
          </w:tcPr>
          <w:p>
            <w:pPr>
              <w:spacing w:after="0"/>
              <w:rPr>
                <w:sz w:val="24"/>
                <w:szCs w:val="24"/>
                <w:color w:val="auto"/>
              </w:rPr>
            </w:pPr>
          </w:p>
        </w:tc>
        <w:tc>
          <w:tcPr>
            <w:tcW w:w="2500" w:type="dxa"/>
            <w:vAlign w:val="bottom"/>
          </w:tcPr>
          <w:p>
            <w:pPr>
              <w:spacing w:after="0"/>
              <w:rPr>
                <w:sz w:val="24"/>
                <w:szCs w:val="24"/>
                <w:color w:val="auto"/>
              </w:rPr>
            </w:pPr>
          </w:p>
        </w:tc>
        <w:tc>
          <w:tcPr>
            <w:tcW w:w="2060" w:type="dxa"/>
            <w:vAlign w:val="bottom"/>
            <w:shd w:val="clear" w:color="auto" w:fill="F2F2F2"/>
          </w:tcPr>
          <w:p>
            <w:pPr>
              <w:spacing w:after="0"/>
              <w:rPr>
                <w:sz w:val="24"/>
                <w:szCs w:val="24"/>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Payment reflects the attainment of corporate financial</w:t>
            </w:r>
          </w:p>
        </w:tc>
        <w:tc>
          <w:tcPr>
            <w:tcW w:w="0" w:type="dxa"/>
            <w:vAlign w:val="bottom"/>
          </w:tcPr>
          <w:p>
            <w:pPr>
              <w:spacing w:after="0"/>
              <w:rPr>
                <w:sz w:val="1"/>
                <w:szCs w:val="1"/>
                <w:color w:val="auto"/>
              </w:rPr>
            </w:pPr>
          </w:p>
        </w:tc>
      </w:tr>
      <w:tr>
        <w:trPr>
          <w:trHeight w:val="216"/>
        </w:trPr>
        <w:tc>
          <w:tcPr>
            <w:tcW w:w="2040" w:type="dxa"/>
            <w:vAlign w:val="bottom"/>
            <w:shd w:val="clear" w:color="auto" w:fill="F2F2F2"/>
          </w:tcPr>
          <w:p>
            <w:pPr>
              <w:spacing w:after="0"/>
              <w:rPr>
                <w:sz w:val="18"/>
                <w:szCs w:val="18"/>
                <w:color w:val="auto"/>
              </w:rPr>
            </w:pPr>
          </w:p>
        </w:tc>
        <w:tc>
          <w:tcPr>
            <w:tcW w:w="2500" w:type="dxa"/>
            <w:vAlign w:val="bottom"/>
          </w:tcPr>
          <w:p>
            <w:pPr>
              <w:spacing w:after="0"/>
              <w:rPr>
                <w:sz w:val="18"/>
                <w:szCs w:val="18"/>
                <w:color w:val="auto"/>
              </w:rPr>
            </w:pPr>
          </w:p>
        </w:tc>
        <w:tc>
          <w:tcPr>
            <w:tcW w:w="2060" w:type="dxa"/>
            <w:vAlign w:val="bottom"/>
            <w:shd w:val="clear" w:color="auto" w:fill="F2F2F2"/>
          </w:tcPr>
          <w:p>
            <w:pPr>
              <w:spacing w:after="0"/>
              <w:rPr>
                <w:sz w:val="18"/>
                <w:szCs w:val="18"/>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goals as well as individual accomplishments in strategy,</w:t>
            </w:r>
          </w:p>
        </w:tc>
        <w:tc>
          <w:tcPr>
            <w:tcW w:w="0" w:type="dxa"/>
            <w:vAlign w:val="bottom"/>
          </w:tcPr>
          <w:p>
            <w:pPr>
              <w:spacing w:after="0"/>
              <w:rPr>
                <w:sz w:val="1"/>
                <w:szCs w:val="1"/>
                <w:color w:val="auto"/>
              </w:rPr>
            </w:pPr>
          </w:p>
        </w:tc>
      </w:tr>
      <w:tr>
        <w:trPr>
          <w:trHeight w:val="216"/>
        </w:trPr>
        <w:tc>
          <w:tcPr>
            <w:tcW w:w="2040" w:type="dxa"/>
            <w:vAlign w:val="bottom"/>
            <w:shd w:val="clear" w:color="auto" w:fill="F2F2F2"/>
          </w:tcPr>
          <w:p>
            <w:pPr>
              <w:spacing w:after="0"/>
              <w:rPr>
                <w:sz w:val="18"/>
                <w:szCs w:val="18"/>
                <w:color w:val="auto"/>
              </w:rPr>
            </w:pPr>
          </w:p>
        </w:tc>
        <w:tc>
          <w:tcPr>
            <w:tcW w:w="2500" w:type="dxa"/>
            <w:vAlign w:val="bottom"/>
          </w:tcPr>
          <w:p>
            <w:pPr>
              <w:spacing w:after="0"/>
              <w:rPr>
                <w:sz w:val="18"/>
                <w:szCs w:val="18"/>
                <w:color w:val="auto"/>
              </w:rPr>
            </w:pPr>
          </w:p>
        </w:tc>
        <w:tc>
          <w:tcPr>
            <w:tcW w:w="2060" w:type="dxa"/>
            <w:vAlign w:val="bottom"/>
            <w:shd w:val="clear" w:color="auto" w:fill="F2F2F2"/>
          </w:tcPr>
          <w:p>
            <w:pPr>
              <w:spacing w:after="0"/>
              <w:rPr>
                <w:sz w:val="18"/>
                <w:szCs w:val="18"/>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and cultural elements associated with their</w:t>
            </w:r>
          </w:p>
        </w:tc>
        <w:tc>
          <w:tcPr>
            <w:tcW w:w="0" w:type="dxa"/>
            <w:vAlign w:val="bottom"/>
          </w:tcPr>
          <w:p>
            <w:pPr>
              <w:spacing w:after="0"/>
              <w:rPr>
                <w:sz w:val="1"/>
                <w:szCs w:val="1"/>
                <w:color w:val="auto"/>
              </w:rPr>
            </w:pPr>
          </w:p>
        </w:tc>
      </w:tr>
      <w:tr>
        <w:trPr>
          <w:trHeight w:val="234"/>
        </w:trPr>
        <w:tc>
          <w:tcPr>
            <w:tcW w:w="2040" w:type="dxa"/>
            <w:vAlign w:val="bottom"/>
            <w:shd w:val="clear" w:color="auto" w:fill="F2F2F2"/>
          </w:tcPr>
          <w:p>
            <w:pPr>
              <w:spacing w:after="0"/>
              <w:rPr>
                <w:sz w:val="20"/>
                <w:szCs w:val="20"/>
                <w:color w:val="auto"/>
              </w:rPr>
            </w:pPr>
          </w:p>
        </w:tc>
        <w:tc>
          <w:tcPr>
            <w:tcW w:w="2500" w:type="dxa"/>
            <w:vAlign w:val="bottom"/>
          </w:tcPr>
          <w:p>
            <w:pPr>
              <w:spacing w:after="0"/>
              <w:rPr>
                <w:sz w:val="20"/>
                <w:szCs w:val="20"/>
                <w:color w:val="auto"/>
              </w:rPr>
            </w:pPr>
          </w:p>
        </w:tc>
        <w:tc>
          <w:tcPr>
            <w:tcW w:w="2060" w:type="dxa"/>
            <w:vAlign w:val="bottom"/>
            <w:shd w:val="clear" w:color="auto" w:fill="F2F2F2"/>
          </w:tcPr>
          <w:p>
            <w:pPr>
              <w:spacing w:after="0"/>
              <w:rPr>
                <w:sz w:val="20"/>
                <w:szCs w:val="20"/>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leadership responsibilities for their given area</w:t>
            </w:r>
          </w:p>
        </w:tc>
        <w:tc>
          <w:tcPr>
            <w:tcW w:w="0" w:type="dxa"/>
            <w:vAlign w:val="bottom"/>
          </w:tcPr>
          <w:p>
            <w:pPr>
              <w:spacing w:after="0"/>
              <w:rPr>
                <w:sz w:val="1"/>
                <w:szCs w:val="1"/>
                <w:color w:val="auto"/>
              </w:rPr>
            </w:pPr>
          </w:p>
        </w:tc>
      </w:tr>
      <w:tr>
        <w:trPr>
          <w:trHeight w:val="306"/>
        </w:trPr>
        <w:tc>
          <w:tcPr>
            <w:tcW w:w="2040" w:type="dxa"/>
            <w:vAlign w:val="bottom"/>
            <w:shd w:val="clear" w:color="auto" w:fill="F2F2F2"/>
          </w:tcPr>
          <w:p>
            <w:pPr>
              <w:spacing w:after="0"/>
              <w:rPr>
                <w:sz w:val="24"/>
                <w:szCs w:val="24"/>
                <w:color w:val="auto"/>
              </w:rPr>
            </w:pPr>
          </w:p>
        </w:tc>
        <w:tc>
          <w:tcPr>
            <w:tcW w:w="2500" w:type="dxa"/>
            <w:vAlign w:val="bottom"/>
          </w:tcPr>
          <w:p>
            <w:pPr>
              <w:spacing w:after="0"/>
              <w:rPr>
                <w:sz w:val="24"/>
                <w:szCs w:val="24"/>
                <w:color w:val="auto"/>
              </w:rPr>
            </w:pPr>
          </w:p>
        </w:tc>
        <w:tc>
          <w:tcPr>
            <w:tcW w:w="2060" w:type="dxa"/>
            <w:vAlign w:val="bottom"/>
            <w:shd w:val="clear" w:color="auto" w:fill="F2F2F2"/>
          </w:tcPr>
          <w:p>
            <w:pPr>
              <w:spacing w:after="0"/>
              <w:rPr>
                <w:sz w:val="24"/>
                <w:szCs w:val="24"/>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Paid only if threshold performance levels are met or</w:t>
            </w:r>
          </w:p>
        </w:tc>
        <w:tc>
          <w:tcPr>
            <w:tcW w:w="0" w:type="dxa"/>
            <w:vAlign w:val="bottom"/>
          </w:tcPr>
          <w:p>
            <w:pPr>
              <w:spacing w:after="0"/>
              <w:rPr>
                <w:sz w:val="1"/>
                <w:szCs w:val="1"/>
                <w:color w:val="auto"/>
              </w:rPr>
            </w:pPr>
          </w:p>
        </w:tc>
      </w:tr>
      <w:tr>
        <w:trPr>
          <w:trHeight w:val="261"/>
        </w:trPr>
        <w:tc>
          <w:tcPr>
            <w:tcW w:w="2040" w:type="dxa"/>
            <w:vAlign w:val="bottom"/>
            <w:tcBorders>
              <w:bottom w:val="single" w:sz="8" w:color="F2F2F2"/>
            </w:tcBorders>
            <w:shd w:val="clear" w:color="auto" w:fill="F2F2F2"/>
          </w:tcPr>
          <w:p>
            <w:pPr>
              <w:spacing w:after="0"/>
              <w:rPr>
                <w:sz w:val="22"/>
                <w:szCs w:val="22"/>
                <w:color w:val="auto"/>
              </w:rPr>
            </w:pPr>
          </w:p>
        </w:tc>
        <w:tc>
          <w:tcPr>
            <w:tcW w:w="2500" w:type="dxa"/>
            <w:vAlign w:val="bottom"/>
          </w:tcPr>
          <w:p>
            <w:pPr>
              <w:spacing w:after="0"/>
              <w:rPr>
                <w:sz w:val="22"/>
                <w:szCs w:val="22"/>
                <w:color w:val="auto"/>
              </w:rPr>
            </w:pPr>
          </w:p>
        </w:tc>
        <w:tc>
          <w:tcPr>
            <w:tcW w:w="2060" w:type="dxa"/>
            <w:vAlign w:val="bottom"/>
            <w:tcBorders>
              <w:bottom w:val="single" w:sz="8" w:color="F2F2F2"/>
            </w:tcBorders>
            <w:shd w:val="clear" w:color="auto" w:fill="F2F2F2"/>
          </w:tcPr>
          <w:p>
            <w:pPr>
              <w:spacing w:after="0"/>
              <w:rPr>
                <w:sz w:val="22"/>
                <w:szCs w:val="22"/>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exceeded</w:t>
            </w:r>
          </w:p>
        </w:tc>
        <w:tc>
          <w:tcPr>
            <w:tcW w:w="0" w:type="dxa"/>
            <w:vAlign w:val="bottom"/>
          </w:tcPr>
          <w:p>
            <w:pPr>
              <w:spacing w:after="0"/>
              <w:rPr>
                <w:sz w:val="1"/>
                <w:szCs w:val="1"/>
                <w:color w:val="auto"/>
              </w:rPr>
            </w:pPr>
          </w:p>
        </w:tc>
      </w:tr>
      <w:tr>
        <w:trPr>
          <w:trHeight w:val="214"/>
        </w:trPr>
        <w:tc>
          <w:tcPr>
            <w:tcW w:w="204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w:t>
            </w: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Increase multi-year profitability</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46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Performance-based rewards tied to achievement of long-</w:t>
            </w:r>
          </w:p>
        </w:tc>
        <w:tc>
          <w:tcPr>
            <w:tcW w:w="0" w:type="dxa"/>
            <w:vAlign w:val="bottom"/>
          </w:tcPr>
          <w:p>
            <w:pPr>
              <w:spacing w:after="0"/>
              <w:rPr>
                <w:sz w:val="1"/>
                <w:szCs w:val="1"/>
                <w:color w:val="auto"/>
              </w:rPr>
            </w:pPr>
          </w:p>
        </w:tc>
      </w:tr>
      <w:tr>
        <w:trPr>
          <w:trHeight w:val="112"/>
        </w:trPr>
        <w:tc>
          <w:tcPr>
            <w:tcW w:w="204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 stock price</w:t>
            </w:r>
          </w:p>
        </w:tc>
        <w:tc>
          <w:tcPr>
            <w:tcW w:w="2060" w:type="dxa"/>
            <w:vAlign w:val="bottom"/>
            <w:shd w:val="clear" w:color="auto" w:fill="F2F2F2"/>
          </w:tcPr>
          <w:p>
            <w:pPr>
              <w:spacing w:after="0"/>
              <w:rPr>
                <w:sz w:val="9"/>
                <w:szCs w:val="9"/>
                <w:color w:val="auto"/>
              </w:rPr>
            </w:pP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F2F2F2"/>
          </w:tcPr>
          <w:p>
            <w:pPr>
              <w:spacing w:after="0"/>
              <w:rPr>
                <w:sz w:val="9"/>
                <w:szCs w:val="9"/>
                <w:color w:val="auto"/>
              </w:rPr>
            </w:pPr>
          </w:p>
        </w:tc>
        <w:tc>
          <w:tcPr>
            <w:tcW w:w="2500" w:type="dxa"/>
            <w:vAlign w:val="bottom"/>
            <w:vMerge w:val="continue"/>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term corporate performance goals</w:t>
            </w:r>
          </w:p>
        </w:tc>
        <w:tc>
          <w:tcPr>
            <w:tcW w:w="0" w:type="dxa"/>
            <w:vAlign w:val="bottom"/>
          </w:tcPr>
          <w:p>
            <w:pPr>
              <w:spacing w:after="0"/>
              <w:rPr>
                <w:sz w:val="1"/>
                <w:szCs w:val="1"/>
                <w:color w:val="auto"/>
              </w:rPr>
            </w:pPr>
          </w:p>
        </w:tc>
      </w:tr>
      <w:tr>
        <w:trPr>
          <w:trHeight w:val="126"/>
        </w:trPr>
        <w:tc>
          <w:tcPr>
            <w:tcW w:w="204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Stock Units (PSUs)</w:t>
            </w:r>
          </w:p>
        </w:tc>
        <w:tc>
          <w:tcPr>
            <w:tcW w:w="2500" w:type="dxa"/>
            <w:vAlign w:val="bottom"/>
          </w:tcPr>
          <w:p>
            <w:pPr>
              <w:spacing w:after="0"/>
              <w:rPr>
                <w:sz w:val="10"/>
                <w:szCs w:val="10"/>
                <w:color w:val="auto"/>
              </w:rPr>
            </w:pPr>
          </w:p>
        </w:tc>
        <w:tc>
          <w:tcPr>
            <w:tcW w:w="2060" w:type="dxa"/>
            <w:vAlign w:val="bottom"/>
            <w:shd w:val="clear" w:color="auto" w:fill="F2F2F2"/>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F2F2F2"/>
          </w:tcPr>
          <w:p>
            <w:pPr>
              <w:spacing w:after="0"/>
              <w:rPr>
                <w:sz w:val="9"/>
                <w:szCs w:val="9"/>
                <w:color w:val="auto"/>
              </w:rPr>
            </w:pPr>
          </w:p>
        </w:tc>
        <w:tc>
          <w:tcPr>
            <w:tcW w:w="2500" w:type="dxa"/>
            <w:vAlign w:val="bottom"/>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Vests only if threshold performance levels are met or</w:t>
            </w:r>
          </w:p>
        </w:tc>
        <w:tc>
          <w:tcPr>
            <w:tcW w:w="0" w:type="dxa"/>
            <w:vAlign w:val="bottom"/>
          </w:tcPr>
          <w:p>
            <w:pPr>
              <w:spacing w:after="0"/>
              <w:rPr>
                <w:sz w:val="1"/>
                <w:szCs w:val="1"/>
                <w:color w:val="auto"/>
              </w:rPr>
            </w:pPr>
          </w:p>
        </w:tc>
      </w:tr>
      <w:tr>
        <w:trPr>
          <w:trHeight w:val="198"/>
        </w:trPr>
        <w:tc>
          <w:tcPr>
            <w:tcW w:w="2040" w:type="dxa"/>
            <w:vAlign w:val="bottom"/>
            <w:shd w:val="clear" w:color="auto" w:fill="F2F2F2"/>
          </w:tcPr>
          <w:p>
            <w:pPr>
              <w:spacing w:after="0"/>
              <w:rPr>
                <w:sz w:val="17"/>
                <w:szCs w:val="17"/>
                <w:color w:val="auto"/>
              </w:rPr>
            </w:pPr>
          </w:p>
        </w:tc>
        <w:tc>
          <w:tcPr>
            <w:tcW w:w="2500" w:type="dxa"/>
            <w:vAlign w:val="bottom"/>
          </w:tcPr>
          <w:p>
            <w:pPr>
              <w:spacing w:after="0"/>
              <w:rPr>
                <w:sz w:val="17"/>
                <w:szCs w:val="17"/>
                <w:color w:val="auto"/>
              </w:rPr>
            </w:pPr>
          </w:p>
        </w:tc>
        <w:tc>
          <w:tcPr>
            <w:tcW w:w="2060" w:type="dxa"/>
            <w:vAlign w:val="bottom"/>
            <w:shd w:val="clear" w:color="auto" w:fill="F2F2F2"/>
          </w:tcPr>
          <w:p>
            <w:pPr>
              <w:spacing w:after="0"/>
              <w:rPr>
                <w:sz w:val="17"/>
                <w:szCs w:val="17"/>
                <w:color w:val="auto"/>
              </w:rPr>
            </w:pPr>
          </w:p>
        </w:tc>
        <w:tc>
          <w:tcPr>
            <w:tcW w:w="4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40" w:type="dxa"/>
            <w:vAlign w:val="bottom"/>
            <w:shd w:val="clear" w:color="auto" w:fill="F2F2F2"/>
          </w:tcPr>
          <w:p>
            <w:pPr>
              <w:spacing w:after="0"/>
              <w:rPr>
                <w:sz w:val="20"/>
                <w:szCs w:val="20"/>
                <w:color w:val="auto"/>
              </w:rPr>
            </w:pPr>
          </w:p>
        </w:tc>
        <w:tc>
          <w:tcPr>
            <w:tcW w:w="2500" w:type="dxa"/>
            <w:vAlign w:val="bottom"/>
          </w:tcPr>
          <w:p>
            <w:pPr>
              <w:spacing w:after="0"/>
              <w:rPr>
                <w:sz w:val="20"/>
                <w:szCs w:val="20"/>
                <w:color w:val="auto"/>
              </w:rPr>
            </w:pPr>
          </w:p>
        </w:tc>
        <w:tc>
          <w:tcPr>
            <w:tcW w:w="2060" w:type="dxa"/>
            <w:vAlign w:val="bottom"/>
            <w:shd w:val="clear" w:color="auto" w:fill="F2F2F2"/>
          </w:tcPr>
          <w:p>
            <w:pPr>
              <w:spacing w:after="0"/>
              <w:rPr>
                <w:sz w:val="20"/>
                <w:szCs w:val="20"/>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exceeded</w:t>
            </w:r>
          </w:p>
        </w:tc>
        <w:tc>
          <w:tcPr>
            <w:tcW w:w="0" w:type="dxa"/>
            <w:vAlign w:val="bottom"/>
          </w:tcPr>
          <w:p>
            <w:pPr>
              <w:spacing w:after="0"/>
              <w:rPr>
                <w:sz w:val="1"/>
                <w:szCs w:val="1"/>
                <w:color w:val="auto"/>
              </w:rPr>
            </w:pPr>
          </w:p>
        </w:tc>
      </w:tr>
      <w:tr>
        <w:trPr>
          <w:trHeight w:val="306"/>
        </w:trPr>
        <w:tc>
          <w:tcPr>
            <w:tcW w:w="2040" w:type="dxa"/>
            <w:vAlign w:val="bottom"/>
            <w:shd w:val="clear" w:color="auto" w:fill="F2F2F2"/>
          </w:tcPr>
          <w:p>
            <w:pPr>
              <w:spacing w:after="0"/>
              <w:rPr>
                <w:sz w:val="24"/>
                <w:szCs w:val="24"/>
                <w:color w:val="auto"/>
              </w:rPr>
            </w:pPr>
          </w:p>
        </w:tc>
        <w:tc>
          <w:tcPr>
            <w:tcW w:w="2500" w:type="dxa"/>
            <w:vAlign w:val="bottom"/>
          </w:tcPr>
          <w:p>
            <w:pPr>
              <w:spacing w:after="0"/>
              <w:rPr>
                <w:sz w:val="24"/>
                <w:szCs w:val="24"/>
                <w:color w:val="auto"/>
              </w:rPr>
            </w:pPr>
          </w:p>
        </w:tc>
        <w:tc>
          <w:tcPr>
            <w:tcW w:w="2060" w:type="dxa"/>
            <w:vAlign w:val="bottom"/>
            <w:shd w:val="clear" w:color="auto" w:fill="F2F2F2"/>
          </w:tcPr>
          <w:p>
            <w:pPr>
              <w:spacing w:after="0"/>
              <w:rPr>
                <w:sz w:val="24"/>
                <w:szCs w:val="24"/>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Promotes retention and enhances executive stock</w:t>
            </w:r>
          </w:p>
        </w:tc>
        <w:tc>
          <w:tcPr>
            <w:tcW w:w="0" w:type="dxa"/>
            <w:vAlign w:val="bottom"/>
          </w:tcPr>
          <w:p>
            <w:pPr>
              <w:spacing w:after="0"/>
              <w:rPr>
                <w:sz w:val="1"/>
                <w:szCs w:val="1"/>
                <w:color w:val="auto"/>
              </w:rPr>
            </w:pPr>
          </w:p>
        </w:tc>
      </w:tr>
      <w:tr>
        <w:trPr>
          <w:trHeight w:val="234"/>
        </w:trPr>
        <w:tc>
          <w:tcPr>
            <w:tcW w:w="2040" w:type="dxa"/>
            <w:vAlign w:val="bottom"/>
            <w:shd w:val="clear" w:color="auto" w:fill="F2F2F2"/>
          </w:tcPr>
          <w:p>
            <w:pPr>
              <w:spacing w:after="0"/>
              <w:rPr>
                <w:sz w:val="20"/>
                <w:szCs w:val="20"/>
                <w:color w:val="auto"/>
              </w:rPr>
            </w:pPr>
          </w:p>
        </w:tc>
        <w:tc>
          <w:tcPr>
            <w:tcW w:w="2500" w:type="dxa"/>
            <w:vAlign w:val="bottom"/>
          </w:tcPr>
          <w:p>
            <w:pPr>
              <w:spacing w:after="0"/>
              <w:rPr>
                <w:sz w:val="20"/>
                <w:szCs w:val="20"/>
                <w:color w:val="auto"/>
              </w:rPr>
            </w:pPr>
          </w:p>
        </w:tc>
        <w:tc>
          <w:tcPr>
            <w:tcW w:w="2060" w:type="dxa"/>
            <w:vAlign w:val="bottom"/>
            <w:shd w:val="clear" w:color="auto" w:fill="F2F2F2"/>
          </w:tcPr>
          <w:p>
            <w:pPr>
              <w:spacing w:after="0"/>
              <w:rPr>
                <w:sz w:val="20"/>
                <w:szCs w:val="20"/>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ownership</w:t>
            </w:r>
          </w:p>
        </w:tc>
        <w:tc>
          <w:tcPr>
            <w:tcW w:w="0" w:type="dxa"/>
            <w:vAlign w:val="bottom"/>
          </w:tcPr>
          <w:p>
            <w:pPr>
              <w:spacing w:after="0"/>
              <w:rPr>
                <w:sz w:val="1"/>
                <w:szCs w:val="1"/>
                <w:color w:val="auto"/>
              </w:rPr>
            </w:pPr>
          </w:p>
        </w:tc>
      </w:tr>
      <w:tr>
        <w:trPr>
          <w:trHeight w:val="351"/>
        </w:trPr>
        <w:tc>
          <w:tcPr>
            <w:tcW w:w="2040" w:type="dxa"/>
            <w:vAlign w:val="bottom"/>
            <w:tcBorders>
              <w:bottom w:val="single" w:sz="8" w:color="F2F2F2"/>
            </w:tcBorders>
            <w:shd w:val="clear" w:color="auto" w:fill="F2F2F2"/>
          </w:tcPr>
          <w:p>
            <w:pPr>
              <w:spacing w:after="0"/>
              <w:rPr>
                <w:sz w:val="24"/>
                <w:szCs w:val="24"/>
                <w:color w:val="auto"/>
              </w:rPr>
            </w:pPr>
          </w:p>
        </w:tc>
        <w:tc>
          <w:tcPr>
            <w:tcW w:w="2500" w:type="dxa"/>
            <w:vAlign w:val="bottom"/>
          </w:tcPr>
          <w:p>
            <w:pPr>
              <w:spacing w:after="0"/>
              <w:rPr>
                <w:sz w:val="24"/>
                <w:szCs w:val="24"/>
                <w:color w:val="auto"/>
              </w:rPr>
            </w:pPr>
          </w:p>
        </w:tc>
        <w:tc>
          <w:tcPr>
            <w:tcW w:w="2060" w:type="dxa"/>
            <w:vAlign w:val="bottom"/>
            <w:tcBorders>
              <w:bottom w:val="single" w:sz="8" w:color="F2F2F2"/>
            </w:tcBorders>
            <w:shd w:val="clear" w:color="auto" w:fill="F2F2F2"/>
          </w:tcPr>
          <w:p>
            <w:pPr>
              <w:spacing w:after="0"/>
              <w:rPr>
                <w:sz w:val="24"/>
                <w:szCs w:val="24"/>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Links value to stock price</w:t>
            </w:r>
          </w:p>
        </w:tc>
        <w:tc>
          <w:tcPr>
            <w:tcW w:w="0" w:type="dxa"/>
            <w:vAlign w:val="bottom"/>
          </w:tcPr>
          <w:p>
            <w:pPr>
              <w:spacing w:after="0"/>
              <w:rPr>
                <w:sz w:val="1"/>
                <w:szCs w:val="1"/>
                <w:color w:val="auto"/>
              </w:rPr>
            </w:pPr>
          </w:p>
        </w:tc>
      </w:tr>
      <w:tr>
        <w:trPr>
          <w:trHeight w:val="218"/>
        </w:trPr>
        <w:tc>
          <w:tcPr>
            <w:tcW w:w="204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Incentive</w:t>
            </w: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Closely align executive and</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46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Promotes retention and enhances executive stock</w:t>
            </w:r>
          </w:p>
        </w:tc>
        <w:tc>
          <w:tcPr>
            <w:tcW w:w="0" w:type="dxa"/>
            <w:vAlign w:val="bottom"/>
          </w:tcPr>
          <w:p>
            <w:pPr>
              <w:spacing w:after="0"/>
              <w:rPr>
                <w:sz w:val="1"/>
                <w:szCs w:val="1"/>
                <w:color w:val="auto"/>
              </w:rPr>
            </w:pPr>
          </w:p>
        </w:tc>
      </w:tr>
      <w:tr>
        <w:trPr>
          <w:trHeight w:val="108"/>
        </w:trPr>
        <w:tc>
          <w:tcPr>
            <w:tcW w:w="204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—Non-qualified Stock</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stockholder interests and aid in</w:t>
            </w:r>
          </w:p>
        </w:tc>
        <w:tc>
          <w:tcPr>
            <w:tcW w:w="2060" w:type="dxa"/>
            <w:vAlign w:val="bottom"/>
            <w:shd w:val="clear" w:color="auto" w:fill="F2F2F2"/>
          </w:tcPr>
          <w:p>
            <w:pPr>
              <w:spacing w:after="0"/>
              <w:rPr>
                <w:sz w:val="9"/>
                <w:szCs w:val="9"/>
                <w:color w:val="auto"/>
              </w:rPr>
            </w:pP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F2F2F2"/>
          </w:tcPr>
          <w:p>
            <w:pPr>
              <w:spacing w:after="0"/>
              <w:rPr>
                <w:sz w:val="9"/>
                <w:szCs w:val="9"/>
                <w:color w:val="auto"/>
              </w:rPr>
            </w:pPr>
          </w:p>
        </w:tc>
        <w:tc>
          <w:tcPr>
            <w:tcW w:w="2500" w:type="dxa"/>
            <w:vAlign w:val="bottom"/>
            <w:vMerge w:val="continue"/>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ownership</w:t>
            </w:r>
          </w:p>
        </w:tc>
        <w:tc>
          <w:tcPr>
            <w:tcW w:w="0" w:type="dxa"/>
            <w:vAlign w:val="bottom"/>
          </w:tcPr>
          <w:p>
            <w:pPr>
              <w:spacing w:after="0"/>
              <w:rPr>
                <w:sz w:val="1"/>
                <w:szCs w:val="1"/>
                <w:color w:val="auto"/>
              </w:rPr>
            </w:pPr>
          </w:p>
        </w:tc>
      </w:tr>
      <w:tr>
        <w:trPr>
          <w:trHeight w:val="126"/>
        </w:trPr>
        <w:tc>
          <w:tcPr>
            <w:tcW w:w="204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retention</w:t>
            </w:r>
          </w:p>
        </w:tc>
        <w:tc>
          <w:tcPr>
            <w:tcW w:w="2060" w:type="dxa"/>
            <w:vAlign w:val="bottom"/>
            <w:shd w:val="clear" w:color="auto" w:fill="F2F2F2"/>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F2F2F2"/>
          </w:tcPr>
          <w:p>
            <w:pPr>
              <w:spacing w:after="0"/>
              <w:rPr>
                <w:sz w:val="9"/>
                <w:szCs w:val="9"/>
                <w:color w:val="auto"/>
              </w:rPr>
            </w:pPr>
          </w:p>
        </w:tc>
        <w:tc>
          <w:tcPr>
            <w:tcW w:w="2500" w:type="dxa"/>
            <w:vAlign w:val="bottom"/>
            <w:vMerge w:val="continue"/>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Links value to stock price appreciation</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F2F2F2"/>
            </w:tcBorders>
            <w:shd w:val="clear" w:color="auto" w:fill="F2F2F2"/>
          </w:tcPr>
          <w:p>
            <w:pPr>
              <w:spacing w:after="0"/>
              <w:rPr>
                <w:sz w:val="21"/>
                <w:szCs w:val="21"/>
                <w:color w:val="auto"/>
              </w:rPr>
            </w:pPr>
          </w:p>
        </w:tc>
        <w:tc>
          <w:tcPr>
            <w:tcW w:w="2500" w:type="dxa"/>
            <w:vAlign w:val="bottom"/>
          </w:tcPr>
          <w:p>
            <w:pPr>
              <w:spacing w:after="0"/>
              <w:rPr>
                <w:sz w:val="21"/>
                <w:szCs w:val="21"/>
                <w:color w:val="auto"/>
              </w:rPr>
            </w:pPr>
          </w:p>
        </w:tc>
        <w:tc>
          <w:tcPr>
            <w:tcW w:w="2060" w:type="dxa"/>
            <w:vAlign w:val="bottom"/>
            <w:tcBorders>
              <w:bottom w:val="single" w:sz="8" w:color="F2F2F2"/>
            </w:tcBorders>
            <w:shd w:val="clear" w:color="auto" w:fill="F2F2F2"/>
          </w:tcPr>
          <w:p>
            <w:pPr>
              <w:spacing w:after="0"/>
              <w:rPr>
                <w:sz w:val="21"/>
                <w:szCs w:val="21"/>
                <w:color w:val="auto"/>
              </w:rPr>
            </w:pPr>
          </w:p>
        </w:tc>
        <w:tc>
          <w:tcPr>
            <w:tcW w:w="4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4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Long-Term Incentive </w:t>
            </w:r>
            <w:r>
              <w:rPr>
                <w:rFonts w:ascii="Times New Roman" w:cs="Times New Roman" w:eastAsia="Times New Roman" w:hAnsi="Times New Roman"/>
                <w:sz w:val="18"/>
                <w:szCs w:val="18"/>
                <w:color w:val="auto"/>
              </w:rPr>
              <w:t>—</w:t>
            </w: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Closely align executive and</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46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Promotes retention and enhances executive stock</w:t>
            </w:r>
          </w:p>
        </w:tc>
        <w:tc>
          <w:tcPr>
            <w:tcW w:w="0" w:type="dxa"/>
            <w:vAlign w:val="bottom"/>
          </w:tcPr>
          <w:p>
            <w:pPr>
              <w:spacing w:after="0"/>
              <w:rPr>
                <w:sz w:val="1"/>
                <w:szCs w:val="1"/>
                <w:color w:val="auto"/>
              </w:rPr>
            </w:pPr>
          </w:p>
        </w:tc>
      </w:tr>
      <w:tr>
        <w:trPr>
          <w:trHeight w:val="108"/>
        </w:trPr>
        <w:tc>
          <w:tcPr>
            <w:tcW w:w="204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Restricted Stock &amp; RSUs</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stockholder interests and aid in</w:t>
            </w:r>
          </w:p>
        </w:tc>
        <w:tc>
          <w:tcPr>
            <w:tcW w:w="2060" w:type="dxa"/>
            <w:vAlign w:val="bottom"/>
            <w:shd w:val="clear" w:color="auto" w:fill="F2F2F2"/>
          </w:tcPr>
          <w:p>
            <w:pPr>
              <w:spacing w:after="0"/>
              <w:rPr>
                <w:sz w:val="9"/>
                <w:szCs w:val="9"/>
                <w:color w:val="auto"/>
              </w:rPr>
            </w:pPr>
          </w:p>
        </w:tc>
        <w:tc>
          <w:tcPr>
            <w:tcW w:w="4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vMerge w:val="continue"/>
            <w:shd w:val="clear" w:color="auto" w:fill="F2F2F2"/>
          </w:tcPr>
          <w:p>
            <w:pPr>
              <w:spacing w:after="0"/>
              <w:rPr>
                <w:sz w:val="9"/>
                <w:szCs w:val="9"/>
                <w:color w:val="auto"/>
              </w:rPr>
            </w:pPr>
          </w:p>
        </w:tc>
        <w:tc>
          <w:tcPr>
            <w:tcW w:w="2500" w:type="dxa"/>
            <w:vAlign w:val="bottom"/>
            <w:vMerge w:val="continue"/>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ownership</w:t>
            </w:r>
          </w:p>
        </w:tc>
        <w:tc>
          <w:tcPr>
            <w:tcW w:w="0" w:type="dxa"/>
            <w:vAlign w:val="bottom"/>
          </w:tcPr>
          <w:p>
            <w:pPr>
              <w:spacing w:after="0"/>
              <w:rPr>
                <w:sz w:val="1"/>
                <w:szCs w:val="1"/>
                <w:color w:val="auto"/>
              </w:rPr>
            </w:pPr>
          </w:p>
        </w:tc>
      </w:tr>
      <w:tr>
        <w:trPr>
          <w:trHeight w:val="126"/>
        </w:trPr>
        <w:tc>
          <w:tcPr>
            <w:tcW w:w="2040" w:type="dxa"/>
            <w:vAlign w:val="bottom"/>
            <w:shd w:val="clear" w:color="auto" w:fill="F2F2F2"/>
          </w:tcPr>
          <w:p>
            <w:pPr>
              <w:spacing w:after="0"/>
              <w:rPr>
                <w:sz w:val="10"/>
                <w:szCs w:val="10"/>
                <w:color w:val="auto"/>
              </w:rPr>
            </w:pP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retention</w:t>
            </w:r>
          </w:p>
        </w:tc>
        <w:tc>
          <w:tcPr>
            <w:tcW w:w="2060" w:type="dxa"/>
            <w:vAlign w:val="bottom"/>
            <w:shd w:val="clear" w:color="auto" w:fill="F2F2F2"/>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F2F2F2"/>
          </w:tcPr>
          <w:p>
            <w:pPr>
              <w:spacing w:after="0"/>
              <w:rPr>
                <w:sz w:val="9"/>
                <w:szCs w:val="9"/>
                <w:color w:val="auto"/>
              </w:rPr>
            </w:pPr>
          </w:p>
        </w:tc>
        <w:tc>
          <w:tcPr>
            <w:tcW w:w="2500" w:type="dxa"/>
            <w:vAlign w:val="bottom"/>
            <w:vMerge w:val="continue"/>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Links value to stock price</w:t>
            </w:r>
          </w:p>
        </w:tc>
        <w:tc>
          <w:tcPr>
            <w:tcW w:w="0" w:type="dxa"/>
            <w:vAlign w:val="bottom"/>
          </w:tcPr>
          <w:p>
            <w:pPr>
              <w:spacing w:after="0"/>
              <w:rPr>
                <w:sz w:val="1"/>
                <w:szCs w:val="1"/>
                <w:color w:val="auto"/>
              </w:rPr>
            </w:pPr>
          </w:p>
        </w:tc>
      </w:tr>
      <w:tr>
        <w:trPr>
          <w:trHeight w:val="243"/>
        </w:trPr>
        <w:tc>
          <w:tcPr>
            <w:tcW w:w="2040" w:type="dxa"/>
            <w:vAlign w:val="bottom"/>
            <w:tcBorders>
              <w:bottom w:val="single" w:sz="8" w:color="F2F2F2"/>
            </w:tcBorders>
            <w:shd w:val="clear" w:color="auto" w:fill="F2F2F2"/>
          </w:tcPr>
          <w:p>
            <w:pPr>
              <w:spacing w:after="0"/>
              <w:rPr>
                <w:sz w:val="21"/>
                <w:szCs w:val="21"/>
                <w:color w:val="auto"/>
              </w:rPr>
            </w:pPr>
          </w:p>
        </w:tc>
        <w:tc>
          <w:tcPr>
            <w:tcW w:w="2500" w:type="dxa"/>
            <w:vAlign w:val="bottom"/>
          </w:tcPr>
          <w:p>
            <w:pPr>
              <w:spacing w:after="0"/>
              <w:rPr>
                <w:sz w:val="21"/>
                <w:szCs w:val="21"/>
                <w:color w:val="auto"/>
              </w:rPr>
            </w:pPr>
          </w:p>
        </w:tc>
        <w:tc>
          <w:tcPr>
            <w:tcW w:w="2060" w:type="dxa"/>
            <w:vAlign w:val="bottom"/>
            <w:tcBorders>
              <w:bottom w:val="single" w:sz="8" w:color="F2F2F2"/>
            </w:tcBorders>
            <w:shd w:val="clear" w:color="auto" w:fill="F2F2F2"/>
          </w:tcPr>
          <w:p>
            <w:pPr>
              <w:spacing w:after="0"/>
              <w:rPr>
                <w:sz w:val="21"/>
                <w:szCs w:val="21"/>
                <w:color w:val="auto"/>
              </w:rPr>
            </w:pPr>
          </w:p>
        </w:tc>
        <w:tc>
          <w:tcPr>
            <w:tcW w:w="4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4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Other Benefits</w:t>
            </w: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Aid in attracting and retaining</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Benefit</w:t>
            </w:r>
          </w:p>
        </w:tc>
        <w:tc>
          <w:tcPr>
            <w:tcW w:w="464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Broad-based benefits available to all employees</w:t>
            </w:r>
          </w:p>
        </w:tc>
        <w:tc>
          <w:tcPr>
            <w:tcW w:w="0" w:type="dxa"/>
            <w:vAlign w:val="bottom"/>
          </w:tcPr>
          <w:p>
            <w:pPr>
              <w:spacing w:after="0"/>
              <w:rPr>
                <w:sz w:val="1"/>
                <w:szCs w:val="1"/>
                <w:color w:val="auto"/>
              </w:rPr>
            </w:pPr>
          </w:p>
        </w:tc>
      </w:tr>
      <w:tr>
        <w:trPr>
          <w:trHeight w:val="126"/>
        </w:trPr>
        <w:tc>
          <w:tcPr>
            <w:tcW w:w="2040" w:type="dxa"/>
            <w:vAlign w:val="bottom"/>
            <w:shd w:val="clear" w:color="auto" w:fill="F2F2F2"/>
          </w:tcPr>
          <w:p>
            <w:pPr>
              <w:spacing w:after="0"/>
              <w:rPr>
                <w:sz w:val="10"/>
                <w:szCs w:val="10"/>
                <w:color w:val="auto"/>
              </w:rPr>
            </w:pP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talent</w:t>
            </w:r>
          </w:p>
        </w:tc>
        <w:tc>
          <w:tcPr>
            <w:tcW w:w="2060" w:type="dxa"/>
            <w:vAlign w:val="bottom"/>
            <w:shd w:val="clear" w:color="auto" w:fill="F2F2F2"/>
          </w:tcPr>
          <w:p>
            <w:pPr>
              <w:spacing w:after="0"/>
              <w:rPr>
                <w:sz w:val="10"/>
                <w:szCs w:val="10"/>
                <w:color w:val="auto"/>
              </w:rPr>
            </w:pPr>
          </w:p>
        </w:tc>
        <w:tc>
          <w:tcPr>
            <w:tcW w:w="4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F2F2F2"/>
          </w:tcPr>
          <w:p>
            <w:pPr>
              <w:spacing w:after="0"/>
              <w:rPr>
                <w:sz w:val="9"/>
                <w:szCs w:val="9"/>
                <w:color w:val="auto"/>
              </w:rPr>
            </w:pPr>
          </w:p>
        </w:tc>
        <w:tc>
          <w:tcPr>
            <w:tcW w:w="2500" w:type="dxa"/>
            <w:vAlign w:val="bottom"/>
            <w:vMerge w:val="continue"/>
          </w:tcPr>
          <w:p>
            <w:pPr>
              <w:spacing w:after="0"/>
              <w:rPr>
                <w:sz w:val="9"/>
                <w:szCs w:val="9"/>
                <w:color w:val="auto"/>
              </w:rPr>
            </w:pPr>
          </w:p>
        </w:tc>
        <w:tc>
          <w:tcPr>
            <w:tcW w:w="2060" w:type="dxa"/>
            <w:vAlign w:val="bottom"/>
            <w:shd w:val="clear" w:color="auto" w:fill="F2F2F2"/>
          </w:tcPr>
          <w:p>
            <w:pPr>
              <w:spacing w:after="0"/>
              <w:rPr>
                <w:sz w:val="9"/>
                <w:szCs w:val="9"/>
                <w:color w:val="auto"/>
              </w:rPr>
            </w:pPr>
          </w:p>
        </w:tc>
        <w:tc>
          <w:tcPr>
            <w:tcW w:w="4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Executive physical exam program</w:t>
            </w:r>
          </w:p>
        </w:tc>
        <w:tc>
          <w:tcPr>
            <w:tcW w:w="0" w:type="dxa"/>
            <w:vAlign w:val="bottom"/>
          </w:tcPr>
          <w:p>
            <w:pPr>
              <w:spacing w:after="0"/>
              <w:rPr>
                <w:sz w:val="1"/>
                <w:szCs w:val="1"/>
                <w:color w:val="auto"/>
              </w:rPr>
            </w:pPr>
          </w:p>
        </w:tc>
      </w:tr>
      <w:tr>
        <w:trPr>
          <w:trHeight w:val="216"/>
        </w:trPr>
        <w:tc>
          <w:tcPr>
            <w:tcW w:w="2040" w:type="dxa"/>
            <w:vAlign w:val="bottom"/>
            <w:shd w:val="clear" w:color="auto" w:fill="F2F2F2"/>
          </w:tcPr>
          <w:p>
            <w:pPr>
              <w:spacing w:after="0"/>
              <w:rPr>
                <w:sz w:val="18"/>
                <w:szCs w:val="18"/>
                <w:color w:val="auto"/>
              </w:rPr>
            </w:pPr>
          </w:p>
        </w:tc>
        <w:tc>
          <w:tcPr>
            <w:tcW w:w="2500" w:type="dxa"/>
            <w:vAlign w:val="bottom"/>
          </w:tcPr>
          <w:p>
            <w:pPr>
              <w:spacing w:after="0"/>
              <w:rPr>
                <w:sz w:val="18"/>
                <w:szCs w:val="18"/>
                <w:color w:val="auto"/>
              </w:rPr>
            </w:pPr>
          </w:p>
        </w:tc>
        <w:tc>
          <w:tcPr>
            <w:tcW w:w="2060" w:type="dxa"/>
            <w:vAlign w:val="bottom"/>
            <w:shd w:val="clear" w:color="auto" w:fill="F2F2F2"/>
          </w:tcPr>
          <w:p>
            <w:pPr>
              <w:spacing w:after="0"/>
              <w:rPr>
                <w:sz w:val="18"/>
                <w:szCs w:val="18"/>
                <w:color w:val="auto"/>
              </w:rPr>
            </w:pPr>
          </w:p>
        </w:tc>
        <w:tc>
          <w:tcPr>
            <w:tcW w:w="4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040" w:type="dxa"/>
            <w:vAlign w:val="bottom"/>
            <w:shd w:val="clear" w:color="auto" w:fill="F2F2F2"/>
          </w:tcPr>
          <w:p>
            <w:pPr>
              <w:spacing w:after="0"/>
              <w:rPr>
                <w:sz w:val="24"/>
                <w:szCs w:val="24"/>
                <w:color w:val="auto"/>
              </w:rPr>
            </w:pPr>
          </w:p>
        </w:tc>
        <w:tc>
          <w:tcPr>
            <w:tcW w:w="2500" w:type="dxa"/>
            <w:vAlign w:val="bottom"/>
          </w:tcPr>
          <w:p>
            <w:pPr>
              <w:spacing w:after="0"/>
              <w:rPr>
                <w:sz w:val="24"/>
                <w:szCs w:val="24"/>
                <w:color w:val="auto"/>
              </w:rPr>
            </w:pPr>
          </w:p>
        </w:tc>
        <w:tc>
          <w:tcPr>
            <w:tcW w:w="2060" w:type="dxa"/>
            <w:vAlign w:val="bottom"/>
            <w:shd w:val="clear" w:color="auto" w:fill="F2F2F2"/>
          </w:tcPr>
          <w:p>
            <w:pPr>
              <w:spacing w:after="0"/>
              <w:rPr>
                <w:sz w:val="24"/>
                <w:szCs w:val="24"/>
                <w:color w:val="auto"/>
              </w:rPr>
            </w:pPr>
          </w:p>
        </w:tc>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Non-Qualified Deferred Compensation Program</w:t>
            </w:r>
          </w:p>
        </w:tc>
        <w:tc>
          <w:tcPr>
            <w:tcW w:w="0" w:type="dxa"/>
            <w:vAlign w:val="bottom"/>
          </w:tcPr>
          <w:p>
            <w:pPr>
              <w:spacing w:after="0"/>
              <w:rPr>
                <w:sz w:val="1"/>
                <w:szCs w:val="1"/>
                <w:color w:val="auto"/>
              </w:rPr>
            </w:pPr>
          </w:p>
        </w:tc>
      </w:tr>
      <w:tr>
        <w:trPr>
          <w:trHeight w:val="261"/>
        </w:trPr>
        <w:tc>
          <w:tcPr>
            <w:tcW w:w="2040" w:type="dxa"/>
            <w:vAlign w:val="bottom"/>
            <w:tcBorders>
              <w:bottom w:val="single" w:sz="8" w:color="F2F2F2"/>
            </w:tcBorders>
            <w:shd w:val="clear" w:color="auto" w:fill="F2F2F2"/>
          </w:tcPr>
          <w:p>
            <w:pPr>
              <w:spacing w:after="0"/>
              <w:rPr>
                <w:sz w:val="22"/>
                <w:szCs w:val="22"/>
                <w:color w:val="auto"/>
              </w:rPr>
            </w:pPr>
          </w:p>
        </w:tc>
        <w:tc>
          <w:tcPr>
            <w:tcW w:w="2500" w:type="dxa"/>
            <w:vAlign w:val="bottom"/>
          </w:tcPr>
          <w:p>
            <w:pPr>
              <w:spacing w:after="0"/>
              <w:rPr>
                <w:sz w:val="22"/>
                <w:szCs w:val="22"/>
                <w:color w:val="auto"/>
              </w:rPr>
            </w:pPr>
          </w:p>
        </w:tc>
        <w:tc>
          <w:tcPr>
            <w:tcW w:w="2060" w:type="dxa"/>
            <w:vAlign w:val="bottom"/>
            <w:tcBorders>
              <w:bottom w:val="single" w:sz="8" w:color="F2F2F2"/>
            </w:tcBorders>
            <w:shd w:val="clear" w:color="auto" w:fill="F2F2F2"/>
          </w:tcPr>
          <w:p>
            <w:pPr>
              <w:spacing w:after="0"/>
              <w:rPr>
                <w:sz w:val="22"/>
                <w:szCs w:val="22"/>
                <w:color w:val="auto"/>
              </w:rPr>
            </w:pPr>
          </w:p>
        </w:tc>
        <w:tc>
          <w:tcPr>
            <w:tcW w:w="4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available to all eligible employees</w:t>
            </w:r>
          </w:p>
        </w:tc>
        <w:tc>
          <w:tcPr>
            <w:tcW w:w="0" w:type="dxa"/>
            <w:vAlign w:val="bottom"/>
          </w:tcPr>
          <w:p>
            <w:pPr>
              <w:spacing w:after="0"/>
              <w:rPr>
                <w:sz w:val="1"/>
                <w:szCs w:val="1"/>
                <w:color w:val="auto"/>
              </w:rPr>
            </w:pPr>
          </w:p>
        </w:tc>
      </w:tr>
      <w:tr>
        <w:trPr>
          <w:trHeight w:val="898"/>
        </w:trPr>
        <w:tc>
          <w:tcPr>
            <w:tcW w:w="204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jc w:val="right"/>
              <w:ind w:right="794"/>
              <w:spacing w:after="0"/>
              <w:rPr>
                <w:sz w:val="20"/>
                <w:szCs w:val="20"/>
                <w:color w:val="auto"/>
              </w:rPr>
            </w:pPr>
            <w:r>
              <w:rPr>
                <w:rFonts w:ascii="Times New Roman" w:cs="Times New Roman" w:eastAsia="Times New Roman" w:hAnsi="Times New Roman"/>
                <w:sz w:val="18"/>
                <w:szCs w:val="18"/>
                <w:color w:val="auto"/>
              </w:rPr>
              <w:t>33</w:t>
            </w:r>
          </w:p>
        </w:tc>
        <w:tc>
          <w:tcPr>
            <w:tcW w:w="4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28" w:right="3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2021 COMPENSATION DECISIONS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establish base salaries for named executive officers that reflect each executive’s experience, expertise, and the complexity of his or her role as well as current competitive compensation data and internal comparisons. The Compensation Committee reviews base salaries of our named executive officers annually, and approves increases considering factors such as prior year performance, market competitiveness and affordability. Our NEOs’ annual base salary changes are aligned with Integra’s global annual merit budget with an effective date each year of April 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2021 BASE SALARY DECISIONS</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Named executive officers (other than Mr. De Witte) received salary increases in line with the overall Company-wide 2021 global annual merit increase budget of 3%. Ms. Anderson received a 5% increase to her base salary on April 1, 2021 to reflect her 2020 performance and better align her salary with the 50th percentile of our peer group. The base salaries in effect for the named executive officers for 2021 were: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00" w:type="dxa"/>
            <w:vAlign w:val="bottom"/>
            <w:tcBorders>
              <w:top w:val="single" w:sz="8" w:color="auto"/>
              <w:bottom w:val="single" w:sz="8" w:color="F2F2F2"/>
            </w:tcBorders>
            <w:shd w:val="clear" w:color="auto" w:fill="F2F2F2"/>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5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Times New Roman" w:cs="Times New Roman" w:eastAsia="Times New Roman" w:hAnsi="Times New Roman"/>
                <w:sz w:val="14"/>
                <w:szCs w:val="14"/>
                <w:b w:val="1"/>
                <w:bCs w:val="1"/>
                <w:color w:val="2E8D52"/>
              </w:rPr>
              <w:t>2020 BASE SALARY¹</w:t>
            </w:r>
          </w:p>
        </w:tc>
        <w:tc>
          <w:tcPr>
            <w:tcW w:w="400" w:type="dxa"/>
            <w:vAlign w:val="bottom"/>
            <w:tcBorders>
              <w:top w:val="single" w:sz="8" w:color="auto"/>
            </w:tcBorders>
          </w:tcPr>
          <w:p>
            <w:pPr>
              <w:spacing w:after="0"/>
              <w:rPr>
                <w:sz w:val="19"/>
                <w:szCs w:val="19"/>
                <w:color w:val="auto"/>
              </w:rPr>
            </w:pPr>
          </w:p>
        </w:tc>
        <w:tc>
          <w:tcPr>
            <w:tcW w:w="2500" w:type="dxa"/>
            <w:vAlign w:val="bottom"/>
            <w:tcBorders>
              <w:top w:val="single" w:sz="8" w:color="auto"/>
              <w:bottom w:val="single" w:sz="8" w:color="EAEAEA"/>
            </w:tcBorders>
            <w:shd w:val="clear" w:color="auto" w:fill="EAEAEA"/>
          </w:tcPr>
          <w:p>
            <w:pPr>
              <w:ind w:left="600"/>
              <w:spacing w:after="0"/>
              <w:rPr>
                <w:sz w:val="20"/>
                <w:szCs w:val="20"/>
                <w:color w:val="auto"/>
              </w:rPr>
            </w:pPr>
            <w:r>
              <w:rPr>
                <w:rFonts w:ascii="Times New Roman" w:cs="Times New Roman" w:eastAsia="Times New Roman" w:hAnsi="Times New Roman"/>
                <w:sz w:val="14"/>
                <w:szCs w:val="14"/>
                <w:b w:val="1"/>
                <w:bCs w:val="1"/>
                <w:color w:val="2E8D52"/>
              </w:rPr>
              <w:t>2021 BASE SALARY</w:t>
            </w:r>
          </w:p>
        </w:tc>
        <w:tc>
          <w:tcPr>
            <w:tcW w:w="380" w:type="dxa"/>
            <w:vAlign w:val="bottom"/>
            <w:tcBorders>
              <w:top w:val="single" w:sz="8" w:color="auto"/>
            </w:tcBorders>
          </w:tcPr>
          <w:p>
            <w:pPr>
              <w:spacing w:after="0"/>
              <w:rPr>
                <w:sz w:val="19"/>
                <w:szCs w:val="19"/>
                <w:color w:val="auto"/>
              </w:rPr>
            </w:pPr>
          </w:p>
        </w:tc>
        <w:tc>
          <w:tcPr>
            <w:tcW w:w="1800" w:type="dxa"/>
            <w:vAlign w:val="bottom"/>
            <w:tcBorders>
              <w:top w:val="single" w:sz="8" w:color="auto"/>
              <w:bottom w:val="single" w:sz="8" w:color="EAEAEA"/>
            </w:tcBorders>
            <w:shd w:val="clear" w:color="auto" w:fill="EAEAEA"/>
          </w:tcPr>
          <w:p>
            <w:pPr>
              <w:jc w:val="center"/>
              <w:spacing w:after="0"/>
              <w:rPr>
                <w:sz w:val="20"/>
                <w:szCs w:val="20"/>
                <w:color w:val="auto"/>
              </w:rPr>
            </w:pPr>
            <w:r>
              <w:rPr>
                <w:rFonts w:ascii="Times New Roman" w:cs="Times New Roman" w:eastAsia="Times New Roman" w:hAnsi="Times New Roman"/>
                <w:sz w:val="14"/>
                <w:szCs w:val="14"/>
                <w:b w:val="1"/>
                <w:bCs w:val="1"/>
                <w:color w:val="2E8D52"/>
              </w:rPr>
              <w:t>% INCREASE</w:t>
            </w:r>
          </w:p>
        </w:tc>
      </w:tr>
      <w:tr>
        <w:trPr>
          <w:trHeight w:val="263"/>
        </w:trPr>
        <w:tc>
          <w:tcPr>
            <w:tcW w:w="33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Jan D. De Witte²</w:t>
            </w:r>
          </w:p>
        </w:tc>
        <w:tc>
          <w:tcPr>
            <w:tcW w:w="360" w:type="dxa"/>
            <w:vAlign w:val="bottom"/>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0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$850,000</w:t>
            </w:r>
          </w:p>
        </w:tc>
        <w:tc>
          <w:tcPr>
            <w:tcW w:w="380" w:type="dxa"/>
            <w:vAlign w:val="bottom"/>
            <w:tcBorders>
              <w:top w:val="single" w:sz="8" w:color="auto"/>
            </w:tcBorders>
          </w:tcPr>
          <w:p>
            <w:pPr>
              <w:spacing w:after="0"/>
              <w:rPr>
                <w:sz w:val="22"/>
                <w:szCs w:val="22"/>
                <w:color w:val="auto"/>
              </w:rPr>
            </w:pPr>
          </w:p>
        </w:tc>
        <w:tc>
          <w:tcPr>
            <w:tcW w:w="18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33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c>
          <w:tcPr>
            <w:tcW w:w="36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$980,000</w:t>
            </w:r>
          </w:p>
        </w:tc>
        <w:tc>
          <w:tcPr>
            <w:tcW w:w="40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$1,000,000</w:t>
            </w:r>
          </w:p>
        </w:tc>
        <w:tc>
          <w:tcPr>
            <w:tcW w:w="380" w:type="dxa"/>
            <w:vAlign w:val="bottom"/>
            <w:tcBorders>
              <w:top w:val="single" w:sz="8" w:color="auto"/>
            </w:tcBorders>
          </w:tcPr>
          <w:p>
            <w:pPr>
              <w:spacing w:after="0"/>
              <w:rPr>
                <w:sz w:val="22"/>
                <w:szCs w:val="22"/>
                <w:color w:val="auto"/>
              </w:rPr>
            </w:pPr>
          </w:p>
        </w:tc>
        <w:tc>
          <w:tcPr>
            <w:tcW w:w="18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2.04%</w:t>
            </w:r>
          </w:p>
        </w:tc>
      </w:tr>
      <w:tr>
        <w:trPr>
          <w:trHeight w:val="263"/>
        </w:trPr>
        <w:tc>
          <w:tcPr>
            <w:tcW w:w="33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Carrie Anderson</w:t>
            </w:r>
          </w:p>
        </w:tc>
        <w:tc>
          <w:tcPr>
            <w:tcW w:w="36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40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$525,000</w:t>
            </w:r>
          </w:p>
        </w:tc>
        <w:tc>
          <w:tcPr>
            <w:tcW w:w="380" w:type="dxa"/>
            <w:vAlign w:val="bottom"/>
            <w:tcBorders>
              <w:top w:val="single" w:sz="8" w:color="auto"/>
            </w:tcBorders>
          </w:tcPr>
          <w:p>
            <w:pPr>
              <w:spacing w:after="0"/>
              <w:rPr>
                <w:sz w:val="22"/>
                <w:szCs w:val="22"/>
                <w:color w:val="auto"/>
              </w:rPr>
            </w:pPr>
          </w:p>
        </w:tc>
        <w:tc>
          <w:tcPr>
            <w:tcW w:w="18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r>
      <w:tr>
        <w:trPr>
          <w:trHeight w:val="263"/>
        </w:trPr>
        <w:tc>
          <w:tcPr>
            <w:tcW w:w="33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c>
          <w:tcPr>
            <w:tcW w:w="36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$600,000</w:t>
            </w:r>
          </w:p>
        </w:tc>
        <w:tc>
          <w:tcPr>
            <w:tcW w:w="40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$618,000</w:t>
            </w:r>
          </w:p>
        </w:tc>
        <w:tc>
          <w:tcPr>
            <w:tcW w:w="380" w:type="dxa"/>
            <w:vAlign w:val="bottom"/>
            <w:tcBorders>
              <w:top w:val="single" w:sz="8" w:color="auto"/>
            </w:tcBorders>
          </w:tcPr>
          <w:p>
            <w:pPr>
              <w:spacing w:after="0"/>
              <w:rPr>
                <w:sz w:val="22"/>
                <w:szCs w:val="22"/>
                <w:color w:val="auto"/>
              </w:rPr>
            </w:pPr>
          </w:p>
        </w:tc>
        <w:tc>
          <w:tcPr>
            <w:tcW w:w="18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r>
      <w:tr>
        <w:trPr>
          <w:trHeight w:val="263"/>
        </w:trPr>
        <w:tc>
          <w:tcPr>
            <w:tcW w:w="33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36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$476,684</w:t>
            </w:r>
          </w:p>
        </w:tc>
        <w:tc>
          <w:tcPr>
            <w:tcW w:w="400" w:type="dxa"/>
            <w:vAlign w:val="bottom"/>
            <w:tcBorders>
              <w:top w:val="single" w:sz="8" w:color="auto"/>
            </w:tcBorders>
          </w:tcPr>
          <w:p>
            <w:pPr>
              <w:spacing w:after="0"/>
              <w:rPr>
                <w:sz w:val="22"/>
                <w:szCs w:val="22"/>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$490,684</w:t>
            </w:r>
          </w:p>
        </w:tc>
        <w:tc>
          <w:tcPr>
            <w:tcW w:w="380" w:type="dxa"/>
            <w:vAlign w:val="bottom"/>
            <w:tcBorders>
              <w:top w:val="single" w:sz="8" w:color="auto"/>
            </w:tcBorders>
          </w:tcPr>
          <w:p>
            <w:pPr>
              <w:spacing w:after="0"/>
              <w:rPr>
                <w:sz w:val="22"/>
                <w:szCs w:val="22"/>
                <w:color w:val="auto"/>
              </w:rPr>
            </w:pPr>
          </w:p>
        </w:tc>
        <w:tc>
          <w:tcPr>
            <w:tcW w:w="18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2.94%</w:t>
            </w:r>
          </w:p>
        </w:tc>
      </w:tr>
      <w:tr>
        <w:trPr>
          <w:trHeight w:val="244"/>
        </w:trPr>
        <w:tc>
          <w:tcPr>
            <w:tcW w:w="33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Michael J. McBreen</w:t>
            </w:r>
          </w:p>
        </w:tc>
        <w:tc>
          <w:tcPr>
            <w:tcW w:w="360" w:type="dxa"/>
            <w:vAlign w:val="bottom"/>
            <w:tcBorders>
              <w:top w:val="single" w:sz="8" w:color="auto"/>
            </w:tcBorders>
          </w:tcPr>
          <w:p>
            <w:pPr>
              <w:spacing w:after="0"/>
              <w:rPr>
                <w:sz w:val="21"/>
                <w:szCs w:val="21"/>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400" w:type="dxa"/>
            <w:vAlign w:val="bottom"/>
            <w:tcBorders>
              <w:top w:val="single" w:sz="8" w:color="auto"/>
            </w:tcBorders>
          </w:tcPr>
          <w:p>
            <w:pPr>
              <w:spacing w:after="0"/>
              <w:rPr>
                <w:sz w:val="21"/>
                <w:szCs w:val="21"/>
                <w:color w:val="auto"/>
              </w:rPr>
            </w:pPr>
          </w:p>
        </w:tc>
        <w:tc>
          <w:tcPr>
            <w:tcW w:w="25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$463,500</w:t>
            </w:r>
          </w:p>
        </w:tc>
        <w:tc>
          <w:tcPr>
            <w:tcW w:w="380" w:type="dxa"/>
            <w:vAlign w:val="bottom"/>
            <w:tcBorders>
              <w:top w:val="single" w:sz="8" w:color="auto"/>
            </w:tcBorders>
          </w:tcPr>
          <w:p>
            <w:pPr>
              <w:spacing w:after="0"/>
              <w:rPr>
                <w:sz w:val="21"/>
                <w:szCs w:val="21"/>
                <w:color w:val="auto"/>
              </w:rPr>
            </w:pPr>
          </w:p>
        </w:tc>
        <w:tc>
          <w:tcPr>
            <w:tcW w:w="18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r>
      <w:tr>
        <w:trPr>
          <w:trHeight w:val="20"/>
        </w:trPr>
        <w:tc>
          <w:tcPr>
            <w:tcW w:w="3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428"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100" w:hanging="8"/>
        <w:spacing w:after="0" w:line="266" w:lineRule="auto"/>
        <w:rPr>
          <w:sz w:val="20"/>
          <w:szCs w:val="20"/>
          <w:color w:val="auto"/>
        </w:rPr>
      </w:pPr>
      <w:r>
        <w:rPr>
          <w:rFonts w:ascii="Times New Roman" w:cs="Times New Roman" w:eastAsia="Times New Roman" w:hAnsi="Times New Roman"/>
          <w:sz w:val="18"/>
          <w:szCs w:val="18"/>
          <w:color w:val="auto"/>
        </w:rPr>
        <w:t>Named executive officers did not receive base salary increases during 2020 due to the uncertainty COVID-19 presented. Actual 2020 salary paid was lower than what is shown due to a temporary salary reduction of 25% to 50% for all named executive officers from April 27, 2020 until August 1, 2020.</w:t>
      </w:r>
    </w:p>
    <w:p>
      <w:pPr>
        <w:spacing w:after="0" w:line="14" w:lineRule="exact"/>
        <w:rPr>
          <w:sz w:val="20"/>
          <w:szCs w:val="20"/>
          <w:color w:val="auto"/>
        </w:rPr>
      </w:pPr>
    </w:p>
    <w:p>
      <w:pPr>
        <w:ind w:right="120" w:hanging="8"/>
        <w:spacing w:after="0" w:line="282" w:lineRule="auto"/>
        <w:rPr>
          <w:sz w:val="20"/>
          <w:szCs w:val="20"/>
          <w:color w:val="auto"/>
        </w:rPr>
      </w:pPr>
      <w:r>
        <w:rPr>
          <w:rFonts w:ascii="Times New Roman" w:cs="Times New Roman" w:eastAsia="Times New Roman" w:hAnsi="Times New Roman"/>
          <w:sz w:val="18"/>
          <w:szCs w:val="18"/>
          <w:color w:val="auto"/>
        </w:rPr>
        <w:t>Mr. De Witte joined the Company on December 1, 2021 as President and CEO, at which time his annual salary was set at $850,000. His actual base salary earnings in 2021 were $58,846.</w:t>
      </w:r>
    </w:p>
    <w:p>
      <w:pPr>
        <w:spacing w:after="0" w:line="200" w:lineRule="exact"/>
        <w:rPr>
          <w:sz w:val="20"/>
          <w:szCs w:val="20"/>
          <w:color w:val="auto"/>
        </w:rPr>
      </w:pPr>
    </w:p>
    <w:p>
      <w:pPr>
        <w:sectPr>
          <w:pgSz w:w="11900" w:h="16838" w:orient="portrait"/>
          <w:cols w:equalWidth="0" w:num="2">
            <w:col w:w="60" w:space="440"/>
            <w:col w:w="10740"/>
          </w:cols>
          <w:pgMar w:left="320" w:top="428"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Performance Incentive Compensation Plan (the “Bonus Plan”) provides named executive officers with the opportunity to earn a cash award when they deliver strong annual Company and individual performance.</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Named executive officers are eligible for bonus payments only if the Company achieves a threshold goal of at least 70% of prior year adjusted EBITDA. If 70% of prior year adjusted EBITDA is met, the Bonus Plan is funded. Actual bonuses are determined based on the Company’s achievement of annual performance goals determined by the Compensation Committee within the first 90 days of each year. The annual bonus pool is determined based on Company performance — revenue (40% weighting), adjusted EBITDA (40% weighting) and operating cash flow (20% weighting). These metrics were selected as they are key indicators of the strength of our business and we believe they drive long-term stockholder return.</w:t>
      </w:r>
    </w:p>
    <w:p>
      <w:pPr>
        <w:spacing w:after="0" w:line="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Each named executive officer has a target bonus opportunity, with no minimum (that is, the actual payment could be 0%) and a cap at 200% of their target (200% of base salary for Mr. De Witte based on his employment agreement). Actual annual bonus paid may be modified based on an individual’s performance.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428" w:right="3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ANNUAL BONUS POOL FUNDING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annual bonus pool is funded for all Bonus Plan participants based on Company performance. The aggregate amount of the final payments to all participants, including the named executive officers, may not exceed the overall funded pool. For 2021, the Company’s funding model was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80" w:type="dxa"/>
            <w:vAlign w:val="bottom"/>
            <w:tcBorders>
              <w:top w:val="single" w:sz="8" w:color="auto"/>
            </w:tcBorders>
            <w:shd w:val="clear" w:color="auto" w:fill="F2F2F2"/>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shd w:val="clear" w:color="auto" w:fill="F2F2F2"/>
          </w:tcPr>
          <w:p>
            <w:pPr>
              <w:spacing w:after="0"/>
              <w:rPr>
                <w:sz w:val="18"/>
                <w:szCs w:val="18"/>
                <w:color w:val="auto"/>
              </w:rPr>
            </w:pPr>
          </w:p>
        </w:tc>
        <w:tc>
          <w:tcPr>
            <w:tcW w:w="2740" w:type="dxa"/>
            <w:vAlign w:val="bottom"/>
            <w:tcBorders>
              <w:top w:val="single" w:sz="8" w:color="auto"/>
            </w:tcBorders>
            <w:gridSpan w:val="3"/>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PERFORMANCE GOALS AS A % OF</w:t>
            </w:r>
          </w:p>
        </w:tc>
        <w:tc>
          <w:tcPr>
            <w:tcW w:w="1360" w:type="dxa"/>
            <w:vAlign w:val="bottom"/>
            <w:tcBorders>
              <w:top w:val="single" w:sz="8" w:color="auto"/>
            </w:tcBorders>
            <w:shd w:val="clear" w:color="auto" w:fill="F2F2F2"/>
          </w:tcPr>
          <w:p>
            <w:pPr>
              <w:spacing w:after="0"/>
              <w:rPr>
                <w:sz w:val="18"/>
                <w:szCs w:val="18"/>
                <w:color w:val="auto"/>
              </w:rPr>
            </w:pPr>
          </w:p>
        </w:tc>
      </w:tr>
      <w:tr>
        <w:trPr>
          <w:trHeight w:val="219"/>
        </w:trPr>
        <w:tc>
          <w:tcPr>
            <w:tcW w:w="4880" w:type="dxa"/>
            <w:vAlign w:val="bottom"/>
            <w:tcBorders>
              <w:bottom w:val="single" w:sz="8" w:color="F2F2F2"/>
            </w:tcBorders>
            <w:shd w:val="clear" w:color="auto" w:fill="F2F2F2"/>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Borders>
              <w:bottom w:val="single" w:sz="8" w:color="F2F2F2"/>
            </w:tcBorders>
            <w:shd w:val="clear" w:color="auto" w:fill="F2F2F2"/>
          </w:tcPr>
          <w:p>
            <w:pPr>
              <w:spacing w:after="0"/>
              <w:rPr>
                <w:sz w:val="18"/>
                <w:szCs w:val="18"/>
                <w:color w:val="auto"/>
              </w:rPr>
            </w:pPr>
          </w:p>
        </w:tc>
        <w:tc>
          <w:tcPr>
            <w:tcW w:w="1040" w:type="dxa"/>
            <w:vAlign w:val="bottom"/>
            <w:tcBorders>
              <w:bottom w:val="single" w:sz="8" w:color="F2F2F2"/>
            </w:tcBorders>
            <w:shd w:val="clear" w:color="auto" w:fill="F2F2F2"/>
          </w:tcPr>
          <w:p>
            <w:pPr>
              <w:spacing w:after="0"/>
              <w:rPr>
                <w:sz w:val="18"/>
                <w:szCs w:val="18"/>
                <w:color w:val="auto"/>
              </w:rPr>
            </w:pPr>
          </w:p>
        </w:tc>
        <w:tc>
          <w:tcPr>
            <w:tcW w:w="1700" w:type="dxa"/>
            <w:vAlign w:val="bottom"/>
            <w:tcBorders>
              <w:bottom w:val="single" w:sz="8" w:color="F2F2F2"/>
            </w:tcBorders>
            <w:gridSpan w:val="2"/>
            <w:shd w:val="clear" w:color="auto" w:fill="F2F2F2"/>
          </w:tcPr>
          <w:p>
            <w:pPr>
              <w:jc w:val="center"/>
              <w:ind w:right="934"/>
              <w:spacing w:after="0"/>
              <w:rPr>
                <w:sz w:val="20"/>
                <w:szCs w:val="20"/>
                <w:color w:val="auto"/>
              </w:rPr>
            </w:pPr>
            <w:r>
              <w:rPr>
                <w:rFonts w:ascii="Times New Roman" w:cs="Times New Roman" w:eastAsia="Times New Roman" w:hAnsi="Times New Roman"/>
                <w:sz w:val="14"/>
                <w:szCs w:val="14"/>
                <w:b w:val="1"/>
                <w:bCs w:val="1"/>
                <w:color w:val="2E8D52"/>
              </w:rPr>
              <w:t>TARGET</w:t>
            </w:r>
          </w:p>
        </w:tc>
        <w:tc>
          <w:tcPr>
            <w:tcW w:w="1360" w:type="dxa"/>
            <w:vAlign w:val="bottom"/>
            <w:tcBorders>
              <w:bottom w:val="single" w:sz="8" w:color="F2F2F2"/>
            </w:tcBorders>
            <w:shd w:val="clear" w:color="auto" w:fill="F2F2F2"/>
          </w:tcPr>
          <w:p>
            <w:pPr>
              <w:spacing w:after="0"/>
              <w:rPr>
                <w:sz w:val="18"/>
                <w:szCs w:val="18"/>
                <w:color w:val="auto"/>
              </w:rPr>
            </w:pPr>
          </w:p>
        </w:tc>
      </w:tr>
      <w:tr>
        <w:trPr>
          <w:trHeight w:val="158"/>
        </w:trPr>
        <w:tc>
          <w:tcPr>
            <w:tcW w:w="4880" w:type="dxa"/>
            <w:vAlign w:val="bottom"/>
            <w:tcBorders>
              <w:top w:val="single" w:sz="8" w:color="F2F2F2"/>
            </w:tcBorders>
            <w:shd w:val="clear" w:color="auto" w:fill="F2F2F2"/>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tcBorders>
              <w:top w:val="single" w:sz="8" w:color="auto"/>
            </w:tcBorders>
            <w:shd w:val="clear" w:color="auto" w:fill="F2F2F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Below</w:t>
            </w:r>
          </w:p>
        </w:tc>
        <w:tc>
          <w:tcPr>
            <w:tcW w:w="10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shd w:val="clear" w:color="auto" w:fill="F2F2F2"/>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r>
      <w:tr>
        <w:trPr>
          <w:trHeight w:val="214"/>
        </w:trPr>
        <w:tc>
          <w:tcPr>
            <w:tcW w:w="488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4"/>
                <w:szCs w:val="14"/>
                <w:b w:val="1"/>
                <w:bCs w:val="1"/>
                <w:color w:val="2E8D52"/>
              </w:rPr>
              <w:t>PERFORMANCE METRIC</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2"/>
              </w:rPr>
              <w:t>WEIGHT</w:t>
            </w:r>
          </w:p>
        </w:tc>
        <w:tc>
          <w:tcPr>
            <w:tcW w:w="136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4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340" w:type="dxa"/>
            <w:vAlign w:val="bottom"/>
          </w:tcPr>
          <w:p>
            <w:pPr>
              <w:spacing w:after="0"/>
              <w:rPr>
                <w:sz w:val="18"/>
                <w:szCs w:val="18"/>
                <w:color w:val="auto"/>
              </w:rPr>
            </w:pPr>
          </w:p>
        </w:tc>
        <w:tc>
          <w:tcPr>
            <w:tcW w:w="1360" w:type="dxa"/>
            <w:vAlign w:val="bottom"/>
            <w:tcBorders>
              <w:bottom w:val="single" w:sz="8" w:color="F2F2F2"/>
            </w:tcBorders>
            <w:shd w:val="clear" w:color="auto" w:fill="F2F2F2"/>
          </w:tcPr>
          <w:p>
            <w:pPr>
              <w:ind w:left="4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3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263"/>
        </w:trPr>
        <w:tc>
          <w:tcPr>
            <w:tcW w:w="488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95.9%</w:t>
            </w:r>
          </w:p>
        </w:tc>
        <w:tc>
          <w:tcPr>
            <w:tcW w:w="1040" w:type="dxa"/>
            <w:vAlign w:val="bottom"/>
            <w:tcBorders>
              <w:top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r>
      <w:tr>
        <w:trPr>
          <w:trHeight w:val="263"/>
        </w:trPr>
        <w:tc>
          <w:tcPr>
            <w:tcW w:w="488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Adjusted EBITDA¹</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92.9%</w:t>
            </w:r>
          </w:p>
        </w:tc>
        <w:tc>
          <w:tcPr>
            <w:tcW w:w="1040" w:type="dxa"/>
            <w:vAlign w:val="bottom"/>
            <w:tcBorders>
              <w:top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rPr>
              <w:t>93%</w:t>
            </w:r>
          </w:p>
        </w:tc>
        <w:tc>
          <w:tcPr>
            <w:tcW w:w="34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r>
      <w:tr>
        <w:trPr>
          <w:trHeight w:val="264"/>
        </w:trPr>
        <w:tc>
          <w:tcPr>
            <w:tcW w:w="488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Operating Cash Flow</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8"/>
              </w:rPr>
              <w:t>84.9%</w:t>
            </w:r>
          </w:p>
        </w:tc>
        <w:tc>
          <w:tcPr>
            <w:tcW w:w="1040" w:type="dxa"/>
            <w:vAlign w:val="bottom"/>
            <w:tcBorders>
              <w:top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rPr>
              <w:t>85%</w:t>
            </w:r>
          </w:p>
        </w:tc>
        <w:tc>
          <w:tcPr>
            <w:tcW w:w="340" w:type="dxa"/>
            <w:vAlign w:val="bottom"/>
            <w:tcBorders>
              <w:top w:val="single" w:sz="8" w:color="auto"/>
            </w:tcBorders>
          </w:tcPr>
          <w:p>
            <w:pPr>
              <w:spacing w:after="0"/>
              <w:rPr>
                <w:sz w:val="22"/>
                <w:szCs w:val="22"/>
                <w:color w:val="auto"/>
              </w:rPr>
            </w:pP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115%</w:t>
            </w:r>
          </w:p>
        </w:tc>
      </w:tr>
      <w:tr>
        <w:trPr>
          <w:trHeight w:val="243"/>
        </w:trPr>
        <w:tc>
          <w:tcPr>
            <w:tcW w:w="488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Annual Bonus Pool Funding (as a % of Target)</w:t>
            </w:r>
          </w:p>
        </w:tc>
        <w:tc>
          <w:tcPr>
            <w:tcW w:w="90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0%</w:t>
            </w:r>
          </w:p>
        </w:tc>
        <w:tc>
          <w:tcPr>
            <w:tcW w:w="1040" w:type="dxa"/>
            <w:vAlign w:val="bottom"/>
            <w:tcBorders>
              <w:top w:val="single" w:sz="8" w:color="auto"/>
            </w:tcBorders>
          </w:tcPr>
          <w:p>
            <w:pPr>
              <w:jc w:val="center"/>
              <w:ind w:left="276"/>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34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150%</w:t>
            </w:r>
          </w:p>
        </w:tc>
      </w:tr>
      <w:tr>
        <w:trPr>
          <w:trHeight w:val="20"/>
        </w:trPr>
        <w:tc>
          <w:tcPr>
            <w:tcW w:w="48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30" w:lineRule="exact"/>
        <w:rPr>
          <w:sz w:val="20"/>
          <w:szCs w:val="20"/>
          <w:color w:val="auto"/>
        </w:rPr>
      </w:pPr>
    </w:p>
    <w:p>
      <w:pPr>
        <w:jc w:val="both"/>
        <w:ind w:left="500" w:hanging="492"/>
        <w:spacing w:after="0" w:line="239" w:lineRule="auto"/>
        <w:tabs>
          <w:tab w:leader="none" w:pos="491"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discontinued product lines charges; (iv) EU Medical Device Regulation-related charges; (v) COVID-19 related charges; (vi) convertible debt non-cash interest;</w:t>
      </w:r>
    </w:p>
    <w:p>
      <w:pPr>
        <w:ind w:left="500" w:hanging="6"/>
        <w:spacing w:after="0" w:line="260" w:lineRule="auto"/>
        <w:tabs>
          <w:tab w:leader="none" w:pos="87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expense; and, (viii) income tax impact from adjustments. See “Appendix A — Reconciliations of Non-GAAP Financial Measures”.</w:t>
      </w:r>
    </w:p>
    <w:p>
      <w:pPr>
        <w:spacing w:after="0" w:line="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This same funding model will also apply for the 2022 performance year.</w:t>
      </w:r>
    </w:p>
    <w:p>
      <w:pPr>
        <w:spacing w:after="0" w:line="25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Additionally, the Committee has negative discretion to reduce the amount of the bonus pool funding, and subsequently named executive officer awards.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Despite ongoing COVID-related variability, inflationary pressures that emerged in the second half of the year and COVID impact on our supply chain, we delivered financial results reflecting strong demand for our diverse portfolio of products and the benefit of demand recovery in a number of our product lines.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shown in the charts below, we exceeded our performance targets for each metric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503545" cy="18859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0354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800" w:type="dxa"/>
            <w:vAlign w:val="bottom"/>
            <w:tcBorders>
              <w:top w:val="single" w:sz="8" w:color="0F7F40"/>
              <w:left w:val="single" w:sz="8" w:color="0F7F40"/>
              <w:bottom w:val="single" w:sz="8" w:color="F2F2F2"/>
              <w:right w:val="single" w:sz="8" w:color="0F7F40"/>
            </w:tcBorders>
            <w:shd w:val="clear" w:color="auto" w:fill="F2F2F2"/>
          </w:tcPr>
          <w:p>
            <w:pPr>
              <w:ind w:left="480"/>
              <w:spacing w:after="0"/>
              <w:rPr>
                <w:sz w:val="20"/>
                <w:szCs w:val="20"/>
                <w:color w:val="auto"/>
              </w:rPr>
            </w:pPr>
            <w:r>
              <w:rPr>
                <w:rFonts w:ascii="Times New Roman" w:cs="Times New Roman" w:eastAsia="Times New Roman" w:hAnsi="Times New Roman"/>
                <w:sz w:val="18"/>
                <w:szCs w:val="18"/>
                <w:color w:val="auto"/>
              </w:rPr>
              <w:t>Achieved 101% of Target</w:t>
            </w:r>
          </w:p>
        </w:tc>
        <w:tc>
          <w:tcPr>
            <w:tcW w:w="240" w:type="dxa"/>
            <w:vAlign w:val="bottom"/>
            <w:tcBorders>
              <w:right w:val="single" w:sz="8" w:color="0F7F40"/>
            </w:tcBorders>
          </w:tcPr>
          <w:p>
            <w:pPr>
              <w:spacing w:after="0"/>
              <w:rPr>
                <w:sz w:val="22"/>
                <w:szCs w:val="22"/>
                <w:color w:val="auto"/>
              </w:rPr>
            </w:pPr>
          </w:p>
        </w:tc>
        <w:tc>
          <w:tcPr>
            <w:tcW w:w="2800" w:type="dxa"/>
            <w:vAlign w:val="bottom"/>
            <w:tcBorders>
              <w:top w:val="single" w:sz="8" w:color="0F7F40"/>
              <w:bottom w:val="single" w:sz="8" w:color="F2F2F2"/>
              <w:right w:val="single" w:sz="8" w:color="0F7F40"/>
            </w:tcBorders>
            <w:shd w:val="clear" w:color="auto" w:fill="F2F2F2"/>
          </w:tcPr>
          <w:p>
            <w:pPr>
              <w:ind w:left="460"/>
              <w:spacing w:after="0"/>
              <w:rPr>
                <w:sz w:val="20"/>
                <w:szCs w:val="20"/>
                <w:color w:val="auto"/>
              </w:rPr>
            </w:pPr>
            <w:r>
              <w:rPr>
                <w:rFonts w:ascii="Times New Roman" w:cs="Times New Roman" w:eastAsia="Times New Roman" w:hAnsi="Times New Roman"/>
                <w:sz w:val="18"/>
                <w:szCs w:val="18"/>
                <w:color w:val="auto"/>
              </w:rPr>
              <w:t>Achieved 107% of Target</w:t>
            </w:r>
          </w:p>
        </w:tc>
        <w:tc>
          <w:tcPr>
            <w:tcW w:w="220" w:type="dxa"/>
            <w:vAlign w:val="bottom"/>
            <w:tcBorders>
              <w:right w:val="single" w:sz="8" w:color="0F7F40"/>
            </w:tcBorders>
          </w:tcPr>
          <w:p>
            <w:pPr>
              <w:spacing w:after="0"/>
              <w:rPr>
                <w:sz w:val="22"/>
                <w:szCs w:val="22"/>
                <w:color w:val="auto"/>
              </w:rPr>
            </w:pPr>
          </w:p>
        </w:tc>
        <w:tc>
          <w:tcPr>
            <w:tcW w:w="2780" w:type="dxa"/>
            <w:vAlign w:val="bottom"/>
            <w:tcBorders>
              <w:top w:val="single" w:sz="8" w:color="0F7F40"/>
              <w:bottom w:val="single" w:sz="8" w:color="F2F2F2"/>
              <w:right w:val="single" w:sz="8" w:color="0F7F40"/>
            </w:tcBorders>
            <w:shd w:val="clear" w:color="auto" w:fill="F2F2F2"/>
          </w:tcPr>
          <w:p>
            <w:pPr>
              <w:ind w:left="460"/>
              <w:spacing w:after="0"/>
              <w:rPr>
                <w:sz w:val="20"/>
                <w:szCs w:val="20"/>
                <w:color w:val="auto"/>
              </w:rPr>
            </w:pPr>
            <w:r>
              <w:rPr>
                <w:rFonts w:ascii="Times New Roman" w:cs="Times New Roman" w:eastAsia="Times New Roman" w:hAnsi="Times New Roman"/>
                <w:sz w:val="18"/>
                <w:szCs w:val="18"/>
                <w:color w:val="auto"/>
              </w:rPr>
              <w:t>Achieved 136% of Target</w:t>
            </w:r>
          </w:p>
        </w:tc>
      </w:tr>
      <w:tr>
        <w:trPr>
          <w:trHeight w:val="20"/>
        </w:trPr>
        <w:tc>
          <w:tcPr>
            <w:tcW w:w="2800" w:type="dxa"/>
            <w:vAlign w:val="bottom"/>
            <w:tcBorders>
              <w:left w:val="single" w:sz="8" w:color="0F7F40"/>
              <w:right w:val="single" w:sz="8" w:color="0F7F40"/>
            </w:tcBorders>
            <w:shd w:val="clear" w:color="auto" w:fill="0F7F40"/>
          </w:tcPr>
          <w:p>
            <w:pPr>
              <w:spacing w:after="0" w:line="20" w:lineRule="exact"/>
              <w:rPr>
                <w:sz w:val="1"/>
                <w:szCs w:val="1"/>
                <w:color w:val="auto"/>
              </w:rPr>
            </w:pPr>
          </w:p>
        </w:tc>
        <w:tc>
          <w:tcPr>
            <w:tcW w:w="240" w:type="dxa"/>
            <w:vAlign w:val="bottom"/>
            <w:tcBorders>
              <w:right w:val="single" w:sz="8" w:color="0F7F40"/>
            </w:tcBorders>
          </w:tcPr>
          <w:p>
            <w:pPr>
              <w:spacing w:after="0" w:line="20" w:lineRule="exact"/>
              <w:rPr>
                <w:sz w:val="1"/>
                <w:szCs w:val="1"/>
                <w:color w:val="auto"/>
              </w:rPr>
            </w:pPr>
          </w:p>
        </w:tc>
        <w:tc>
          <w:tcPr>
            <w:tcW w:w="2800" w:type="dxa"/>
            <w:vAlign w:val="bottom"/>
            <w:tcBorders>
              <w:right w:val="single" w:sz="8" w:color="0F7F40"/>
            </w:tcBorders>
            <w:shd w:val="clear" w:color="auto" w:fill="0F7F40"/>
          </w:tcPr>
          <w:p>
            <w:pPr>
              <w:spacing w:after="0" w:line="20" w:lineRule="exact"/>
              <w:rPr>
                <w:sz w:val="1"/>
                <w:szCs w:val="1"/>
                <w:color w:val="auto"/>
              </w:rPr>
            </w:pPr>
          </w:p>
        </w:tc>
        <w:tc>
          <w:tcPr>
            <w:tcW w:w="220" w:type="dxa"/>
            <w:vAlign w:val="bottom"/>
            <w:tcBorders>
              <w:right w:val="single" w:sz="8" w:color="0F7F40"/>
            </w:tcBorders>
          </w:tcPr>
          <w:p>
            <w:pPr>
              <w:spacing w:after="0" w:line="20" w:lineRule="exact"/>
              <w:rPr>
                <w:sz w:val="1"/>
                <w:szCs w:val="1"/>
                <w:color w:val="auto"/>
              </w:rPr>
            </w:pPr>
          </w:p>
        </w:tc>
        <w:tc>
          <w:tcPr>
            <w:tcW w:w="2780" w:type="dxa"/>
            <w:vAlign w:val="bottom"/>
            <w:tcBorders>
              <w:right w:val="single" w:sz="8" w:color="0F7F40"/>
            </w:tcBorders>
            <w:shd w:val="clear" w:color="auto" w:fill="0F7F40"/>
          </w:tcPr>
          <w:p>
            <w:pPr>
              <w:spacing w:after="0" w:line="20" w:lineRule="exact"/>
              <w:rPr>
                <w:sz w:val="1"/>
                <w:szCs w:val="1"/>
                <w:color w:val="auto"/>
              </w:rPr>
            </w:pPr>
          </w:p>
        </w:tc>
      </w:tr>
    </w:tbl>
    <w:p>
      <w:pPr>
        <w:spacing w:after="0" w:line="3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Based on this successful business performance, the overall annual bonus pool was funded at 135.1</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of target for all eligible participants in 2021.</w:t>
      </w:r>
    </w:p>
    <w:p>
      <w:pPr>
        <w:spacing w:after="0" w:line="25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determining the awards for named executive officers, the Compensation Committee considered the bonus pool funding as well as the collective and individual performance of our named executive officers, noting the following accomplishments in areas spanning our financial, strategic, operational, and diversity and inclusion progress.</w:t>
      </w: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428" w:right="3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Borders>
              <w:top w:val="single" w:sz="8" w:color="auto"/>
              <w:bottom w:val="single" w:sz="8" w:color="F2F2F2"/>
            </w:tcBorders>
            <w:shd w:val="clear" w:color="auto" w:fill="F2F2F2"/>
          </w:tcPr>
          <w:p>
            <w:pPr>
              <w:spacing w:after="0"/>
              <w:rPr>
                <w:sz w:val="19"/>
                <w:szCs w:val="19"/>
                <w:color w:val="auto"/>
              </w:rPr>
            </w:pPr>
          </w:p>
        </w:tc>
        <w:tc>
          <w:tcPr>
            <w:tcW w:w="8980" w:type="dxa"/>
            <w:vAlign w:val="bottom"/>
            <w:tcBorders>
              <w:top w:val="single" w:sz="8" w:color="auto"/>
            </w:tcBorders>
          </w:tcPr>
          <w:p>
            <w:pPr>
              <w:ind w:left="3560"/>
              <w:spacing w:after="0"/>
              <w:rPr>
                <w:sz w:val="20"/>
                <w:szCs w:val="20"/>
                <w:color w:val="auto"/>
              </w:rPr>
            </w:pPr>
            <w:r>
              <w:rPr>
                <w:rFonts w:ascii="Times New Roman" w:cs="Times New Roman" w:eastAsia="Times New Roman" w:hAnsi="Times New Roman"/>
                <w:sz w:val="14"/>
                <w:szCs w:val="14"/>
                <w:b w:val="1"/>
                <w:bCs w:val="1"/>
                <w:color w:val="2E8D52"/>
              </w:rPr>
              <w:t>KEY ACCOMPLISHMENTS</w:t>
            </w:r>
          </w:p>
        </w:tc>
        <w:tc>
          <w:tcPr>
            <w:tcW w:w="0" w:type="dxa"/>
            <w:vAlign w:val="bottom"/>
          </w:tcPr>
          <w:p>
            <w:pPr>
              <w:spacing w:after="0"/>
              <w:rPr>
                <w:sz w:val="1"/>
                <w:szCs w:val="1"/>
                <w:color w:val="auto"/>
              </w:rPr>
            </w:pPr>
          </w:p>
        </w:tc>
      </w:tr>
      <w:tr>
        <w:trPr>
          <w:trHeight w:val="237"/>
        </w:trPr>
        <w:tc>
          <w:tcPr>
            <w:tcW w:w="226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Jan De Witte</w:t>
            </w:r>
          </w:p>
        </w:tc>
        <w:tc>
          <w:tcPr>
            <w:tcW w:w="89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Executed smooth CEO transition</w:t>
            </w:r>
          </w:p>
        </w:tc>
        <w:tc>
          <w:tcPr>
            <w:tcW w:w="0" w:type="dxa"/>
            <w:vAlign w:val="bottom"/>
          </w:tcPr>
          <w:p>
            <w:pPr>
              <w:spacing w:after="0"/>
              <w:rPr>
                <w:sz w:val="1"/>
                <w:szCs w:val="1"/>
                <w:color w:val="auto"/>
              </w:rPr>
            </w:pPr>
          </w:p>
        </w:tc>
      </w:tr>
      <w:tr>
        <w:trPr>
          <w:trHeight w:val="108"/>
        </w:trPr>
        <w:tc>
          <w:tcPr>
            <w:tcW w:w="2260" w:type="dxa"/>
            <w:vAlign w:val="bottom"/>
            <w:shd w:val="clear" w:color="auto" w:fill="F2F2F2"/>
          </w:tcPr>
          <w:p>
            <w:pPr>
              <w:spacing w:after="0"/>
              <w:rPr>
                <w:sz w:val="9"/>
                <w:szCs w:val="9"/>
                <w:color w:val="auto"/>
              </w:rPr>
            </w:pPr>
          </w:p>
        </w:tc>
        <w:tc>
          <w:tcPr>
            <w:tcW w:w="8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Established 2022 operating plan and priorities for the Company</w:t>
            </w:r>
          </w:p>
        </w:tc>
        <w:tc>
          <w:tcPr>
            <w:tcW w:w="0" w:type="dxa"/>
            <w:vAlign w:val="bottom"/>
          </w:tcPr>
          <w:p>
            <w:pPr>
              <w:spacing w:after="0"/>
              <w:rPr>
                <w:sz w:val="1"/>
                <w:szCs w:val="1"/>
                <w:color w:val="auto"/>
              </w:rPr>
            </w:pPr>
          </w:p>
        </w:tc>
      </w:tr>
      <w:tr>
        <w:trPr>
          <w:trHeight w:val="324"/>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Completed initial assessment of long-term growth opportunities and business objectives</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Completed CEO assimilation plan including operating reviews, Integra site visits, customer engagements, and</w:t>
            </w:r>
          </w:p>
        </w:tc>
        <w:tc>
          <w:tcPr>
            <w:tcW w:w="0" w:type="dxa"/>
            <w:vAlign w:val="bottom"/>
          </w:tcPr>
          <w:p>
            <w:pPr>
              <w:spacing w:after="0"/>
              <w:rPr>
                <w:sz w:val="1"/>
                <w:szCs w:val="1"/>
                <w:color w:val="auto"/>
              </w:rPr>
            </w:pPr>
          </w:p>
        </w:tc>
      </w:tr>
      <w:tr>
        <w:trPr>
          <w:trHeight w:val="261"/>
        </w:trPr>
        <w:tc>
          <w:tcPr>
            <w:tcW w:w="2260" w:type="dxa"/>
            <w:vAlign w:val="bottom"/>
            <w:tcBorders>
              <w:bottom w:val="single" w:sz="8" w:color="F2F2F2"/>
            </w:tcBorders>
            <w:shd w:val="clear" w:color="auto" w:fill="F2F2F2"/>
          </w:tcPr>
          <w:p>
            <w:pPr>
              <w:spacing w:after="0"/>
              <w:rPr>
                <w:sz w:val="22"/>
                <w:szCs w:val="22"/>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interactive sessions with colleagues and leaders.</w:t>
            </w:r>
          </w:p>
        </w:tc>
        <w:tc>
          <w:tcPr>
            <w:tcW w:w="0" w:type="dxa"/>
            <w:vAlign w:val="bottom"/>
          </w:tcPr>
          <w:p>
            <w:pPr>
              <w:spacing w:after="0"/>
              <w:rPr>
                <w:sz w:val="1"/>
                <w:szCs w:val="1"/>
                <w:color w:val="auto"/>
              </w:rPr>
            </w:pPr>
          </w:p>
        </w:tc>
      </w:tr>
      <w:tr>
        <w:trPr>
          <w:trHeight w:val="218"/>
        </w:trPr>
        <w:tc>
          <w:tcPr>
            <w:tcW w:w="226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Carrie Anderson</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Steered Company to exceed 2021 Operating Plan commitments for revenue, adjusted EBITDA, adjusted EPS and</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 despite continuing COVID-19 direct and indirect impacts to business</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Maintained strong, flexible balance sheet and ample liquidity by: consolidating total leverage ratio finished year at</w:t>
            </w:r>
          </w:p>
        </w:tc>
        <w:tc>
          <w:tcPr>
            <w:tcW w:w="0" w:type="dxa"/>
            <w:vAlign w:val="bottom"/>
          </w:tcPr>
          <w:p>
            <w:pPr>
              <w:spacing w:after="0"/>
              <w:rPr>
                <w:sz w:val="1"/>
                <w:szCs w:val="1"/>
                <w:color w:val="auto"/>
              </w:rPr>
            </w:pPr>
          </w:p>
        </w:tc>
      </w:tr>
      <w:tr>
        <w:trPr>
          <w:trHeight w:val="216"/>
        </w:trPr>
        <w:tc>
          <w:tcPr>
            <w:tcW w:w="2260" w:type="dxa"/>
            <w:vAlign w:val="bottom"/>
            <w:shd w:val="clear" w:color="auto" w:fill="F2F2F2"/>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2.3X, lower than targeted 2.5-3.5X range due to strong cash flow; improving accounts receivable collection efforts and</w:t>
            </w:r>
          </w:p>
        </w:tc>
        <w:tc>
          <w:tcPr>
            <w:tcW w:w="0" w:type="dxa"/>
            <w:vAlign w:val="bottom"/>
          </w:tcPr>
          <w:p>
            <w:pPr>
              <w:spacing w:after="0"/>
              <w:rPr>
                <w:sz w:val="1"/>
                <w:szCs w:val="1"/>
                <w:color w:val="auto"/>
              </w:rPr>
            </w:pPr>
          </w:p>
        </w:tc>
      </w:tr>
      <w:tr>
        <w:trPr>
          <w:trHeight w:val="216"/>
        </w:trPr>
        <w:tc>
          <w:tcPr>
            <w:tcW w:w="2260" w:type="dxa"/>
            <w:vAlign w:val="bottom"/>
            <w:shd w:val="clear" w:color="auto" w:fill="F2F2F2"/>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advanced extension of supplier payment terms initiative by moving to 90-day payment terms, and renewing accounts</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 securitization facility</w:t>
            </w:r>
          </w:p>
        </w:tc>
        <w:tc>
          <w:tcPr>
            <w:tcW w:w="0" w:type="dxa"/>
            <w:vAlign w:val="bottom"/>
          </w:tcPr>
          <w:p>
            <w:pPr>
              <w:spacing w:after="0"/>
              <w:rPr>
                <w:sz w:val="1"/>
                <w:szCs w:val="1"/>
                <w:color w:val="auto"/>
              </w:rPr>
            </w:pPr>
          </w:p>
        </w:tc>
      </w:tr>
      <w:tr>
        <w:trPr>
          <w:trHeight w:val="324"/>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Completed significant portfolio transformation actions, positioning Company for faster and more profitable growth</w:t>
            </w:r>
          </w:p>
        </w:tc>
        <w:tc>
          <w:tcPr>
            <w:tcW w:w="0" w:type="dxa"/>
            <w:vAlign w:val="bottom"/>
          </w:tcPr>
          <w:p>
            <w:pPr>
              <w:spacing w:after="0"/>
              <w:rPr>
                <w:sz w:val="1"/>
                <w:szCs w:val="1"/>
                <w:color w:val="auto"/>
              </w:rPr>
            </w:pPr>
          </w:p>
        </w:tc>
      </w:tr>
      <w:tr>
        <w:trPr>
          <w:trHeight w:val="324"/>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Completed successful Investor Day, outlining profitable growth strategy and long-term financial goals</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Managed on-time submission of EU MDR Class I remediation deliverables, as well as implementing enhanced</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financial rigor around project expense forecasting and management</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Led in advancement of diversity and inclusion initiatives, including serving as executive sponsor for Integra’s African</w:t>
            </w:r>
          </w:p>
        </w:tc>
        <w:tc>
          <w:tcPr>
            <w:tcW w:w="0" w:type="dxa"/>
            <w:vAlign w:val="bottom"/>
          </w:tcPr>
          <w:p>
            <w:pPr>
              <w:spacing w:after="0"/>
              <w:rPr>
                <w:sz w:val="1"/>
                <w:szCs w:val="1"/>
                <w:color w:val="auto"/>
              </w:rPr>
            </w:pPr>
          </w:p>
        </w:tc>
      </w:tr>
      <w:tr>
        <w:trPr>
          <w:trHeight w:val="261"/>
        </w:trPr>
        <w:tc>
          <w:tcPr>
            <w:tcW w:w="2260" w:type="dxa"/>
            <w:vAlign w:val="bottom"/>
            <w:tcBorders>
              <w:bottom w:val="single" w:sz="8" w:color="F2F2F2"/>
            </w:tcBorders>
            <w:shd w:val="clear" w:color="auto" w:fill="F2F2F2"/>
          </w:tcPr>
          <w:p>
            <w:pPr>
              <w:spacing w:after="0"/>
              <w:rPr>
                <w:sz w:val="22"/>
                <w:szCs w:val="22"/>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American Affinity Group</w:t>
            </w:r>
          </w:p>
        </w:tc>
        <w:tc>
          <w:tcPr>
            <w:tcW w:w="0" w:type="dxa"/>
            <w:vAlign w:val="bottom"/>
          </w:tcPr>
          <w:p>
            <w:pPr>
              <w:spacing w:after="0"/>
              <w:rPr>
                <w:sz w:val="1"/>
                <w:szCs w:val="1"/>
                <w:color w:val="auto"/>
              </w:rPr>
            </w:pPr>
          </w:p>
        </w:tc>
      </w:tr>
      <w:tr>
        <w:trPr>
          <w:trHeight w:val="218"/>
        </w:trPr>
        <w:tc>
          <w:tcPr>
            <w:tcW w:w="226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Glenn G. Coleman</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Successfully led Integra through the COVID-19 pandemic and recovery and exceeded all key financial performance</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measures versus the operating plan</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Exceeded all key financial metrics for the International business which generated 15.4% organic revenue growth over</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2020, including organic growth of over 20% in both Japan and China, key long-term strategic markets for the company.</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Optimized the product portfolio and improved financial profile of the Company by completing the ACell acquisition on</w:t>
            </w:r>
          </w:p>
        </w:tc>
        <w:tc>
          <w:tcPr>
            <w:tcW w:w="0" w:type="dxa"/>
            <w:vAlign w:val="bottom"/>
          </w:tcPr>
          <w:p>
            <w:pPr>
              <w:spacing w:after="0"/>
              <w:rPr>
                <w:sz w:val="1"/>
                <w:szCs w:val="1"/>
                <w:color w:val="auto"/>
              </w:rPr>
            </w:pPr>
          </w:p>
        </w:tc>
      </w:tr>
      <w:tr>
        <w:trPr>
          <w:trHeight w:val="216"/>
        </w:trPr>
        <w:tc>
          <w:tcPr>
            <w:tcW w:w="2260" w:type="dxa"/>
            <w:vAlign w:val="bottom"/>
            <w:shd w:val="clear" w:color="auto" w:fill="F2F2F2"/>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January 20, 2021, which expands our tissue technology regenerative portfolio. Also, completed the divestiture of the</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Extremity Orthopedics business for $240 million and successfully executed transition services throughout 2021.</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Launched several new innovative products that will drive faster revenue growth over the long term. Most notably</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CereLink, an intracranial pressure monitoring device, was launched in the U.S., Europe, Canada, and Australia.</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Oversaw the continued implementation of manufacturing plans, which will further contribute to our gross margin</w:t>
            </w:r>
          </w:p>
        </w:tc>
        <w:tc>
          <w:tcPr>
            <w:tcW w:w="0" w:type="dxa"/>
            <w:vAlign w:val="bottom"/>
          </w:tcPr>
          <w:p>
            <w:pPr>
              <w:spacing w:after="0"/>
              <w:rPr>
                <w:sz w:val="1"/>
                <w:szCs w:val="1"/>
                <w:color w:val="auto"/>
              </w:rPr>
            </w:pPr>
          </w:p>
        </w:tc>
      </w:tr>
      <w:tr>
        <w:trPr>
          <w:trHeight w:val="216"/>
        </w:trPr>
        <w:tc>
          <w:tcPr>
            <w:tcW w:w="2260" w:type="dxa"/>
            <w:vAlign w:val="bottom"/>
            <w:shd w:val="clear" w:color="auto" w:fill="F2F2F2"/>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expansion in the long-term including the substantial completion of the manufacturing transfer from J&amp;J for the</w:t>
            </w:r>
          </w:p>
        </w:tc>
        <w:tc>
          <w:tcPr>
            <w:tcW w:w="0" w:type="dxa"/>
            <w:vAlign w:val="bottom"/>
          </w:tcPr>
          <w:p>
            <w:pPr>
              <w:spacing w:after="0"/>
              <w:rPr>
                <w:sz w:val="1"/>
                <w:szCs w:val="1"/>
                <w:color w:val="auto"/>
              </w:rPr>
            </w:pPr>
          </w:p>
        </w:tc>
      </w:tr>
      <w:tr>
        <w:trPr>
          <w:trHeight w:val="216"/>
        </w:trPr>
        <w:tc>
          <w:tcPr>
            <w:tcW w:w="2260" w:type="dxa"/>
            <w:vAlign w:val="bottom"/>
            <w:shd w:val="clear" w:color="auto" w:fill="F2F2F2"/>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Codman Specialty Surgical business as well as the closure and transfer of one of our manufacturing sites in France to</w:t>
            </w:r>
          </w:p>
        </w:tc>
        <w:tc>
          <w:tcPr>
            <w:tcW w:w="0" w:type="dxa"/>
            <w:vAlign w:val="bottom"/>
          </w:tcPr>
          <w:p>
            <w:pPr>
              <w:spacing w:after="0"/>
              <w:rPr>
                <w:sz w:val="1"/>
                <w:szCs w:val="1"/>
                <w:color w:val="auto"/>
              </w:rPr>
            </w:pP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Switzerland, which is expected to be completed in the second half of 2022</w:t>
            </w:r>
          </w:p>
        </w:tc>
        <w:tc>
          <w:tcPr>
            <w:tcW w:w="0" w:type="dxa"/>
            <w:vAlign w:val="bottom"/>
          </w:tcPr>
          <w:p>
            <w:pPr>
              <w:spacing w:after="0"/>
              <w:rPr>
                <w:sz w:val="1"/>
                <w:szCs w:val="1"/>
                <w:color w:val="auto"/>
              </w:rPr>
            </w:pP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Led the advancement of diversity and inclusion initiatives, including serving as executive sponsor for Integra’s Indian</w:t>
            </w:r>
          </w:p>
        </w:tc>
        <w:tc>
          <w:tcPr>
            <w:tcW w:w="0" w:type="dxa"/>
            <w:vAlign w:val="bottom"/>
          </w:tcPr>
          <w:p>
            <w:pPr>
              <w:spacing w:after="0"/>
              <w:rPr>
                <w:sz w:val="1"/>
                <w:szCs w:val="1"/>
                <w:color w:val="auto"/>
              </w:rPr>
            </w:pPr>
          </w:p>
        </w:tc>
      </w:tr>
      <w:tr>
        <w:trPr>
          <w:trHeight w:val="261"/>
        </w:trPr>
        <w:tc>
          <w:tcPr>
            <w:tcW w:w="2260" w:type="dxa"/>
            <w:vAlign w:val="bottom"/>
            <w:tcBorders>
              <w:bottom w:val="single" w:sz="8" w:color="F2F2F2"/>
            </w:tcBorders>
            <w:shd w:val="clear" w:color="auto" w:fill="F2F2F2"/>
          </w:tcPr>
          <w:p>
            <w:pPr>
              <w:spacing w:after="0"/>
              <w:rPr>
                <w:sz w:val="22"/>
                <w:szCs w:val="22"/>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American Employee Resource Group</w:t>
            </w:r>
          </w:p>
        </w:tc>
        <w:tc>
          <w:tcPr>
            <w:tcW w:w="0" w:type="dxa"/>
            <w:vAlign w:val="bottom"/>
          </w:tcPr>
          <w:p>
            <w:pPr>
              <w:spacing w:after="0"/>
              <w:rPr>
                <w:sz w:val="1"/>
                <w:szCs w:val="1"/>
                <w:color w:val="auto"/>
              </w:rPr>
            </w:pPr>
          </w:p>
        </w:tc>
      </w:tr>
      <w:tr>
        <w:trPr>
          <w:trHeight w:val="898"/>
        </w:trPr>
        <w:tc>
          <w:tcPr>
            <w:tcW w:w="2260" w:type="dxa"/>
            <w:vAlign w:val="bottom"/>
            <w:tcBorders>
              <w:top w:val="single" w:sz="8" w:color="auto"/>
            </w:tcBorders>
          </w:tcPr>
          <w:p>
            <w:pPr>
              <w:spacing w:after="0"/>
              <w:rPr>
                <w:sz w:val="24"/>
                <w:szCs w:val="24"/>
                <w:color w:val="auto"/>
              </w:rPr>
            </w:pPr>
          </w:p>
        </w:tc>
        <w:tc>
          <w:tcPr>
            <w:tcW w:w="8980" w:type="dxa"/>
            <w:vAlign w:val="bottom"/>
            <w:tcBorders>
              <w:top w:val="single" w:sz="8" w:color="auto"/>
            </w:tcBorders>
          </w:tcPr>
          <w:p>
            <w:pPr>
              <w:ind w:left="328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240"/>
          </w:cols>
          <w:pgMar w:left="320" w:top="428"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6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Robert T. Davis, Jr.</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Completed the successful divestiture and transition services of the Extremity Orthopedics business to Smith &amp; Nephew</w:t>
            </w: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Led the strategic acquisition and integration of ACell, adding UBM (Urinary Bladder Matrix) technology platform.</w:t>
            </w:r>
          </w:p>
        </w:tc>
      </w:tr>
      <w:tr>
        <w:trPr>
          <w:trHeight w:val="216"/>
        </w:trPr>
        <w:tc>
          <w:tcPr>
            <w:tcW w:w="2260" w:type="dxa"/>
            <w:vAlign w:val="bottom"/>
            <w:shd w:val="clear" w:color="auto" w:fill="F2F2F2"/>
          </w:tcPr>
          <w:p>
            <w:pPr>
              <w:spacing w:after="0"/>
              <w:rPr>
                <w:sz w:val="18"/>
                <w:szCs w:val="18"/>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This technology is used in the manufacturing of our Gentrix, Cytal, and MicroMatrix product lines and is the only</w:t>
            </w: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commercially available form of UBM.</w:t>
            </w: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Implemented Integra’s Product Performance Pledge, reaching the goal of 900 enrolled with designated complex wound</w:t>
            </w: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reconstruction surgeons</w:t>
            </w:r>
          </w:p>
        </w:tc>
      </w:tr>
      <w:tr>
        <w:trPr>
          <w:trHeight w:val="324"/>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Grew global Private Label business by 14% over 2020</w:t>
            </w: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Led in advancement of diversity and inclusion initiatives, including serving as executive sponsor for Integra’s Veteran’s</w:t>
            </w:r>
          </w:p>
        </w:tc>
      </w:tr>
      <w:tr>
        <w:trPr>
          <w:trHeight w:val="261"/>
        </w:trPr>
        <w:tc>
          <w:tcPr>
            <w:tcW w:w="2260" w:type="dxa"/>
            <w:vAlign w:val="bottom"/>
            <w:tcBorders>
              <w:bottom w:val="single" w:sz="8" w:color="F2F2F2"/>
            </w:tcBorders>
            <w:shd w:val="clear" w:color="auto" w:fill="F2F2F2"/>
          </w:tcPr>
          <w:p>
            <w:pPr>
              <w:spacing w:after="0"/>
              <w:rPr>
                <w:sz w:val="22"/>
                <w:szCs w:val="22"/>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Resource Group</w:t>
            </w:r>
          </w:p>
        </w:tc>
      </w:tr>
      <w:tr>
        <w:trPr>
          <w:trHeight w:val="218"/>
        </w:trPr>
        <w:tc>
          <w:tcPr>
            <w:tcW w:w="2260" w:type="dxa"/>
            <w:vAlign w:val="bottom"/>
            <w:tcBorders>
              <w:top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Michael J. McBreen</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Delivered high single-digit growth in each of the Codman Specialty Surgical product franchises, including the</w:t>
            </w: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instrument business, which grow over 20% compared to 2020</w:t>
            </w:r>
          </w:p>
        </w:tc>
      </w:tr>
      <w:tr>
        <w:trPr>
          <w:trHeight w:val="324"/>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Responsible for $37 million in revenue from new product introductions in the US</w:t>
            </w:r>
          </w:p>
        </w:tc>
      </w:tr>
      <w:tr>
        <w:trPr>
          <w:trHeight w:val="324"/>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Launched new CereLink ICP monitor in several key markets including the US, Europe, Australia, and Canada</w:t>
            </w: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Delivered strong market share growth in our Hydrocephalus portfolio driven by the sales associated with several new</w:t>
            </w: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products and global expansion</w:t>
            </w: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Continued to make great progress with the Aurora Surgiscope, including a new FDA clearance and significant</w:t>
            </w:r>
          </w:p>
        </w:tc>
      </w:tr>
      <w:tr>
        <w:trPr>
          <w:trHeight w:val="234"/>
        </w:trPr>
        <w:tc>
          <w:tcPr>
            <w:tcW w:w="2260" w:type="dxa"/>
            <w:vAlign w:val="bottom"/>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advancement in our clinical programs</w:t>
            </w:r>
          </w:p>
        </w:tc>
      </w:tr>
      <w:tr>
        <w:trPr>
          <w:trHeight w:val="306"/>
        </w:trPr>
        <w:tc>
          <w:tcPr>
            <w:tcW w:w="2260" w:type="dxa"/>
            <w:vAlign w:val="bottom"/>
            <w:shd w:val="clear" w:color="auto" w:fill="F2F2F2"/>
          </w:tcPr>
          <w:p>
            <w:pPr>
              <w:spacing w:after="0"/>
              <w:rPr>
                <w:sz w:val="24"/>
                <w:szCs w:val="24"/>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Led in advancement of diversity and inclusion initiatives, including serving as executive sponsor for Integra’s Asian</w:t>
            </w:r>
          </w:p>
        </w:tc>
      </w:tr>
      <w:tr>
        <w:trPr>
          <w:trHeight w:val="241"/>
        </w:trPr>
        <w:tc>
          <w:tcPr>
            <w:tcW w:w="2260" w:type="dxa"/>
            <w:vAlign w:val="bottom"/>
            <w:tcBorders>
              <w:bottom w:val="single" w:sz="8" w:color="F2F2F2"/>
            </w:tcBorders>
            <w:shd w:val="clear" w:color="auto" w:fill="F2F2F2"/>
          </w:tcPr>
          <w:p>
            <w:pPr>
              <w:spacing w:after="0"/>
              <w:rPr>
                <w:sz w:val="20"/>
                <w:szCs w:val="20"/>
                <w:color w:val="auto"/>
              </w:rPr>
            </w:pPr>
          </w:p>
        </w:tc>
        <w:tc>
          <w:tcPr>
            <w:tcW w:w="8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American and Pacific Islander Employee Resource Group</w:t>
            </w:r>
          </w:p>
        </w:tc>
      </w:tr>
      <w:tr>
        <w:trPr>
          <w:trHeight w:val="20"/>
        </w:trPr>
        <w:tc>
          <w:tcPr>
            <w:tcW w:w="2260" w:type="dxa"/>
            <w:vAlign w:val="bottom"/>
            <w:shd w:val="clear" w:color="auto" w:fill="000000"/>
          </w:tcPr>
          <w:p>
            <w:pPr>
              <w:spacing w:after="0" w:line="20" w:lineRule="exact"/>
              <w:rPr>
                <w:sz w:val="1"/>
                <w:szCs w:val="1"/>
                <w:color w:val="auto"/>
              </w:rPr>
            </w:pPr>
          </w:p>
        </w:tc>
        <w:tc>
          <w:tcPr>
            <w:tcW w:w="8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2021 ANNUAL BONUS (PAID IN MARCH 2022)</w:t>
      </w:r>
    </w:p>
    <w:p>
      <w:pPr>
        <w:spacing w:after="0" w:line="25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shows the actual annual bonus amounts awarded for 2021. In order to maintain Mr. Arduini's focus on increasing stockholder value and enable a smooth transition to a new CEO, the Compensation Committee provided Mr. Arduini with eligibility to receive an annual bonus award for the 2021 performance year even though he no longer was an active employee on the date on which bonuses were paid.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Borders>
              <w:top w:val="single" w:sz="8" w:color="auto"/>
            </w:tcBorders>
            <w:shd w:val="clear" w:color="auto" w:fill="F2F2F2"/>
          </w:tcPr>
          <w:p>
            <w:pPr>
              <w:spacing w:after="0"/>
              <w:rPr>
                <w:sz w:val="15"/>
                <w:szCs w:val="15"/>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E8D52"/>
              </w:rPr>
              <w:t>TARGET AS A % OF</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w w:val="97"/>
              </w:rPr>
              <w:t>TARGET AWARD</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E8D52"/>
              </w:rPr>
              <w:t>ACTUAL AMOUNT</w:t>
            </w:r>
          </w:p>
        </w:tc>
        <w:tc>
          <w:tcPr>
            <w:tcW w:w="20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w w:val="99"/>
              </w:rPr>
              <w:t>ACTUAL AS A</w:t>
            </w:r>
          </w:p>
        </w:tc>
      </w:tr>
      <w:tr>
        <w:trPr>
          <w:trHeight w:val="217"/>
        </w:trPr>
        <w:tc>
          <w:tcPr>
            <w:tcW w:w="3040" w:type="dxa"/>
            <w:vAlign w:val="bottom"/>
            <w:tcBorders>
              <w:bottom w:val="single" w:sz="8" w:color="auto"/>
            </w:tcBorders>
            <w:shd w:val="clear" w:color="auto" w:fill="F2F2F2"/>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E8D52"/>
              </w:rPr>
              <w:t>BASE SALARY</w:t>
            </w:r>
          </w:p>
        </w:tc>
        <w:tc>
          <w:tcPr>
            <w:tcW w:w="206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OPPORTUNITY</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E8D52"/>
                <w:w w:val="95"/>
              </w:rPr>
              <w:t>AWARDED</w:t>
            </w:r>
            <w:r>
              <w:rPr>
                <w:rFonts w:ascii="Times New Roman" w:cs="Times New Roman" w:eastAsia="Times New Roman" w:hAnsi="Times New Roman"/>
                <w:sz w:val="18"/>
                <w:szCs w:val="18"/>
                <w:b w:val="1"/>
                <w:bCs w:val="1"/>
                <w:color w:val="2E8D52"/>
                <w:w w:val="95"/>
                <w:vertAlign w:val="superscript"/>
              </w:rPr>
              <w:t>2</w:t>
            </w:r>
          </w:p>
        </w:tc>
        <w:tc>
          <w:tcPr>
            <w:tcW w:w="206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 OF TARGET</w:t>
            </w:r>
            <w:r>
              <w:rPr>
                <w:rFonts w:ascii="Times New Roman" w:cs="Times New Roman" w:eastAsia="Times New Roman" w:hAnsi="Times New Roman"/>
                <w:sz w:val="18"/>
                <w:szCs w:val="18"/>
                <w:b w:val="1"/>
                <w:bCs w:val="1"/>
                <w:color w:val="2E8D52"/>
                <w:vertAlign w:val="superscript"/>
              </w:rPr>
              <w:t>3</w:t>
            </w:r>
          </w:p>
        </w:tc>
      </w:tr>
      <w:tr>
        <w:trPr>
          <w:trHeight w:val="263"/>
        </w:trPr>
        <w:tc>
          <w:tcPr>
            <w:tcW w:w="3040" w:type="dxa"/>
            <w:vAlign w:val="bottom"/>
            <w:tcBorders>
              <w:bottom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Jan De Witte</w:t>
            </w:r>
            <w:r>
              <w:rPr>
                <w:rFonts w:ascii="Times New Roman" w:cs="Times New Roman" w:eastAsia="Times New Roman" w:hAnsi="Times New Roman"/>
                <w:sz w:val="23"/>
                <w:szCs w:val="23"/>
                <w:color w:val="auto"/>
                <w:vertAlign w:val="superscript"/>
              </w:rPr>
              <w:t>1</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110%</w:t>
            </w:r>
          </w:p>
        </w:tc>
        <w:tc>
          <w:tcPr>
            <w:tcW w:w="206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$79,411</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$144,384</w:t>
            </w:r>
          </w:p>
        </w:tc>
        <w:tc>
          <w:tcPr>
            <w:tcW w:w="2060" w:type="dxa"/>
            <w:vAlign w:val="bottom"/>
            <w:tcBorders>
              <w:bottom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181.8%</w:t>
            </w:r>
          </w:p>
        </w:tc>
      </w:tr>
      <w:tr>
        <w:trPr>
          <w:trHeight w:val="264"/>
        </w:trPr>
        <w:tc>
          <w:tcPr>
            <w:tcW w:w="304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$1,200,000</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$1,621,200</w:t>
            </w:r>
          </w:p>
        </w:tc>
        <w:tc>
          <w:tcPr>
            <w:tcW w:w="206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135.1%</w:t>
            </w:r>
          </w:p>
        </w:tc>
      </w:tr>
      <w:tr>
        <w:trPr>
          <w:trHeight w:val="263"/>
        </w:trPr>
        <w:tc>
          <w:tcPr>
            <w:tcW w:w="30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Carrie Anderson</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$367,500</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$515,000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140.1%</w:t>
            </w:r>
          </w:p>
        </w:tc>
      </w:tr>
      <w:tr>
        <w:trPr>
          <w:trHeight w:val="263"/>
        </w:trPr>
        <w:tc>
          <w:tcPr>
            <w:tcW w:w="30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$494,400</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$688,000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139.2%</w:t>
            </w:r>
          </w:p>
        </w:tc>
      </w:tr>
      <w:tr>
        <w:trPr>
          <w:trHeight w:val="264"/>
        </w:trPr>
        <w:tc>
          <w:tcPr>
            <w:tcW w:w="30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$294,410</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$375,000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127.4%</w:t>
            </w:r>
          </w:p>
        </w:tc>
      </w:tr>
      <w:tr>
        <w:trPr>
          <w:trHeight w:val="243"/>
        </w:trPr>
        <w:tc>
          <w:tcPr>
            <w:tcW w:w="30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Michael J. McBreen</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$278,100</w:t>
            </w: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$385,000</w:t>
            </w:r>
          </w:p>
        </w:tc>
        <w:tc>
          <w:tcPr>
            <w:tcW w:w="20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138.4%</w:t>
            </w:r>
          </w:p>
        </w:tc>
      </w:tr>
      <w:tr>
        <w:trPr>
          <w:trHeight w:val="20"/>
        </w:trPr>
        <w:tc>
          <w:tcPr>
            <w:tcW w:w="30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428"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left="20" w:hanging="8"/>
        <w:spacing w:after="0" w:line="281" w:lineRule="auto"/>
        <w:rPr>
          <w:sz w:val="20"/>
          <w:szCs w:val="20"/>
          <w:color w:val="auto"/>
        </w:rPr>
      </w:pPr>
      <w:r>
        <w:rPr>
          <w:rFonts w:ascii="Times New Roman" w:cs="Times New Roman" w:eastAsia="Times New Roman" w:hAnsi="Times New Roman"/>
          <w:sz w:val="18"/>
          <w:szCs w:val="18"/>
          <w:color w:val="auto"/>
        </w:rPr>
        <w:t>Mr. De Witte's target award opportunity is prorated based on the commencement of his employment on December 1, 2021 and adjusted to 200% of his base salary.</w:t>
      </w:r>
    </w:p>
    <w:p>
      <w:pPr>
        <w:spacing w:after="0" w:line="1" w:lineRule="exact"/>
        <w:rPr>
          <w:sz w:val="20"/>
          <w:szCs w:val="20"/>
          <w:color w:val="auto"/>
        </w:rPr>
      </w:pPr>
    </w:p>
    <w:p>
      <w:pPr>
        <w:ind w:left="20" w:hanging="8"/>
        <w:spacing w:after="0" w:line="281" w:lineRule="auto"/>
        <w:rPr>
          <w:sz w:val="20"/>
          <w:szCs w:val="20"/>
          <w:color w:val="auto"/>
        </w:rPr>
      </w:pPr>
      <w:r>
        <w:rPr>
          <w:rFonts w:ascii="Times New Roman" w:cs="Times New Roman" w:eastAsia="Times New Roman" w:hAnsi="Times New Roman"/>
          <w:sz w:val="18"/>
          <w:szCs w:val="18"/>
          <w:color w:val="auto"/>
        </w:rPr>
        <w:t>Messrs. Coleman and Davis and Ms. Anderson elected to defer a percentage of their 2021 annual bonus paid in March 2022 under the Non-Qualified Deferred Compensation Program. Specifically, deferrals were as follows: Ms. Anderson at 75%, Mr. Coleman at 50%, and Mr. Davis at 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bonus award is capped at 200% of target (200% of base salary for Mr. De Witte).</w:t>
      </w:r>
    </w:p>
    <w:p>
      <w:pPr>
        <w:spacing w:after="0" w:line="200" w:lineRule="exact"/>
        <w:rPr>
          <w:sz w:val="20"/>
          <w:szCs w:val="20"/>
          <w:color w:val="auto"/>
        </w:rPr>
      </w:pPr>
    </w:p>
    <w:p>
      <w:pPr>
        <w:sectPr>
          <w:pgSz w:w="11900" w:h="16838" w:orient="portrait"/>
          <w:cols w:equalWidth="0" w:num="2">
            <w:col w:w="60" w:space="420"/>
            <w:col w:w="10760"/>
          </w:cols>
          <w:pgMar w:left="320" w:top="428"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Equity grants help to align executive interests with those of our stockholders. The Compensation Committee considers Company performance, individual performance, long-term potential and market practice when determining the</w:t>
      </w:r>
    </w:p>
    <w:p>
      <w:pPr>
        <w:sectPr>
          <w:pgSz w:w="11900" w:h="16838" w:orient="portrait"/>
          <w:cols w:equalWidth="0" w:num="1">
            <w:col w:w="11240"/>
          </w:cols>
          <w:pgMar w:left="320" w:top="428"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28" w:right="339" w:bottom="1440" w:gutter="0" w:footer="0" w:header="0"/>
          <w:type w:val="continuous"/>
        </w:sectPr>
      </w:pPr>
    </w:p>
    <w:bookmarkStart w:id="44" w:name="page45"/>
    <w:bookmarkEnd w:id="4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value and type of equity. We award a mix of restricted stock or restricted stock units (RSUs), non-qualified stock options and performance stock units (PSUs).</w:t>
      </w:r>
    </w:p>
    <w:p>
      <w:pPr>
        <w:spacing w:after="0" w:line="18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In making equity grant decisions for 2021, the Compensation Committee rebalanced stock options and restricted stock/RSUs and increased PSUs in the annual equity grant. A greater portion of performance-based awards was delivered to align the NEOs with our accelerated growth goals, with PSUs weighted approximately 60% and stock options and restricted stock (RSUs for the CEO) each weighted at 20%. The Compensation Committee believes that this addresses retention and engagement concerns that the COVID-19 pandemic has presented in a manner appropriately aligned to the interests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145415</wp:posOffset>
            </wp:positionV>
            <wp:extent cx="3154680" cy="1585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54680" cy="1585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2254250</wp:posOffset>
            </wp:positionV>
            <wp:extent cx="7132320" cy="2168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252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2E8D52"/>
              </w:rPr>
              <w:t>RESTRICTED STOCK</w:t>
            </w:r>
          </w:p>
        </w:tc>
        <w:tc>
          <w:tcPr>
            <w:tcW w:w="21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2E8D52"/>
              </w:rPr>
              <w:t>RESTRICTED STOCK</w:t>
            </w: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59"/>
        </w:trPr>
        <w:tc>
          <w:tcPr>
            <w:tcW w:w="1840" w:type="dxa"/>
            <w:vAlign w:val="bottom"/>
          </w:tcPr>
          <w:p>
            <w:pPr>
              <w:spacing w:after="0" w:line="159" w:lineRule="exact"/>
              <w:rPr>
                <w:sz w:val="20"/>
                <w:szCs w:val="20"/>
                <w:color w:val="auto"/>
              </w:rPr>
            </w:pPr>
            <w:r>
              <w:rPr>
                <w:rFonts w:ascii="Times New Roman" w:cs="Times New Roman" w:eastAsia="Times New Roman" w:hAnsi="Times New Roman"/>
                <w:sz w:val="14"/>
                <w:szCs w:val="14"/>
                <w:b w:val="1"/>
                <w:bCs w:val="1"/>
                <w:color w:val="2E8D52"/>
              </w:rPr>
              <w:t>(ALL NEOS</w:t>
            </w:r>
          </w:p>
        </w:tc>
        <w:tc>
          <w:tcPr>
            <w:tcW w:w="2180" w:type="dxa"/>
            <w:vAlign w:val="bottom"/>
          </w:tcPr>
          <w:p>
            <w:pPr>
              <w:ind w:left="360"/>
              <w:spacing w:after="0" w:line="159" w:lineRule="exact"/>
              <w:rPr>
                <w:sz w:val="20"/>
                <w:szCs w:val="20"/>
                <w:color w:val="auto"/>
              </w:rPr>
            </w:pPr>
            <w:r>
              <w:rPr>
                <w:rFonts w:ascii="Times New Roman" w:cs="Times New Roman" w:eastAsia="Times New Roman" w:hAnsi="Times New Roman"/>
                <w:sz w:val="14"/>
                <w:szCs w:val="14"/>
                <w:b w:val="1"/>
                <w:bCs w:val="1"/>
                <w:color w:val="2E8D52"/>
              </w:rPr>
              <w:t>UNITS (RSUS)</w:t>
            </w:r>
          </w:p>
        </w:tc>
        <w:tc>
          <w:tcPr>
            <w:tcW w:w="2020" w:type="dxa"/>
            <w:vAlign w:val="bottom"/>
          </w:tcPr>
          <w:p>
            <w:pPr>
              <w:ind w:left="340"/>
              <w:spacing w:after="0" w:line="159" w:lineRule="exact"/>
              <w:rPr>
                <w:sz w:val="20"/>
                <w:szCs w:val="20"/>
                <w:color w:val="auto"/>
              </w:rPr>
            </w:pPr>
            <w:r>
              <w:rPr>
                <w:rFonts w:ascii="Times New Roman" w:cs="Times New Roman" w:eastAsia="Times New Roman" w:hAnsi="Times New Roman"/>
                <w:sz w:val="14"/>
                <w:szCs w:val="14"/>
                <w:b w:val="1"/>
                <w:bCs w:val="1"/>
                <w:color w:val="2E8D52"/>
              </w:rPr>
              <w:t>NON-QUALIFIED</w:t>
            </w:r>
          </w:p>
        </w:tc>
        <w:tc>
          <w:tcPr>
            <w:tcW w:w="1980" w:type="dxa"/>
            <w:vAlign w:val="bottom"/>
          </w:tcPr>
          <w:p>
            <w:pPr>
              <w:ind w:left="520"/>
              <w:spacing w:after="0" w:line="159" w:lineRule="exact"/>
              <w:rPr>
                <w:sz w:val="20"/>
                <w:szCs w:val="20"/>
                <w:color w:val="auto"/>
              </w:rPr>
            </w:pPr>
            <w:r>
              <w:rPr>
                <w:rFonts w:ascii="Times New Roman" w:cs="Times New Roman" w:eastAsia="Times New Roman" w:hAnsi="Times New Roman"/>
                <w:sz w:val="14"/>
                <w:szCs w:val="14"/>
                <w:b w:val="1"/>
                <w:bCs w:val="1"/>
                <w:color w:val="2E8D52"/>
              </w:rPr>
              <w:t>PERFORMANCE</w:t>
            </w:r>
          </w:p>
        </w:tc>
      </w:tr>
      <w:tr>
        <w:trPr>
          <w:trHeight w:val="248"/>
        </w:trPr>
        <w:tc>
          <w:tcPr>
            <w:tcW w:w="1840" w:type="dxa"/>
            <w:vAlign w:val="bottom"/>
          </w:tcPr>
          <w:p>
            <w:pPr>
              <w:spacing w:after="0"/>
              <w:rPr>
                <w:sz w:val="20"/>
                <w:szCs w:val="20"/>
                <w:color w:val="auto"/>
              </w:rPr>
            </w:pPr>
            <w:r>
              <w:rPr>
                <w:rFonts w:ascii="Times New Roman" w:cs="Times New Roman" w:eastAsia="Times New Roman" w:hAnsi="Times New Roman"/>
                <w:sz w:val="14"/>
                <w:szCs w:val="14"/>
                <w:b w:val="1"/>
                <w:bCs w:val="1"/>
                <w:color w:val="2E8D52"/>
              </w:rPr>
              <w:t>EXCEPT CEO)</w:t>
            </w:r>
          </w:p>
        </w:tc>
        <w:tc>
          <w:tcPr>
            <w:tcW w:w="21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2E8D52"/>
              </w:rPr>
              <w:t>(CEO ONLY)</w:t>
            </w:r>
            <w:r>
              <w:rPr>
                <w:rFonts w:ascii="Times New Roman" w:cs="Times New Roman" w:eastAsia="Times New Roman" w:hAnsi="Times New Roman"/>
                <w:sz w:val="18"/>
                <w:szCs w:val="18"/>
                <w:b w:val="1"/>
                <w:bCs w:val="1"/>
                <w:color w:val="2E8D52"/>
                <w:vertAlign w:val="superscript"/>
              </w:rPr>
              <w:t>1</w:t>
            </w:r>
          </w:p>
        </w:tc>
        <w:tc>
          <w:tcPr>
            <w:tcW w:w="202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2E8D52"/>
              </w:rPr>
              <w:t>STOCK OPTIONS</w:t>
            </w:r>
          </w:p>
        </w:tc>
        <w:tc>
          <w:tcPr>
            <w:tcW w:w="19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2E8D52"/>
              </w:rPr>
              <w:t>STOCK UNITS (PSUS)</w:t>
            </w:r>
          </w:p>
        </w:tc>
      </w:tr>
    </w:tbl>
    <w:p>
      <w:pPr>
        <w:spacing w:after="0" w:line="1" w:lineRule="exact"/>
        <w:rPr>
          <w:sz w:val="20"/>
          <w:szCs w:val="20"/>
          <w:color w:val="auto"/>
        </w:rPr>
      </w:pPr>
    </w:p>
    <w:p>
      <w:pPr>
        <w:sectPr>
          <w:pgSz w:w="11900" w:h="16838" w:orient="portrait"/>
          <w:cols w:equalWidth="0" w:num="1">
            <w:col w:w="11240"/>
          </w:cols>
          <w:pgMar w:left="320" w:top="428" w:right="339" w:bottom="1440" w:gutter="0" w:footer="0" w:header="0"/>
        </w:sectPr>
      </w:pPr>
    </w:p>
    <w:tbl>
      <w:tblPr>
        <w:tblLayout w:type="fixed"/>
        <w:tblInd w:w="2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Represents actual ownership</w:t>
            </w:r>
          </w:p>
        </w:tc>
        <w:tc>
          <w:tcPr>
            <w:tcW w:w="2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Notional units which are</w:t>
            </w:r>
          </w:p>
        </w:tc>
        <w:tc>
          <w:tcPr>
            <w:tcW w:w="2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Once vested, stock options</w:t>
            </w:r>
          </w:p>
        </w:tc>
      </w:tr>
      <w:tr>
        <w:trPr>
          <w:trHeight w:val="216"/>
        </w:trPr>
        <w:tc>
          <w:tcPr>
            <w:tcW w:w="1640" w:type="dxa"/>
            <w:vAlign w:val="bottom"/>
          </w:tcPr>
          <w:p>
            <w:pPr>
              <w:spacing w:after="0"/>
              <w:rPr>
                <w:sz w:val="18"/>
                <w:szCs w:val="18"/>
                <w:color w:val="auto"/>
              </w:rPr>
            </w:pP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of Integra stock that becomes</w:t>
            </w: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redeemable for Integra stock; give an executive the right to</w:t>
            </w:r>
          </w:p>
        </w:tc>
      </w:tr>
      <w:tr>
        <w:trPr>
          <w:trHeight w:val="216"/>
        </w:trPr>
        <w:tc>
          <w:tcPr>
            <w:tcW w:w="1640" w:type="dxa"/>
            <w:vAlign w:val="bottom"/>
          </w:tcPr>
          <w:p>
            <w:pPr>
              <w:spacing w:after="0"/>
              <w:rPr>
                <w:sz w:val="18"/>
                <w:szCs w:val="18"/>
                <w:color w:val="auto"/>
              </w:rPr>
            </w:pPr>
          </w:p>
        </w:tc>
        <w:tc>
          <w:tcPr>
            <w:tcW w:w="30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the executive’s upon vesting</w:t>
            </w:r>
          </w:p>
        </w:tc>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their value tracks the value of purchase Integra stock at an</w:t>
            </w:r>
          </w:p>
        </w:tc>
      </w:tr>
      <w:tr>
        <w:trPr>
          <w:trHeight w:val="216"/>
        </w:trPr>
        <w:tc>
          <w:tcPr>
            <w:tcW w:w="1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Integra stock</w:t>
            </w:r>
          </w:p>
        </w:tc>
        <w:tc>
          <w:tcPr>
            <w:tcW w:w="2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price equal to the</w:t>
            </w:r>
          </w:p>
        </w:tc>
      </w:tr>
      <w:tr>
        <w:trPr>
          <w:trHeight w:val="216"/>
        </w:trPr>
        <w:tc>
          <w:tcPr>
            <w:tcW w:w="16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closing price of our common</w:t>
            </w:r>
          </w:p>
        </w:tc>
      </w:tr>
      <w:tr>
        <w:trPr>
          <w:trHeight w:val="234"/>
        </w:trPr>
        <w:tc>
          <w:tcPr>
            <w:tcW w:w="1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on the date of grant</w:t>
            </w:r>
          </w:p>
        </w:tc>
      </w:tr>
    </w:tbl>
    <w:p>
      <w:pPr>
        <w:spacing w:after="0" w:line="20" w:lineRule="exact"/>
        <w:rPr>
          <w:sz w:val="20"/>
          <w:szCs w:val="20"/>
          <w:color w:val="auto"/>
        </w:rPr>
      </w:pPr>
      <w:r>
        <w:rPr>
          <w:sz w:val="20"/>
          <w:szCs w:val="20"/>
          <w:color w:val="auto"/>
        </w:rPr>
        <w:br w:type="column"/>
      </w:r>
    </w:p>
    <w:p>
      <w:pPr>
        <w:ind w:right="100"/>
        <w:spacing w:after="0" w:line="274" w:lineRule="auto"/>
        <w:rPr>
          <w:sz w:val="20"/>
          <w:szCs w:val="20"/>
          <w:color w:val="auto"/>
        </w:rPr>
      </w:pPr>
      <w:r>
        <w:rPr>
          <w:rFonts w:ascii="Times New Roman" w:cs="Times New Roman" w:eastAsia="Times New Roman" w:hAnsi="Times New Roman"/>
          <w:sz w:val="17"/>
          <w:szCs w:val="17"/>
          <w:color w:val="auto"/>
        </w:rPr>
        <w:t>Notional units which are redeemable for Integra stock subject to performance; their value tracks the value of Integra stock</w:t>
      </w:r>
    </w:p>
    <w:p>
      <w:pPr>
        <w:spacing w:after="0" w:line="234" w:lineRule="exact"/>
        <w:rPr>
          <w:sz w:val="20"/>
          <w:szCs w:val="20"/>
          <w:color w:val="auto"/>
        </w:rPr>
      </w:pPr>
    </w:p>
    <w:p>
      <w:pPr>
        <w:sectPr>
          <w:pgSz w:w="11900" w:h="16838" w:orient="portrait"/>
          <w:cols w:equalWidth="0" w:num="2">
            <w:col w:w="8980" w:space="100"/>
            <w:col w:w="2160"/>
          </w:cols>
          <w:pgMar w:left="320" w:top="428"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of Equity Grant</w:t>
            </w:r>
          </w:p>
        </w:tc>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20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37"/>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Metric</w:t>
            </w:r>
          </w:p>
        </w:tc>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Time</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price</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Organic revenue growth</w:t>
            </w:r>
          </w:p>
        </w:tc>
      </w:tr>
      <w:tr>
        <w:trPr>
          <w:trHeight w:val="27"/>
        </w:trPr>
        <w:tc>
          <w:tcPr>
            <w:tcW w:w="20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18"/>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Vesting</w:t>
            </w:r>
          </w:p>
        </w:tc>
        <w:tc>
          <w:tcPr>
            <w:tcW w:w="2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Annually over three years</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Annually over three years;</w:t>
            </w:r>
          </w:p>
        </w:tc>
        <w:tc>
          <w:tcPr>
            <w:tcW w:w="2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Annually over four years</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Annually over three years</w:t>
            </w:r>
          </w:p>
        </w:tc>
      </w:tr>
      <w:tr>
        <w:trPr>
          <w:trHeight w:val="216"/>
        </w:trPr>
        <w:tc>
          <w:tcPr>
            <w:tcW w:w="2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is deferred until</w:t>
            </w:r>
          </w:p>
        </w:tc>
        <w:tc>
          <w:tcPr>
            <w:tcW w:w="2100" w:type="dxa"/>
            <w:vAlign w:val="bottom"/>
          </w:tcPr>
          <w:p>
            <w:pPr>
              <w:spacing w:after="0"/>
              <w:rPr>
                <w:sz w:val="18"/>
                <w:szCs w:val="18"/>
                <w:color w:val="auto"/>
              </w:rPr>
            </w:pP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based on achievement of</w:t>
            </w:r>
          </w:p>
        </w:tc>
      </w:tr>
      <w:tr>
        <w:trPr>
          <w:trHeight w:val="216"/>
        </w:trPr>
        <w:tc>
          <w:tcPr>
            <w:tcW w:w="2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CEO’s departure from</w:t>
            </w:r>
          </w:p>
        </w:tc>
        <w:tc>
          <w:tcPr>
            <w:tcW w:w="2100" w:type="dxa"/>
            <w:vAlign w:val="bottom"/>
          </w:tcPr>
          <w:p>
            <w:pPr>
              <w:spacing w:after="0"/>
              <w:rPr>
                <w:sz w:val="18"/>
                <w:szCs w:val="18"/>
                <w:color w:val="auto"/>
              </w:rPr>
            </w:pP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performance goals</w:t>
            </w:r>
          </w:p>
        </w:tc>
      </w:tr>
      <w:tr>
        <w:trPr>
          <w:trHeight w:val="234"/>
        </w:trPr>
        <w:tc>
          <w:tcPr>
            <w:tcW w:w="2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Integra</w:t>
            </w:r>
          </w:p>
        </w:tc>
        <w:tc>
          <w:tcPr>
            <w:tcW w:w="21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7"/>
        </w:trPr>
        <w:tc>
          <w:tcPr>
            <w:tcW w:w="20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bl>
    <w:p>
      <w:pPr>
        <w:spacing w:after="0" w:line="87" w:lineRule="exact"/>
        <w:rPr>
          <w:sz w:val="20"/>
          <w:szCs w:val="20"/>
          <w:color w:val="auto"/>
        </w:rPr>
      </w:pPr>
    </w:p>
    <w:p>
      <w:pPr>
        <w:ind w:left="480" w:hanging="472"/>
        <w:spacing w:after="0"/>
        <w:tabs>
          <w:tab w:leader="none" w:pos="4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CEO reference applies to Mr. De Witte and Mr. Arduini.</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ANNUAL EQUITY COMPENSATION GRANTS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Annual equity grants are typically made in March of each year. The following criteria are evaluated for each of our named executive officers when determining the value of their annual equity award:</w:t>
      </w:r>
    </w:p>
    <w:p>
      <w:pPr>
        <w:spacing w:after="0" w:line="54" w:lineRule="exact"/>
        <w:rPr>
          <w:sz w:val="20"/>
          <w:szCs w:val="20"/>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over the long term;</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during the prior year;</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potential;</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considerations; and</w:t>
      </w:r>
    </w:p>
    <w:p>
      <w:pPr>
        <w:sectPr>
          <w:pgSz w:w="11900" w:h="16838" w:orient="portrait"/>
          <w:cols w:equalWidth="0" w:num="1">
            <w:col w:w="11240"/>
          </w:cols>
          <w:pgMar w:left="320" w:top="42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28" w:right="339" w:bottom="1440" w:gutter="0" w:footer="0" w:header="0"/>
          <w:type w:val="continuous"/>
        </w:sectPr>
      </w:pPr>
    </w:p>
    <w:bookmarkStart w:id="45" w:name="page46"/>
    <w:bookmarkEnd w:id="45"/>
    <w:p>
      <w:pPr>
        <w:ind w:left="6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Market practices for comparable positions.</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E8D52"/>
        </w:rPr>
        <w:t>2021 EQUITY COMPENSATION DECISIONS</w:t>
      </w:r>
    </w:p>
    <w:p>
      <w:pPr>
        <w:spacing w:after="0" w:line="121" w:lineRule="exact"/>
        <w:rPr>
          <w:sz w:val="20"/>
          <w:szCs w:val="20"/>
          <w:color w:val="auto"/>
        </w:rPr>
      </w:pPr>
    </w:p>
    <w:p>
      <w:pPr>
        <w:ind w:left="60" w:right="540" w:firstLine="486"/>
        <w:spacing w:after="0" w:line="282" w:lineRule="auto"/>
        <w:rPr>
          <w:sz w:val="20"/>
          <w:szCs w:val="20"/>
          <w:color w:val="auto"/>
        </w:rPr>
      </w:pPr>
      <w:r>
        <w:rPr>
          <w:rFonts w:ascii="Times New Roman" w:cs="Times New Roman" w:eastAsia="Times New Roman" w:hAnsi="Times New Roman"/>
          <w:sz w:val="18"/>
          <w:szCs w:val="18"/>
          <w:color w:val="auto"/>
        </w:rPr>
        <w:t>The Compensation Committee reviewed the target total direct compensation of our named executive officers compared to our peers and made market adjustments to annual equity grant values to continue to be competitive with our peer group.</w:t>
      </w:r>
    </w:p>
    <w:p>
      <w:pPr>
        <w:spacing w:after="0" w:line="189" w:lineRule="exact"/>
        <w:rPr>
          <w:sz w:val="20"/>
          <w:szCs w:val="20"/>
          <w:color w:val="auto"/>
        </w:rPr>
      </w:pPr>
    </w:p>
    <w:p>
      <w:pPr>
        <w:ind w:left="60" w:right="240" w:firstLine="486"/>
        <w:spacing w:after="0" w:line="282" w:lineRule="auto"/>
        <w:rPr>
          <w:sz w:val="20"/>
          <w:szCs w:val="20"/>
          <w:color w:val="auto"/>
        </w:rPr>
      </w:pPr>
      <w:r>
        <w:rPr>
          <w:rFonts w:ascii="Times New Roman" w:cs="Times New Roman" w:eastAsia="Times New Roman" w:hAnsi="Times New Roman"/>
          <w:sz w:val="18"/>
          <w:szCs w:val="18"/>
          <w:color w:val="auto"/>
        </w:rPr>
        <w:t>In March 2021, named executive officers (except for Mr. De Witte, whose employment began in December 2021), each received an annual equity grant of approximately 60% PSUs, 20% non-qualified stock options and 20% restricted stock (RSUs for Mr. Arduini).</w:t>
      </w:r>
    </w:p>
    <w:p>
      <w:pPr>
        <w:spacing w:after="0" w:line="7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740" w:type="dxa"/>
            <w:vAlign w:val="bottom"/>
            <w:tcBorders>
              <w:top w:val="single" w:sz="8" w:color="auto"/>
              <w:bottom w:val="single" w:sz="8" w:color="F2F2F2"/>
            </w:tcBorders>
            <w:shd w:val="clear" w:color="auto" w:fill="F2F2F2"/>
          </w:tcPr>
          <w:p>
            <w:pPr>
              <w:spacing w:after="0"/>
              <w:rPr>
                <w:sz w:val="19"/>
                <w:szCs w:val="19"/>
                <w:color w:val="auto"/>
              </w:rPr>
            </w:pPr>
          </w:p>
        </w:tc>
        <w:tc>
          <w:tcPr>
            <w:tcW w:w="1700" w:type="dxa"/>
            <w:vAlign w:val="bottom"/>
            <w:tcBorders>
              <w:top w:val="single" w:sz="8" w:color="auto"/>
              <w:bottom w:val="single" w:sz="8" w:color="F2F2F2"/>
            </w:tcBorders>
            <w:shd w:val="clear" w:color="auto" w:fill="F2F2F2"/>
          </w:tcPr>
          <w:p>
            <w:pPr>
              <w:spacing w:after="0"/>
              <w:rPr>
                <w:sz w:val="19"/>
                <w:szCs w:val="19"/>
                <w:color w:val="auto"/>
              </w:rPr>
            </w:pPr>
          </w:p>
        </w:tc>
        <w:tc>
          <w:tcPr>
            <w:tcW w:w="5100" w:type="dxa"/>
            <w:vAlign w:val="bottom"/>
            <w:tcBorders>
              <w:top w:val="single" w:sz="8" w:color="auto"/>
              <w:bottom w:val="single" w:sz="8" w:color="F2F2F2"/>
            </w:tcBorders>
            <w:gridSpan w:val="3"/>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FAIR MARKET VALUE AT GRANT – 2021</w:t>
            </w:r>
          </w:p>
        </w:tc>
        <w:tc>
          <w:tcPr>
            <w:tcW w:w="1700" w:type="dxa"/>
            <w:vAlign w:val="bottom"/>
            <w:tcBorders>
              <w:top w:val="single" w:sz="8" w:color="auto"/>
              <w:bottom w:val="single" w:sz="8" w:color="F2F2F2"/>
            </w:tcBorders>
            <w:shd w:val="clear" w:color="auto" w:fill="F2F2F2"/>
          </w:tcPr>
          <w:p>
            <w:pPr>
              <w:spacing w:after="0"/>
              <w:rPr>
                <w:sz w:val="19"/>
                <w:szCs w:val="19"/>
                <w:color w:val="auto"/>
              </w:rPr>
            </w:pPr>
          </w:p>
        </w:tc>
      </w:tr>
      <w:tr>
        <w:trPr>
          <w:trHeight w:val="158"/>
        </w:trPr>
        <w:tc>
          <w:tcPr>
            <w:tcW w:w="2740" w:type="dxa"/>
            <w:vAlign w:val="bottom"/>
            <w:tcBorders>
              <w:top w:val="single" w:sz="8" w:color="F2F2F2"/>
            </w:tcBorders>
            <w:shd w:val="clear" w:color="auto" w:fill="F2F2F2"/>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shd w:val="clear" w:color="auto" w:fill="F2F2F2"/>
          </w:tcPr>
          <w:p>
            <w:pPr>
              <w:spacing w:after="0"/>
              <w:rPr>
                <w:sz w:val="13"/>
                <w:szCs w:val="13"/>
                <w:color w:val="auto"/>
              </w:rPr>
            </w:pPr>
          </w:p>
        </w:tc>
        <w:tc>
          <w:tcPr>
            <w:tcW w:w="17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2E8D52"/>
              </w:rPr>
              <w:t>NON-QUALIFIED</w:t>
            </w:r>
          </w:p>
        </w:tc>
        <w:tc>
          <w:tcPr>
            <w:tcW w:w="1700" w:type="dxa"/>
            <w:vAlign w:val="bottom"/>
            <w:tcBorders>
              <w:top w:val="single" w:sz="8" w:color="auto"/>
            </w:tcBorders>
            <w:shd w:val="clear" w:color="auto" w:fill="F2F2F2"/>
          </w:tcPr>
          <w:p>
            <w:pPr>
              <w:spacing w:after="0"/>
              <w:rPr>
                <w:sz w:val="13"/>
                <w:szCs w:val="13"/>
                <w:color w:val="auto"/>
              </w:rPr>
            </w:pPr>
          </w:p>
        </w:tc>
        <w:tc>
          <w:tcPr>
            <w:tcW w:w="1700" w:type="dxa"/>
            <w:vAlign w:val="bottom"/>
            <w:tcBorders>
              <w:top w:val="single" w:sz="8" w:color="auto"/>
            </w:tcBorders>
          </w:tcPr>
          <w:p>
            <w:pPr>
              <w:spacing w:after="0"/>
              <w:rPr>
                <w:sz w:val="13"/>
                <w:szCs w:val="13"/>
                <w:color w:val="auto"/>
              </w:rPr>
            </w:pPr>
          </w:p>
        </w:tc>
      </w:tr>
      <w:tr>
        <w:trPr>
          <w:trHeight w:val="162"/>
        </w:trPr>
        <w:tc>
          <w:tcPr>
            <w:tcW w:w="2740" w:type="dxa"/>
            <w:vAlign w:val="bottom"/>
            <w:shd w:val="clear" w:color="auto" w:fill="F2F2F2"/>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2"/>
              </w:rPr>
              <w:t>RESTRICTED</w:t>
            </w:r>
          </w:p>
        </w:tc>
        <w:tc>
          <w:tcPr>
            <w:tcW w:w="1700" w:type="dxa"/>
            <w:vAlign w:val="bottom"/>
            <w:shd w:val="clear" w:color="auto" w:fill="F2F2F2"/>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2"/>
              </w:rPr>
              <w:t>STOCK</w:t>
            </w:r>
          </w:p>
        </w:tc>
        <w:tc>
          <w:tcPr>
            <w:tcW w:w="1700" w:type="dxa"/>
            <w:vAlign w:val="bottom"/>
            <w:shd w:val="clear" w:color="auto" w:fill="F2F2F2"/>
          </w:tcPr>
          <w:p>
            <w:pPr>
              <w:spacing w:after="0"/>
              <w:rPr>
                <w:sz w:val="14"/>
                <w:szCs w:val="14"/>
                <w:color w:val="auto"/>
              </w:rPr>
            </w:pPr>
          </w:p>
        </w:tc>
        <w:tc>
          <w:tcPr>
            <w:tcW w:w="1700" w:type="dxa"/>
            <w:vAlign w:val="bottom"/>
          </w:tcPr>
          <w:p>
            <w:pPr>
              <w:spacing w:after="0"/>
              <w:rPr>
                <w:sz w:val="14"/>
                <w:szCs w:val="14"/>
                <w:color w:val="auto"/>
              </w:rPr>
            </w:pPr>
          </w:p>
        </w:tc>
      </w:tr>
      <w:tr>
        <w:trPr>
          <w:trHeight w:val="214"/>
        </w:trPr>
        <w:tc>
          <w:tcPr>
            <w:tcW w:w="2740" w:type="dxa"/>
            <w:vAlign w:val="bottom"/>
            <w:tcBorders>
              <w:bottom w:val="single" w:sz="8" w:color="F2F2F2"/>
            </w:tcBorders>
            <w:shd w:val="clear" w:color="auto" w:fill="F2F2F2"/>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2"/>
              </w:rPr>
              <w:t>STOCK</w:t>
            </w:r>
          </w:p>
        </w:tc>
        <w:tc>
          <w:tcPr>
            <w:tcW w:w="170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RSUs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2"/>
              </w:rPr>
              <w:t>OPTIONS</w:t>
            </w:r>
          </w:p>
        </w:tc>
        <w:tc>
          <w:tcPr>
            <w:tcW w:w="1700" w:type="dxa"/>
            <w:vAlign w:val="bottom"/>
            <w:tcBorders>
              <w:bottom w:val="single" w:sz="8" w:color="F2F2F2"/>
            </w:tcBorders>
            <w:shd w:val="clear" w:color="auto" w:fill="F2F2F2"/>
          </w:tcPr>
          <w:p>
            <w:pPr>
              <w:ind w:left="680"/>
              <w:spacing w:after="0"/>
              <w:rPr>
                <w:sz w:val="20"/>
                <w:szCs w:val="20"/>
                <w:color w:val="auto"/>
              </w:rPr>
            </w:pPr>
            <w:r>
              <w:rPr>
                <w:rFonts w:ascii="Times New Roman" w:cs="Times New Roman" w:eastAsia="Times New Roman" w:hAnsi="Times New Roman"/>
                <w:sz w:val="14"/>
                <w:szCs w:val="14"/>
                <w:b w:val="1"/>
                <w:bCs w:val="1"/>
                <w:color w:val="2E8D52"/>
              </w:rPr>
              <w:t>PSUs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E8D52"/>
              </w:rPr>
              <w:t>TOTAL</w:t>
            </w:r>
          </w:p>
        </w:tc>
      </w:tr>
      <w:tr>
        <w:trPr>
          <w:trHeight w:val="264"/>
        </w:trPr>
        <w:tc>
          <w:tcPr>
            <w:tcW w:w="27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c>
          <w:tcPr>
            <w:tcW w:w="1700" w:type="dxa"/>
            <w:vAlign w:val="bottom"/>
            <w:tcBorders>
              <w:top w:val="single" w:sz="8" w:color="auto"/>
            </w:tcBorders>
          </w:tcPr>
          <w:p>
            <w:pPr>
              <w:spacing w:after="0"/>
              <w:rPr>
                <w:sz w:val="22"/>
                <w:szCs w:val="22"/>
                <w:color w:val="auto"/>
              </w:rPr>
            </w:pPr>
          </w:p>
        </w:tc>
        <w:tc>
          <w:tcPr>
            <w:tcW w:w="1700" w:type="dxa"/>
            <w:vAlign w:val="bottom"/>
            <w:tcBorders>
              <w:top w:val="single" w:sz="8" w:color="auto"/>
              <w:bottom w:val="single" w:sz="8" w:color="F2F2F2"/>
            </w:tcBorders>
            <w:shd w:val="clear" w:color="auto" w:fill="F2F2F2"/>
          </w:tcPr>
          <w:p>
            <w:pPr>
              <w:jc w:val="right"/>
              <w:ind w:right="362"/>
              <w:spacing w:after="0"/>
              <w:rPr>
                <w:sz w:val="20"/>
                <w:szCs w:val="20"/>
                <w:color w:val="auto"/>
              </w:rPr>
            </w:pPr>
            <w:r>
              <w:rPr>
                <w:rFonts w:ascii="Times New Roman" w:cs="Times New Roman" w:eastAsia="Times New Roman" w:hAnsi="Times New Roman"/>
                <w:sz w:val="18"/>
                <w:szCs w:val="18"/>
                <w:color w:val="auto"/>
              </w:rPr>
              <w:t>$1,500,039</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$1,500,021</w:t>
            </w:r>
          </w:p>
        </w:tc>
        <w:tc>
          <w:tcPr>
            <w:tcW w:w="17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$4,250,053</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$7,250,113</w:t>
            </w:r>
          </w:p>
        </w:tc>
      </w:tr>
      <w:tr>
        <w:trPr>
          <w:trHeight w:val="263"/>
        </w:trPr>
        <w:tc>
          <w:tcPr>
            <w:tcW w:w="27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Carrie Anderson</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$328,174</w:t>
            </w:r>
          </w:p>
        </w:tc>
        <w:tc>
          <w:tcPr>
            <w:tcW w:w="1700" w:type="dxa"/>
            <w:vAlign w:val="bottom"/>
            <w:tcBorders>
              <w:top w:val="single" w:sz="8" w:color="auto"/>
              <w:bottom w:val="single" w:sz="8" w:color="F2F2F2"/>
            </w:tcBorders>
            <w:shd w:val="clear" w:color="auto" w:fill="F2F2F2"/>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$328,142</w:t>
            </w:r>
          </w:p>
        </w:tc>
        <w:tc>
          <w:tcPr>
            <w:tcW w:w="17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$918,805</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$1,575,121</w:t>
            </w:r>
          </w:p>
        </w:tc>
      </w:tr>
      <w:tr>
        <w:trPr>
          <w:trHeight w:val="263"/>
        </w:trPr>
        <w:tc>
          <w:tcPr>
            <w:tcW w:w="27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$463,557</w:t>
            </w:r>
          </w:p>
        </w:tc>
        <w:tc>
          <w:tcPr>
            <w:tcW w:w="1700" w:type="dxa"/>
            <w:vAlign w:val="bottom"/>
            <w:tcBorders>
              <w:top w:val="single" w:sz="8" w:color="auto"/>
              <w:bottom w:val="single" w:sz="8" w:color="F2F2F2"/>
            </w:tcBorders>
            <w:shd w:val="clear" w:color="auto" w:fill="F2F2F2"/>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$463,502</w:t>
            </w:r>
          </w:p>
        </w:tc>
        <w:tc>
          <w:tcPr>
            <w:tcW w:w="17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$1,297,850</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$2,224,909</w:t>
            </w:r>
          </w:p>
        </w:tc>
      </w:tr>
      <w:tr>
        <w:trPr>
          <w:trHeight w:val="263"/>
        </w:trPr>
        <w:tc>
          <w:tcPr>
            <w:tcW w:w="27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$208,590</w:t>
            </w:r>
          </w:p>
        </w:tc>
        <w:tc>
          <w:tcPr>
            <w:tcW w:w="1700" w:type="dxa"/>
            <w:vAlign w:val="bottom"/>
            <w:tcBorders>
              <w:top w:val="single" w:sz="8" w:color="auto"/>
              <w:bottom w:val="single" w:sz="8" w:color="F2F2F2"/>
            </w:tcBorders>
            <w:shd w:val="clear" w:color="auto" w:fill="F2F2F2"/>
          </w:tcPr>
          <w:p>
            <w:pPr>
              <w:spacing w:after="0"/>
              <w:rPr>
                <w:sz w:val="22"/>
                <w:szCs w:val="22"/>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$208,551</w:t>
            </w:r>
          </w:p>
        </w:tc>
        <w:tc>
          <w:tcPr>
            <w:tcW w:w="17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$667,380</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$1,084,521</w:t>
            </w:r>
          </w:p>
        </w:tc>
      </w:tr>
      <w:tr>
        <w:trPr>
          <w:trHeight w:val="243"/>
        </w:trPr>
        <w:tc>
          <w:tcPr>
            <w:tcW w:w="274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Michael J. McBreen</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$197,013</w:t>
            </w:r>
          </w:p>
        </w:tc>
        <w:tc>
          <w:tcPr>
            <w:tcW w:w="1700" w:type="dxa"/>
            <w:vAlign w:val="bottom"/>
            <w:tcBorders>
              <w:top w:val="single" w:sz="8" w:color="auto"/>
              <w:bottom w:val="single" w:sz="8" w:color="F2F2F2"/>
            </w:tcBorders>
            <w:shd w:val="clear" w:color="auto" w:fill="F2F2F2"/>
          </w:tcPr>
          <w:p>
            <w:pPr>
              <w:spacing w:after="0"/>
              <w:rPr>
                <w:sz w:val="21"/>
                <w:szCs w:val="21"/>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$197,007</w:t>
            </w:r>
          </w:p>
        </w:tc>
        <w:tc>
          <w:tcPr>
            <w:tcW w:w="170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7"/>
              </w:rPr>
              <w:t>$630,470</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$1,024,490</w:t>
            </w:r>
          </w:p>
        </w:tc>
      </w:tr>
      <w:tr>
        <w:trPr>
          <w:trHeight w:val="20"/>
        </w:trPr>
        <w:tc>
          <w:tcPr>
            <w:tcW w:w="27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ind w:left="60" w:right="180" w:firstLine="486"/>
        <w:spacing w:after="0" w:line="236" w:lineRule="auto"/>
        <w:rPr>
          <w:sz w:val="20"/>
          <w:szCs w:val="20"/>
          <w:color w:val="auto"/>
        </w:rPr>
      </w:pPr>
      <w:r>
        <w:rPr>
          <w:rFonts w:ascii="Times New Roman" w:cs="Times New Roman" w:eastAsia="Times New Roman" w:hAnsi="Times New Roman"/>
          <w:sz w:val="18"/>
          <w:szCs w:val="18"/>
          <w:color w:val="auto"/>
        </w:rPr>
        <w:t>Mr. De Witte's employment agreement provided for $2,000,000 in value of restricted stock units that will vest in three substantially equal annual installments beginning with the first anniversary of the grant date. Mr. De Witte, in connection with establishing his U.S. residency, received this grant on January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215265</wp:posOffset>
            </wp:positionV>
            <wp:extent cx="7098030" cy="3771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80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shd w:val="clear" w:color="auto" w:fill="F2F2F2"/>
        </w:rPr>
        <w:t>ING ORGANIC REVENUE GROWTH AS THE PSU PERFORMANCE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173990</wp:posOffset>
            </wp:positionV>
            <wp:extent cx="7132320" cy="9944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94410"/>
                    </a:xfrm>
                    <a:prstGeom prst="rect">
                      <a:avLst/>
                    </a:prstGeom>
                    <a:noFill/>
                  </pic:spPr>
                </pic:pic>
              </a:graphicData>
            </a:graphic>
          </wp:anchor>
        </w:drawing>
      </w:r>
    </w:p>
    <w:p>
      <w:pPr>
        <w:spacing w:after="0" w:line="367" w:lineRule="exact"/>
        <w:rPr>
          <w:sz w:val="20"/>
          <w:szCs w:val="20"/>
          <w:color w:val="auto"/>
        </w:rPr>
      </w:pPr>
    </w:p>
    <w:p>
      <w:pPr>
        <w:jc w:val="both"/>
        <w:ind w:left="80" w:right="20" w:firstLine="486"/>
        <w:spacing w:after="0" w:line="268" w:lineRule="auto"/>
        <w:rPr>
          <w:sz w:val="20"/>
          <w:szCs w:val="20"/>
          <w:color w:val="auto"/>
        </w:rPr>
      </w:pPr>
      <w:r>
        <w:rPr>
          <w:rFonts w:ascii="Times New Roman" w:cs="Times New Roman" w:eastAsia="Times New Roman" w:hAnsi="Times New Roman"/>
          <w:sz w:val="18"/>
          <w:szCs w:val="18"/>
          <w:b w:val="1"/>
          <w:bCs w:val="1"/>
          <w:color w:val="auto"/>
          <w:shd w:val="clear" w:color="auto" w:fill="F2F2F2"/>
        </w:rPr>
        <w:t xml:space="preserve">Annual organic revenue growth </w:t>
      </w:r>
      <w:r>
        <w:rPr>
          <w:rFonts w:ascii="Times New Roman" w:cs="Times New Roman" w:eastAsia="Times New Roman" w:hAnsi="Times New Roman"/>
          <w:sz w:val="18"/>
          <w:szCs w:val="18"/>
          <w:color w:val="auto"/>
          <w:shd w:val="clear" w:color="auto" w:fill="F2F2F2"/>
        </w:rPr>
        <w:t>is the performance metric for PSU awards as it is a key indicator of the strength of our business and stockholder</w:t>
      </w:r>
      <w:r>
        <w:rPr>
          <w:rFonts w:ascii="Times New Roman" w:cs="Times New Roman" w:eastAsia="Times New Roman" w:hAnsi="Times New Roman"/>
          <w:sz w:val="18"/>
          <w:szCs w:val="18"/>
          <w:b w:val="1"/>
          <w:bCs w:val="1"/>
          <w:color w:val="auto"/>
          <w:shd w:val="clear" w:color="auto" w:fill="F2F2F2"/>
        </w:rPr>
        <w:t xml:space="preserve"> </w:t>
      </w:r>
      <w:r>
        <w:rPr>
          <w:rFonts w:ascii="Times New Roman" w:cs="Times New Roman" w:eastAsia="Times New Roman" w:hAnsi="Times New Roman"/>
          <w:sz w:val="18"/>
          <w:szCs w:val="18"/>
          <w:color w:val="auto"/>
          <w:shd w:val="clear" w:color="auto" w:fill="F2F2F2"/>
        </w:rPr>
        <w:t>return. Organic revenue consists of total revenues excluding the effects of currency exchange rates, revenues from current-period acquisitions and product divestitures and discontinuances. Organic revenue growth is the increase in organic revenue compared to the prior year.</w:t>
      </w:r>
    </w:p>
    <w:p>
      <w:pPr>
        <w:spacing w:after="0" w:line="67" w:lineRule="exact"/>
        <w:rPr>
          <w:sz w:val="20"/>
          <w:szCs w:val="20"/>
          <w:color w:val="auto"/>
        </w:rPr>
      </w:pPr>
    </w:p>
    <w:p>
      <w:pPr>
        <w:jc w:val="both"/>
        <w:ind w:left="80" w:right="20" w:firstLine="486"/>
        <w:spacing w:after="0" w:line="266" w:lineRule="auto"/>
        <w:rPr>
          <w:sz w:val="20"/>
          <w:szCs w:val="20"/>
          <w:color w:val="auto"/>
        </w:rPr>
      </w:pPr>
      <w:r>
        <w:rPr>
          <w:rFonts w:ascii="Times New Roman" w:cs="Times New Roman" w:eastAsia="Times New Roman" w:hAnsi="Times New Roman"/>
          <w:sz w:val="18"/>
          <w:szCs w:val="18"/>
          <w:color w:val="auto"/>
          <w:shd w:val="clear" w:color="auto" w:fill="F2F2F2"/>
        </w:rPr>
        <w:t>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E8D52"/>
        </w:rPr>
        <w:t>PSU VESTING FOR EQUITY GRANTS</w:t>
      </w:r>
    </w:p>
    <w:p>
      <w:pPr>
        <w:spacing w:after="0" w:line="121" w:lineRule="exact"/>
        <w:rPr>
          <w:sz w:val="20"/>
          <w:szCs w:val="20"/>
          <w:color w:val="auto"/>
        </w:rPr>
      </w:pPr>
    </w:p>
    <w:p>
      <w:pPr>
        <w:jc w:val="both"/>
        <w:ind w:left="60" w:right="20" w:firstLine="486"/>
        <w:spacing w:after="0" w:line="266" w:lineRule="auto"/>
        <w:rPr>
          <w:sz w:val="20"/>
          <w:szCs w:val="20"/>
          <w:color w:val="auto"/>
        </w:rPr>
      </w:pPr>
      <w:r>
        <w:rPr>
          <w:rFonts w:ascii="Times New Roman" w:cs="Times New Roman" w:eastAsia="Times New Roman" w:hAnsi="Times New Roman"/>
          <w:sz w:val="18"/>
          <w:szCs w:val="18"/>
          <w:color w:val="auto"/>
        </w:rPr>
        <w:t>For the 2018, 2019 and 2020 grants, each named executive officer is eligible to receive shares of the Company’s common stock ranging from 0% to 150% of target based on the Company’s achievement of an annual organic revenue growth goal over the prior year’s organic revenue amount during each fiscal year of the performance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71755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2E8D52"/>
        </w:rPr>
        <w:t>GROWTH IN ANNUAL ORGANIC REVENUE OVER PRIOR YEAR</w:t>
      </w:r>
    </w:p>
    <w:p>
      <w:pPr>
        <w:spacing w:after="0" w:line="33"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6700" w:type="dxa"/>
            <w:vAlign w:val="bottom"/>
            <w:tcBorders>
              <w:top w:val="single" w:sz="8" w:color="auto"/>
            </w:tcBorders>
            <w:shd w:val="clear" w:color="auto" w:fill="F2F2F2"/>
          </w:tcPr>
          <w:p>
            <w:pPr>
              <w:spacing w:after="0"/>
              <w:rPr>
                <w:sz w:val="15"/>
                <w:szCs w:val="15"/>
                <w:color w:val="auto"/>
              </w:rPr>
            </w:pPr>
          </w:p>
        </w:tc>
        <w:tc>
          <w:tcPr>
            <w:tcW w:w="228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PERFORMANCE</w:t>
            </w:r>
          </w:p>
        </w:tc>
      </w:tr>
      <w:tr>
        <w:trPr>
          <w:trHeight w:val="214"/>
        </w:trPr>
        <w:tc>
          <w:tcPr>
            <w:tcW w:w="6700" w:type="dxa"/>
            <w:vAlign w:val="bottom"/>
            <w:tcBorders>
              <w:bottom w:val="single" w:sz="8" w:color="F2F2F2"/>
            </w:tcBorders>
            <w:shd w:val="clear" w:color="auto" w:fill="F2F2F2"/>
          </w:tcPr>
          <w:p>
            <w:pPr>
              <w:spacing w:after="0"/>
              <w:rPr>
                <w:sz w:val="18"/>
                <w:szCs w:val="18"/>
                <w:color w:val="auto"/>
              </w:rPr>
            </w:pPr>
          </w:p>
        </w:tc>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2E8D52"/>
              </w:rPr>
              <w:t>PERFORMANCE GOAL</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VESTING PERCENTAGE</w:t>
            </w:r>
          </w:p>
        </w:tc>
      </w:tr>
      <w:tr>
        <w:trPr>
          <w:trHeight w:val="263"/>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Below Threshold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&lt;2%</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64"/>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Threshold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64"/>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Target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4"/>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Maximum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0"/>
        </w:trPr>
        <w:tc>
          <w:tcPr>
            <w:tcW w:w="67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60" w:right="20" w:firstLine="486"/>
        <w:spacing w:after="0" w:line="258" w:lineRule="auto"/>
        <w:rPr>
          <w:sz w:val="20"/>
          <w:szCs w:val="20"/>
          <w:color w:val="auto"/>
        </w:rPr>
      </w:pPr>
      <w:r>
        <w:rPr>
          <w:rFonts w:ascii="Times New Roman" w:cs="Times New Roman" w:eastAsia="Times New Roman" w:hAnsi="Times New Roman"/>
          <w:sz w:val="18"/>
          <w:szCs w:val="18"/>
          <w:color w:val="auto"/>
        </w:rPr>
        <w:t>For the 2021 grants, to further align the interests of our executives and those of our stockholders and enhance our performance-oriented incentives to drive sustainable long-term performance, the Compensation Committee increased the 2021 grant’s maximum vesting percentage to 200% when the Company achieves exceptional organic revenue growth of 14% or more. Each named executive officer is eligible to receive shares of the Company’s common stock ranging from 0% to 200% of target for the 2021 grant based on the Company’s achievement of the annual organic revenue growth goal over the prior year’s organic revenue amount during each fiscal year of the performance period as follows:</w:t>
      </w:r>
    </w:p>
    <w:p>
      <w:pPr>
        <w:sectPr>
          <w:pgSz w:w="11900" w:h="16838" w:orient="portrait"/>
          <w:cols w:equalWidth="0" w:num="1">
            <w:col w:w="11300"/>
          </w:cols>
          <w:pgMar w:left="260" w:top="42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00"/>
          </w:cols>
          <w:pgMar w:left="260" w:top="428" w:right="339" w:bottom="1440" w:gutter="0" w:footer="0" w:header="0"/>
          <w:type w:val="continuous"/>
        </w:sectPr>
      </w:pPr>
    </w:p>
    <w:bookmarkStart w:id="46" w:name="page47"/>
    <w:bookmarkEnd w:id="4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E8D52"/>
        </w:rPr>
        <w:t>GROWTH IN ANNUAL ORGANIC REVENUE OVER PRIOR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00" w:type="dxa"/>
            <w:vAlign w:val="bottom"/>
            <w:tcBorders>
              <w:top w:val="single" w:sz="8" w:color="auto"/>
            </w:tcBorders>
            <w:shd w:val="clear" w:color="auto" w:fill="F2F2F2"/>
          </w:tcPr>
          <w:p>
            <w:pPr>
              <w:spacing w:after="0"/>
              <w:rPr>
                <w:sz w:val="15"/>
                <w:szCs w:val="15"/>
                <w:color w:val="auto"/>
              </w:rPr>
            </w:pPr>
          </w:p>
        </w:tc>
        <w:tc>
          <w:tcPr>
            <w:tcW w:w="2280" w:type="dxa"/>
            <w:vAlign w:val="bottom"/>
            <w:tcBorders>
              <w:top w:val="single" w:sz="8" w:color="auto"/>
            </w:tcBorders>
          </w:tcPr>
          <w:p>
            <w:pPr>
              <w:spacing w:after="0"/>
              <w:rPr>
                <w:sz w:val="15"/>
                <w:szCs w:val="15"/>
                <w:color w:val="auto"/>
              </w:rPr>
            </w:pPr>
          </w:p>
        </w:tc>
        <w:tc>
          <w:tcPr>
            <w:tcW w:w="2260" w:type="dxa"/>
            <w:vAlign w:val="bottom"/>
            <w:tcBorders>
              <w:top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PERFORMANCE</w:t>
            </w:r>
          </w:p>
        </w:tc>
      </w:tr>
      <w:tr>
        <w:trPr>
          <w:trHeight w:val="214"/>
        </w:trPr>
        <w:tc>
          <w:tcPr>
            <w:tcW w:w="6700" w:type="dxa"/>
            <w:vAlign w:val="bottom"/>
            <w:tcBorders>
              <w:bottom w:val="single" w:sz="8" w:color="F2F2F2"/>
            </w:tcBorders>
            <w:shd w:val="clear" w:color="auto" w:fill="F2F2F2"/>
          </w:tcPr>
          <w:p>
            <w:pPr>
              <w:spacing w:after="0"/>
              <w:rPr>
                <w:sz w:val="18"/>
                <w:szCs w:val="18"/>
                <w:color w:val="auto"/>
              </w:rPr>
            </w:pPr>
          </w:p>
        </w:tc>
        <w:tc>
          <w:tcPr>
            <w:tcW w:w="22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2E8D52"/>
              </w:rPr>
              <w:t>PERFORMANCE GOAL</w:t>
            </w:r>
          </w:p>
        </w:tc>
        <w:tc>
          <w:tcPr>
            <w:tcW w:w="2260" w:type="dxa"/>
            <w:vAlign w:val="bottom"/>
            <w:tcBorders>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4"/>
                <w:szCs w:val="14"/>
                <w:b w:val="1"/>
                <w:bCs w:val="1"/>
                <w:color w:val="2E8D52"/>
              </w:rPr>
              <w:t>VESTING PERCENTAGE</w:t>
            </w:r>
          </w:p>
        </w:tc>
      </w:tr>
      <w:tr>
        <w:trPr>
          <w:trHeight w:val="264"/>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Below Threshold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&lt;2%</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63"/>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Threshold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Target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63"/>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Above Target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43"/>
        </w:trPr>
        <w:tc>
          <w:tcPr>
            <w:tcW w:w="670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Maximum Level</w:t>
            </w: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2260" w:type="dxa"/>
            <w:vAlign w:val="bottom"/>
            <w:tcBorders>
              <w:top w:val="single" w:sz="8" w:color="auto"/>
              <w:bottom w:val="single" w:sz="8" w:color="F2F2F2"/>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r>
      <w:tr>
        <w:trPr>
          <w:trHeight w:val="20"/>
        </w:trPr>
        <w:tc>
          <w:tcPr>
            <w:tcW w:w="67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E8D52"/>
              </w:rPr>
              <w:t>IF...</w:t>
            </w:r>
          </w:p>
        </w:tc>
        <w:tc>
          <w:tcPr>
            <w:tcW w:w="7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E8D52"/>
              </w:rPr>
              <w:t>THEN...</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7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Growth in annual organic revenue over prior year</w:t>
            </w:r>
          </w:p>
        </w:tc>
        <w:tc>
          <w:tcPr>
            <w:tcW w:w="7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2E8D52"/>
              </w:rPr>
              <w:t>FOR 2018, 2019, 2020 AND 2021 GRANTS</w:t>
            </w:r>
          </w:p>
        </w:tc>
        <w:tc>
          <w:tcPr>
            <w:tcW w:w="0" w:type="dxa"/>
            <w:vAlign w:val="bottom"/>
          </w:tcPr>
          <w:p>
            <w:pPr>
              <w:spacing w:after="0"/>
              <w:rPr>
                <w:sz w:val="1"/>
                <w:szCs w:val="1"/>
                <w:color w:val="auto"/>
              </w:rPr>
            </w:pPr>
          </w:p>
        </w:tc>
      </w:tr>
      <w:tr>
        <w:trPr>
          <w:trHeight w:val="144"/>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 between threshold and target levels</w:t>
            </w:r>
          </w:p>
        </w:tc>
        <w:tc>
          <w:tcPr>
            <w:tcW w:w="7560" w:type="dxa"/>
            <w:vAlign w:val="bottom"/>
          </w:tcPr>
          <w:p>
            <w:pPr>
              <w:ind w:left="80"/>
              <w:spacing w:after="0" w:line="144" w:lineRule="exact"/>
              <w:rPr>
                <w:sz w:val="20"/>
                <w:szCs w:val="20"/>
                <w:color w:val="auto"/>
              </w:rPr>
            </w:pPr>
            <w:r>
              <w:rPr>
                <w:rFonts w:ascii="Times New Roman" w:cs="Times New Roman" w:eastAsia="Times New Roman" w:hAnsi="Times New Roman"/>
                <w:sz w:val="16"/>
                <w:szCs w:val="16"/>
                <w:color w:val="auto"/>
              </w:rPr>
              <w:t>Performance vesting percentage is determined by extrapolating between threshold level— anchor</w:t>
            </w:r>
          </w:p>
        </w:tc>
        <w:tc>
          <w:tcPr>
            <w:tcW w:w="0" w:type="dxa"/>
            <w:vAlign w:val="bottom"/>
          </w:tcPr>
          <w:p>
            <w:pPr>
              <w:spacing w:after="0"/>
              <w:rPr>
                <w:sz w:val="1"/>
                <w:szCs w:val="1"/>
                <w:color w:val="auto"/>
              </w:rPr>
            </w:pPr>
          </w:p>
        </w:tc>
      </w:tr>
      <w:tr>
        <w:trPr>
          <w:trHeight w:val="126"/>
        </w:trPr>
        <w:tc>
          <w:tcPr>
            <w:tcW w:w="3680" w:type="dxa"/>
            <w:vAlign w:val="bottom"/>
            <w:vMerge w:val="continue"/>
          </w:tcPr>
          <w:p>
            <w:pPr>
              <w:spacing w:after="0"/>
              <w:rPr>
                <w:sz w:val="10"/>
                <w:szCs w:val="10"/>
                <w:color w:val="auto"/>
              </w:rPr>
            </w:pPr>
          </w:p>
        </w:tc>
        <w:tc>
          <w:tcPr>
            <w:tcW w:w="7560" w:type="dxa"/>
            <w:vAlign w:val="bottom"/>
            <w:vMerge w:val="restart"/>
          </w:tcPr>
          <w:p>
            <w:pPr>
              <w:ind w:left="80"/>
              <w:spacing w:after="0" w:line="189" w:lineRule="exact"/>
              <w:rPr>
                <w:sz w:val="20"/>
                <w:szCs w:val="20"/>
                <w:color w:val="auto"/>
              </w:rPr>
            </w:pPr>
            <w:r>
              <w:rPr>
                <w:rFonts w:ascii="Times New Roman" w:cs="Times New Roman" w:eastAsia="Times New Roman" w:hAnsi="Times New Roman"/>
                <w:sz w:val="18"/>
                <w:szCs w:val="18"/>
                <w:color w:val="auto"/>
              </w:rPr>
              <w:t>points of 3% annual organic revenue growth (with a 70% performance vesting percentage) and 4%</w:t>
            </w:r>
          </w:p>
        </w:tc>
        <w:tc>
          <w:tcPr>
            <w:tcW w:w="0" w:type="dxa"/>
            <w:vAlign w:val="bottom"/>
          </w:tcPr>
          <w:p>
            <w:pPr>
              <w:spacing w:after="0"/>
              <w:rPr>
                <w:sz w:val="1"/>
                <w:szCs w:val="1"/>
                <w:color w:val="auto"/>
              </w:rPr>
            </w:pPr>
          </w:p>
        </w:tc>
      </w:tr>
      <w:tr>
        <w:trPr>
          <w:trHeight w:val="63"/>
        </w:trPr>
        <w:tc>
          <w:tcPr>
            <w:tcW w:w="3680" w:type="dxa"/>
            <w:vAlign w:val="bottom"/>
          </w:tcPr>
          <w:p>
            <w:pPr>
              <w:spacing w:after="0"/>
              <w:rPr>
                <w:sz w:val="5"/>
                <w:szCs w:val="5"/>
                <w:color w:val="auto"/>
              </w:rPr>
            </w:pPr>
          </w:p>
        </w:tc>
        <w:tc>
          <w:tcPr>
            <w:tcW w:w="7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p>
        </w:tc>
        <w:tc>
          <w:tcPr>
            <w:tcW w:w="7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annual organic revenue growth (with an 85% performance vesting percentage)—and target level.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27774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777490"/>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p>
      <w:pPr>
        <w:spacing w:after="0" w:line="36"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Growth in annual organic revenue over prior year is between target and maximum levels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E8D52"/>
        </w:rPr>
        <w:t>FOR 2018, 2019 AND 2020 GRANTS</w:t>
      </w:r>
    </w:p>
    <w:p>
      <w:pPr>
        <w:ind w:right="220"/>
        <w:spacing w:after="0" w:line="228" w:lineRule="auto"/>
        <w:rPr>
          <w:sz w:val="20"/>
          <w:szCs w:val="20"/>
          <w:color w:val="auto"/>
        </w:rPr>
      </w:pPr>
      <w:r>
        <w:rPr>
          <w:rFonts w:ascii="Times New Roman" w:cs="Times New Roman" w:eastAsia="Times New Roman" w:hAnsi="Times New Roman"/>
          <w:sz w:val="18"/>
          <w:szCs w:val="18"/>
          <w:color w:val="auto"/>
        </w:rPr>
        <w:t>Performance vesting percentage is determined by linear interpolation between target level and maximum level—for example 6% annual organic revenue growth (with a 125% performance vesting percentage).</w:t>
      </w:r>
    </w:p>
    <w:p>
      <w:pPr>
        <w:spacing w:after="0" w:line="200" w:lineRule="exact"/>
        <w:rPr>
          <w:sz w:val="20"/>
          <w:szCs w:val="20"/>
          <w:color w:val="auto"/>
        </w:rPr>
      </w:pPr>
    </w:p>
    <w:p>
      <w:pPr>
        <w:sectPr>
          <w:pgSz w:w="11900" w:h="16838" w:orient="portrait"/>
          <w:cols w:equalWidth="0" w:num="2">
            <w:col w:w="3600" w:space="160"/>
            <w:col w:w="7480"/>
          </w:cols>
          <w:pgMar w:left="320" w:top="428" w:right="339" w:bottom="1440" w:gutter="0" w:footer="0" w:header="0"/>
          <w:type w:val="continuous"/>
        </w:sectPr>
      </w:pP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b w:val="1"/>
          <w:bCs w:val="1"/>
          <w:color w:val="2E8D52"/>
        </w:rPr>
        <w:t>FOR 2021 GRANT</w:t>
      </w:r>
    </w:p>
    <w:p>
      <w:pPr>
        <w:ind w:left="3760"/>
        <w:spacing w:after="0"/>
        <w:rPr>
          <w:sz w:val="20"/>
          <w:szCs w:val="20"/>
          <w:color w:val="auto"/>
        </w:rPr>
      </w:pPr>
      <w:r>
        <w:rPr>
          <w:rFonts w:ascii="Times New Roman" w:cs="Times New Roman" w:eastAsia="Times New Roman" w:hAnsi="Times New Roman"/>
          <w:sz w:val="18"/>
          <w:szCs w:val="18"/>
          <w:color w:val="auto"/>
        </w:rPr>
        <w:t>Performance vesting percentage is determined by linear interpolation:</w:t>
      </w:r>
    </w:p>
    <w:p>
      <w:pPr>
        <w:spacing w:after="0" w:line="16" w:lineRule="exact"/>
        <w:rPr>
          <w:sz w:val="20"/>
          <w:szCs w:val="20"/>
          <w:color w:val="auto"/>
        </w:rPr>
      </w:pPr>
    </w:p>
    <w:p>
      <w:pPr>
        <w:ind w:left="3760"/>
        <w:spacing w:after="0"/>
        <w:tabs>
          <w:tab w:leader="none" w:pos="4060" w:val="left"/>
        </w:tabs>
        <w:rPr>
          <w:sz w:val="20"/>
          <w:szCs w:val="20"/>
          <w:color w:val="auto"/>
        </w:rPr>
      </w:pPr>
      <w:r>
        <w:rPr>
          <w:rFonts w:ascii="Times New Roman" w:cs="Times New Roman" w:eastAsia="Times New Roman" w:hAnsi="Times New Roman"/>
          <w:sz w:val="18"/>
          <w:szCs w:val="18"/>
          <w:color w:val="auto"/>
        </w:rPr>
        <w:t>•</w:t>
        <w:tab/>
        <w:t>Between target level—for example 6% annual organic revenue growth (with a 125% performance</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40" w:type="dxa"/>
            <w:vAlign w:val="bottom"/>
          </w:tcPr>
          <w:p>
            <w:pPr>
              <w:ind w:left="480"/>
              <w:spacing w:after="0" w:line="171" w:lineRule="exact"/>
              <w:rPr>
                <w:sz w:val="20"/>
                <w:szCs w:val="20"/>
                <w:color w:val="auto"/>
              </w:rPr>
            </w:pPr>
            <w:r>
              <w:rPr>
                <w:rFonts w:ascii="Times New Roman" w:cs="Times New Roman" w:eastAsia="Times New Roman" w:hAnsi="Times New Roman"/>
                <w:sz w:val="18"/>
                <w:szCs w:val="18"/>
                <w:color w:val="auto"/>
              </w:rPr>
              <w:t>vesting percentage)—and above target level of 7% annual organic revenue growth (with a 150%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performance vesting percentage)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THEN</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   Between above target level of 7% and maximum level—for example 10.5% annual organic</w:t>
            </w:r>
          </w:p>
        </w:tc>
        <w:tc>
          <w:tcPr>
            <w:tcW w:w="0" w:type="dxa"/>
            <w:vAlign w:val="bottom"/>
          </w:tcPr>
          <w:p>
            <w:pPr>
              <w:spacing w:after="0"/>
              <w:rPr>
                <w:sz w:val="1"/>
                <w:szCs w:val="1"/>
                <w:color w:val="auto"/>
              </w:rPr>
            </w:pPr>
          </w:p>
        </w:tc>
      </w:tr>
      <w:tr>
        <w:trPr>
          <w:trHeight w:val="241"/>
        </w:trPr>
        <w:tc>
          <w:tcPr>
            <w:tcW w:w="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revenue growth (with a 175% performance vesting percentage).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320" w:type="dxa"/>
            <w:vAlign w:val="bottom"/>
            <w:vMerge w:val="restart"/>
          </w:tcPr>
          <w:p>
            <w:pPr>
              <w:spacing w:after="0"/>
              <w:rPr>
                <w:sz w:val="2"/>
                <w:szCs w:val="2"/>
                <w:color w:val="auto"/>
              </w:rPr>
            </w:pPr>
          </w:p>
        </w:tc>
        <w:tc>
          <w:tcPr>
            <w:tcW w:w="76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Additional PSUs will vest on the third anniversary of the grant date (as though the performance goal</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shd w:val="clear" w:color="auto" w:fill="F2F2F2"/>
          </w:tcPr>
          <w:p>
            <w:pPr>
              <w:spacing w:after="0" w:line="202" w:lineRule="exact"/>
              <w:rPr>
                <w:sz w:val="20"/>
                <w:szCs w:val="20"/>
                <w:color w:val="auto"/>
              </w:rPr>
            </w:pPr>
            <w:r>
              <w:rPr>
                <w:rFonts w:ascii="Times New Roman" w:cs="Times New Roman" w:eastAsia="Times New Roman" w:hAnsi="Times New Roman"/>
                <w:sz w:val="18"/>
                <w:szCs w:val="18"/>
                <w:color w:val="auto"/>
                <w:w w:val="99"/>
                <w:shd w:val="clear" w:color="auto" w:fill="F2F2F2"/>
              </w:rPr>
              <w:t>Target performance in a particular year is not</w:t>
            </w:r>
          </w:p>
        </w:tc>
        <w:tc>
          <w:tcPr>
            <w:tcW w:w="320" w:type="dxa"/>
            <w:vAlign w:val="bottom"/>
            <w:vMerge w:val="continue"/>
          </w:tcPr>
          <w:p>
            <w:pPr>
              <w:spacing w:after="0"/>
              <w:rPr>
                <w:sz w:val="17"/>
                <w:szCs w:val="17"/>
                <w:color w:val="auto"/>
              </w:rPr>
            </w:pPr>
          </w:p>
        </w:tc>
        <w:tc>
          <w:tcPr>
            <w:tcW w:w="7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F2F2F2"/>
          </w:tcPr>
          <w:p>
            <w:pPr>
              <w:spacing w:after="0"/>
              <w:rPr>
                <w:sz w:val="20"/>
                <w:szCs w:val="20"/>
                <w:color w:val="auto"/>
              </w:rPr>
            </w:pPr>
            <w:r>
              <w:rPr>
                <w:rFonts w:ascii="Times New Roman" w:cs="Times New Roman" w:eastAsia="Times New Roman" w:hAnsi="Times New Roman"/>
                <w:sz w:val="18"/>
                <w:szCs w:val="18"/>
                <w:color w:val="auto"/>
                <w:w w:val="99"/>
                <w:shd w:val="clear" w:color="auto" w:fill="F2F2F2"/>
              </w:rPr>
              <w:t>attained but the Company achieves its cumulative</w:t>
            </w: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the fiscal year was achieved at target level).</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shd w:val="clear" w:color="auto" w:fill="F2F2F2"/>
        </w:rPr>
        <w:t>goal (an average three-year annual organic revenue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shd w:val="clear" w:color="auto" w:fill="F2F2F2"/>
        </w:rPr>
        <w:t>growth rate of at least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428" w:right="3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PSU GRANT VESTING</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Vesting of the following PSU grants in 2021 and 2022 was determined based on the achievement of the Company’s annual organic revenue growth goal for the 2020 and 2021 performance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5357495" cy="28543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35749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PERFORMANCE RESULTS FOR PSUs VESTING IN 2022 BASED ON 2021 PERFORMANCE YEAR</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348839"/>
                <w:w w:val="99"/>
              </w:rPr>
              <w:t>PERFORMANCE</w:t>
            </w: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348839"/>
              </w:rPr>
              <w:t>2019 GRANT</w:t>
            </w:r>
          </w:p>
        </w:tc>
        <w:tc>
          <w:tcPr>
            <w:tcW w:w="1960" w:type="dxa"/>
            <w:vAlign w:val="bottom"/>
            <w:tcBorders>
              <w:top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348839"/>
                <w:w w:val="98"/>
              </w:rPr>
              <w:t>2020 GRANT</w:t>
            </w: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348839"/>
                <w:w w:val="98"/>
              </w:rPr>
              <w:t>2021 GRANT</w:t>
            </w:r>
          </w:p>
        </w:tc>
        <w:tc>
          <w:tcPr>
            <w:tcW w:w="0" w:type="dxa"/>
            <w:vAlign w:val="bottom"/>
          </w:tcPr>
          <w:p>
            <w:pPr>
              <w:spacing w:after="0"/>
              <w:rPr>
                <w:sz w:val="1"/>
                <w:szCs w:val="1"/>
                <w:color w:val="auto"/>
              </w:rPr>
            </w:pPr>
          </w:p>
        </w:tc>
      </w:tr>
      <w:tr>
        <w:trPr>
          <w:trHeight w:val="265"/>
        </w:trPr>
        <w:tc>
          <w:tcPr>
            <w:tcW w:w="3180" w:type="dxa"/>
            <w:vAlign w:val="bottom"/>
          </w:tcPr>
          <w:p>
            <w:pPr>
              <w:spacing w:after="0"/>
              <w:rPr>
                <w:sz w:val="23"/>
                <w:szCs w:val="23"/>
                <w:color w:val="auto"/>
              </w:rPr>
            </w:pPr>
          </w:p>
        </w:tc>
        <w:tc>
          <w:tcPr>
            <w:tcW w:w="20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348839"/>
              </w:rPr>
              <w:t>VESTING %</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348839"/>
                <w:w w:val="99"/>
              </w:rPr>
              <w:t>YEAR 3 VESTING</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b w:val="1"/>
                <w:bCs w:val="1"/>
                <w:color w:val="348839"/>
                <w:w w:val="99"/>
              </w:rPr>
              <w:t>YEAR 2 VESTING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348839"/>
                <w:w w:val="99"/>
              </w:rPr>
              <w:t>YEAR 1 VESTING</w:t>
            </w:r>
          </w:p>
        </w:tc>
        <w:tc>
          <w:tcPr>
            <w:tcW w:w="0" w:type="dxa"/>
            <w:vAlign w:val="bottom"/>
          </w:tcPr>
          <w:p>
            <w:pPr>
              <w:spacing w:after="0"/>
              <w:rPr>
                <w:sz w:val="1"/>
                <w:szCs w:val="1"/>
                <w:color w:val="auto"/>
              </w:rPr>
            </w:pPr>
          </w:p>
        </w:tc>
      </w:tr>
      <w:tr>
        <w:trPr>
          <w:trHeight w:val="263"/>
        </w:trPr>
        <w:tc>
          <w:tcPr>
            <w:tcW w:w="3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Baseline</w:t>
            </w:r>
            <w:r>
              <w:rPr>
                <w:rFonts w:ascii="Times New Roman" w:cs="Times New Roman" w:eastAsia="Times New Roman" w:hAnsi="Times New Roman"/>
                <w:sz w:val="23"/>
                <w:szCs w:val="23"/>
                <w:color w:val="auto"/>
                <w:vertAlign w:val="superscript"/>
              </w:rPr>
              <w:t>1</w:t>
            </w:r>
          </w:p>
        </w:tc>
        <w:tc>
          <w:tcPr>
            <w:tcW w:w="2020" w:type="dxa"/>
            <w:vAlign w:val="bottom"/>
            <w:tcBorders>
              <w:top w:val="single" w:sz="8" w:color="auto"/>
              <w:bottom w:val="single" w:sz="8" w:color="auto"/>
            </w:tcBorders>
            <w:shd w:val="clear" w:color="auto" w:fill="DBDBDB"/>
          </w:tcPr>
          <w:p>
            <w:pPr>
              <w:spacing w:after="0"/>
              <w:rPr>
                <w:sz w:val="22"/>
                <w:szCs w:val="22"/>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$1,273.3</w:t>
            </w:r>
          </w:p>
        </w:tc>
        <w:tc>
          <w:tcPr>
            <w:tcW w:w="196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$1,273.3</w:t>
            </w:r>
          </w:p>
        </w:tc>
        <w:tc>
          <w:tcPr>
            <w:tcW w:w="1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$1,273.3</w:t>
            </w:r>
          </w:p>
        </w:tc>
        <w:tc>
          <w:tcPr>
            <w:tcW w:w="0" w:type="dxa"/>
            <w:vAlign w:val="bottom"/>
          </w:tcPr>
          <w:p>
            <w:pPr>
              <w:spacing w:after="0"/>
              <w:rPr>
                <w:sz w:val="1"/>
                <w:szCs w:val="1"/>
                <w:color w:val="auto"/>
              </w:rPr>
            </w:pPr>
          </w:p>
        </w:tc>
      </w:tr>
      <w:tr>
        <w:trPr>
          <w:trHeight w:val="26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Target Level</w:t>
            </w:r>
          </w:p>
        </w:tc>
        <w:tc>
          <w:tcPr>
            <w:tcW w:w="202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63"/>
        </w:trPr>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Midpoint Level</w:t>
            </w:r>
          </w:p>
        </w:tc>
        <w:tc>
          <w:tcPr>
            <w:tcW w:w="2020" w:type="dxa"/>
            <w:vAlign w:val="bottom"/>
            <w:tcBorders>
              <w:top w:val="single" w:sz="8" w:color="auto"/>
              <w:bottom w:val="single" w:sz="8" w:color="DBDBDB"/>
            </w:tcBorders>
            <w:shd w:val="clear" w:color="auto" w:fill="DBDBDB"/>
          </w:tcPr>
          <w:p>
            <w:pPr>
              <w:spacing w:after="0"/>
              <w:rPr>
                <w:sz w:val="22"/>
                <w:szCs w:val="22"/>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96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0" w:type="dxa"/>
            <w:vAlign w:val="bottom"/>
          </w:tcPr>
          <w:p>
            <w:pPr>
              <w:spacing w:after="0"/>
              <w:rPr>
                <w:sz w:val="1"/>
                <w:szCs w:val="1"/>
                <w:color w:val="auto"/>
              </w:rPr>
            </w:pPr>
          </w:p>
        </w:tc>
      </w:tr>
      <w:tr>
        <w:trPr>
          <w:trHeight w:val="237"/>
        </w:trPr>
        <w:tc>
          <w:tcPr>
            <w:tcW w:w="31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Maximum Level</w:t>
            </w:r>
          </w:p>
        </w:tc>
        <w:tc>
          <w:tcPr>
            <w:tcW w:w="202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150% in 2019/2020</w:t>
            </w:r>
          </w:p>
        </w:tc>
        <w:tc>
          <w:tcPr>
            <w:tcW w:w="1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960" w:type="dxa"/>
            <w:vAlign w:val="bottom"/>
            <w:tcBorders>
              <w:top w:val="single" w:sz="8" w:color="auto"/>
            </w:tcBorders>
            <w:vMerge w:val="restart"/>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14%</w:t>
            </w:r>
          </w:p>
        </w:tc>
        <w:tc>
          <w:tcPr>
            <w:tcW w:w="0" w:type="dxa"/>
            <w:vAlign w:val="bottom"/>
          </w:tcPr>
          <w:p>
            <w:pPr>
              <w:spacing w:after="0"/>
              <w:rPr>
                <w:sz w:val="1"/>
                <w:szCs w:val="1"/>
                <w:color w:val="auto"/>
              </w:rPr>
            </w:pPr>
          </w:p>
        </w:tc>
      </w:tr>
      <w:tr>
        <w:trPr>
          <w:trHeight w:val="122"/>
        </w:trPr>
        <w:tc>
          <w:tcPr>
            <w:tcW w:w="3180" w:type="dxa"/>
            <w:vAlign w:val="bottom"/>
            <w:vMerge w:val="continue"/>
          </w:tcPr>
          <w:p>
            <w:pPr>
              <w:spacing w:after="0"/>
              <w:rPr>
                <w:sz w:val="10"/>
                <w:szCs w:val="10"/>
                <w:color w:val="auto"/>
              </w:rPr>
            </w:pPr>
          </w:p>
        </w:tc>
        <w:tc>
          <w:tcPr>
            <w:tcW w:w="2020" w:type="dxa"/>
            <w:vAlign w:val="bottom"/>
            <w:vMerge w:val="restart"/>
            <w:shd w:val="clear" w:color="auto" w:fill="DBDBDB"/>
          </w:tcPr>
          <w:p>
            <w:pPr>
              <w:ind w:left="20"/>
              <w:spacing w:after="0"/>
              <w:rPr>
                <w:sz w:val="20"/>
                <w:szCs w:val="20"/>
                <w:color w:val="auto"/>
              </w:rPr>
            </w:pPr>
            <w:r>
              <w:rPr>
                <w:rFonts w:ascii="Times New Roman" w:cs="Times New Roman" w:eastAsia="Times New Roman" w:hAnsi="Times New Roman"/>
                <w:sz w:val="18"/>
                <w:szCs w:val="18"/>
                <w:color w:val="auto"/>
              </w:rPr>
              <w:t>200% in 2021</w:t>
            </w:r>
          </w:p>
        </w:tc>
        <w:tc>
          <w:tcPr>
            <w:tcW w:w="1960" w:type="dxa"/>
            <w:vAlign w:val="bottom"/>
            <w:vMerge w:val="continue"/>
          </w:tcPr>
          <w:p>
            <w:pPr>
              <w:spacing w:after="0"/>
              <w:rPr>
                <w:sz w:val="10"/>
                <w:szCs w:val="10"/>
                <w:color w:val="auto"/>
              </w:rPr>
            </w:pPr>
          </w:p>
        </w:tc>
        <w:tc>
          <w:tcPr>
            <w:tcW w:w="1960" w:type="dxa"/>
            <w:vAlign w:val="bottom"/>
            <w:vMerge w:val="continue"/>
            <w:shd w:val="clear" w:color="auto" w:fill="DBDBDB"/>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20" w:type="dxa"/>
            <w:vAlign w:val="bottom"/>
            <w:tcBorders>
              <w:bottom w:val="single" w:sz="8" w:color="DBDBDB"/>
            </w:tcBorders>
            <w:vMerge w:val="continue"/>
            <w:shd w:val="clear" w:color="auto" w:fill="DBDBDB"/>
          </w:tcPr>
          <w:p>
            <w:pPr>
              <w:spacing w:after="0"/>
              <w:rPr>
                <w:sz w:val="14"/>
                <w:szCs w:val="14"/>
                <w:color w:val="auto"/>
              </w:rPr>
            </w:pPr>
          </w:p>
        </w:tc>
        <w:tc>
          <w:tcPr>
            <w:tcW w:w="1960" w:type="dxa"/>
            <w:vAlign w:val="bottom"/>
          </w:tcPr>
          <w:p>
            <w:pPr>
              <w:spacing w:after="0"/>
              <w:rPr>
                <w:sz w:val="14"/>
                <w:szCs w:val="14"/>
                <w:color w:val="auto"/>
              </w:rPr>
            </w:pPr>
          </w:p>
        </w:tc>
        <w:tc>
          <w:tcPr>
            <w:tcW w:w="1960" w:type="dxa"/>
            <w:vAlign w:val="bottom"/>
            <w:tcBorders>
              <w:bottom w:val="single" w:sz="8" w:color="DBDBDB"/>
            </w:tcBorders>
            <w:shd w:val="clear" w:color="auto" w:fill="DBDBDB"/>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ACTUAL</w:t>
            </w:r>
            <w:r>
              <w:rPr>
                <w:rFonts w:ascii="Times New Roman" w:cs="Times New Roman" w:eastAsia="Times New Roman" w:hAnsi="Times New Roman"/>
                <w:sz w:val="23"/>
                <w:szCs w:val="23"/>
                <w:b w:val="1"/>
                <w:bCs w:val="1"/>
                <w:color w:val="auto"/>
                <w:vertAlign w:val="superscript"/>
              </w:rPr>
              <w:t>1</w:t>
            </w:r>
          </w:p>
        </w:tc>
        <w:tc>
          <w:tcPr>
            <w:tcW w:w="2020" w:type="dxa"/>
            <w:vAlign w:val="bottom"/>
            <w:tcBorders>
              <w:top w:val="single" w:sz="8" w:color="auto"/>
              <w:bottom w:val="single" w:sz="8" w:color="DBDBDB"/>
            </w:tcBorders>
            <w:shd w:val="clear" w:color="auto" w:fill="DBDBDB"/>
          </w:tcPr>
          <w:p>
            <w:pPr>
              <w:spacing w:after="0"/>
              <w:rPr>
                <w:sz w:val="22"/>
                <w:szCs w:val="22"/>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$1,454.4</w:t>
            </w:r>
          </w:p>
        </w:tc>
        <w:tc>
          <w:tcPr>
            <w:tcW w:w="1960" w:type="dxa"/>
            <w:vAlign w:val="bottom"/>
            <w:tcBorders>
              <w:top w:val="single" w:sz="8" w:color="auto"/>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$1,454.4</w:t>
            </w:r>
          </w:p>
        </w:tc>
        <w:tc>
          <w:tcPr>
            <w:tcW w:w="1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$1,454.4</w:t>
            </w:r>
          </w:p>
        </w:tc>
        <w:tc>
          <w:tcPr>
            <w:tcW w:w="0" w:type="dxa"/>
            <w:vAlign w:val="bottom"/>
          </w:tcPr>
          <w:p>
            <w:pPr>
              <w:spacing w:after="0"/>
              <w:rPr>
                <w:sz w:val="1"/>
                <w:szCs w:val="1"/>
                <w:color w:val="auto"/>
              </w:rPr>
            </w:pPr>
          </w:p>
        </w:tc>
      </w:tr>
      <w:tr>
        <w:trPr>
          <w:trHeight w:val="26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Increase over Baseline</w:t>
            </w:r>
          </w:p>
        </w:tc>
        <w:tc>
          <w:tcPr>
            <w:tcW w:w="2020" w:type="dxa"/>
            <w:vAlign w:val="bottom"/>
            <w:tcBorders>
              <w:bottom w:val="single" w:sz="8" w:color="DBDBDB"/>
            </w:tcBorders>
            <w:shd w:val="clear" w:color="auto" w:fill="DBDBDB"/>
          </w:tcPr>
          <w:p>
            <w:pPr>
              <w:spacing w:after="0"/>
              <w:rPr>
                <w:sz w:val="22"/>
                <w:szCs w:val="22"/>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19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43"/>
        </w:trPr>
        <w:tc>
          <w:tcPr>
            <w:tcW w:w="3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ACTUAL VESTING PERCENTAGE</w:t>
            </w:r>
          </w:p>
        </w:tc>
        <w:tc>
          <w:tcPr>
            <w:tcW w:w="2020" w:type="dxa"/>
            <w:vAlign w:val="bottom"/>
            <w:tcBorders>
              <w:top w:val="single" w:sz="8" w:color="auto"/>
              <w:bottom w:val="single" w:sz="8" w:color="DBDBDB"/>
            </w:tcBorders>
            <w:shd w:val="clear" w:color="auto" w:fill="DBDBDB"/>
          </w:tcPr>
          <w:p>
            <w:pPr>
              <w:spacing w:after="0"/>
              <w:rPr>
                <w:sz w:val="21"/>
                <w:szCs w:val="21"/>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960" w:type="dxa"/>
            <w:vAlign w:val="bottom"/>
            <w:tcBorders>
              <w:top w:val="single" w:sz="8" w:color="auto"/>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0"/>
        </w:trPr>
        <w:tc>
          <w:tcPr>
            <w:tcW w:w="318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100" w:hanging="92"/>
        <w:spacing w:after="0"/>
        <w:tabs>
          <w:tab w:leader="none" w:pos="10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8"/>
          <w:szCs w:val="18"/>
          <w:color w:val="auto"/>
        </w:rPr>
        <w:t>See “Appendix A — Reconciliations of Non-GAAP Financial Measures”.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Savings Programs</w:t>
      </w:r>
    </w:p>
    <w:p>
      <w:pPr>
        <w:spacing w:after="0" w:line="121"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2021, we provided retirement benefits to our named executive officers through the defined contribution retirement savings plan, which is the same plan available to all employees. Company matching contributions for our NEOs are shown in the Breakdown of All Other Compensation table. A non-qualified deferred compensation program exists for all employees who meet the IRS annual compensation limit of IRC Section 401(a)(17) and conforms with the requirements of Code Section 409A. Employees may defer up to 75% of base salary and up to 100% of performance-based cash bonus on a pre-tax basis. Messrs. Coleman and Davis elected to defer their base salary under the non-qualified deferred compensation program. Mr. Coleman deferred 35% of his 2021 base salary paid and Mr. Davis deferred 21% of his base salary paid. Messrs. Coleman and Davis and Ms. Anderson elected to defer a percentage of their 2021 annual bonus paid in March 2022. Specifically, annual bonus deferrals were as follows: Mr. Coleman at 50%, Ms. Anderson at 75% and Mr. Davis at</w:t>
      </w: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428" w:right="339" w:bottom="1440" w:gutter="0" w:footer="0" w:header="0"/>
          <w:type w:val="continuous"/>
        </w:sectPr>
      </w:pPr>
    </w:p>
    <w:bookmarkStart w:id="48" w:name="page49"/>
    <w:bookmarkEnd w:id="4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 The deferred value of the base salary and annual cash bonus is shown in the Non-Qualified Deferred Compensation table.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2021, our named executive officers participated in benefits offerings on the same basis as all other employees except for the Executive Physical Exam Program, which provides payment for a comprehensive annual physical exam for each of our named executive officers and aligns with the Company’s culture of health and wellness, which supports improved executive performance.</w:t>
      </w:r>
    </w:p>
    <w:p>
      <w:pPr>
        <w:spacing w:after="0" w:line="6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Ms. Anderson was reimbursed for $19,359 of certain relocation-related expenses consistent with the Company’s relocation policy shown in the Breakdown of All Other Compensation table.</w:t>
      </w:r>
    </w:p>
    <w:p>
      <w:pPr>
        <w:sectPr>
          <w:pgSz w:w="11900" w:h="16838" w:orient="portrait"/>
          <w:cols w:equalWidth="0" w:num="1">
            <w:col w:w="11240"/>
          </w:cols>
          <w:pgMar w:left="320" w:top="428" w:right="339" w:bottom="1440" w:gutter="0" w:footer="0" w:header="0"/>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OTHER KEY FEATURES OF OUR EXECUTIVE COMPENSATION PROGRAM</w:t>
      </w:r>
    </w:p>
    <w:p>
      <w:pPr>
        <w:spacing w:after="0" w:line="175" w:lineRule="exact"/>
        <w:rPr>
          <w:sz w:val="20"/>
          <w:szCs w:val="20"/>
          <w:color w:val="auto"/>
        </w:rPr>
      </w:pPr>
    </w:p>
    <w:p>
      <w:pPr>
        <w:jc w:val="both"/>
        <w:ind w:left="20" w:firstLine="405"/>
        <w:spacing w:after="0" w:line="254" w:lineRule="auto"/>
        <w:rPr>
          <w:sz w:val="20"/>
          <w:szCs w:val="20"/>
          <w:color w:val="auto"/>
        </w:rPr>
      </w:pPr>
      <w:r>
        <w:rPr>
          <w:rFonts w:ascii="Times New Roman" w:cs="Times New Roman" w:eastAsia="Times New Roman" w:hAnsi="Times New Roman"/>
          <w:sz w:val="18"/>
          <w:szCs w:val="18"/>
          <w:color w:val="auto"/>
        </w:rPr>
        <w:t>As we look to the future of the Company, we have adopted policies to help drive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do not encourage excessive or unnecessary risk-taking behavior. The risk-mitigating features adopted within our compensation programs are outlined below.</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2E8D52"/>
        </w:rPr>
        <w:t xml:space="preserve">The Compensation Committee reviewed management’s risk assessment report, and as a result of the risk assessment, </w:t>
      </w:r>
      <w:r>
        <w:rPr>
          <w:rFonts w:ascii="Times New Roman" w:cs="Times New Roman" w:eastAsia="Times New Roman" w:hAnsi="Times New Roman"/>
          <w:sz w:val="18"/>
          <w:szCs w:val="18"/>
          <w:b w:val="1"/>
          <w:bCs w:val="1"/>
          <w:color w:val="2E8D52"/>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-564515</wp:posOffset>
            </wp:positionV>
            <wp:extent cx="2245995" cy="12687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45995" cy="1268730"/>
                    </a:xfrm>
                    <a:prstGeom prst="rect">
                      <a:avLst/>
                    </a:prstGeom>
                    <a:noFill/>
                  </pic:spPr>
                </pic:pic>
              </a:graphicData>
            </a:graphic>
          </wp:anchor>
        </w:drawing>
      </w:r>
    </w:p>
    <w:p>
      <w:pPr>
        <w:ind w:right="120"/>
        <w:spacing w:after="0" w:line="253" w:lineRule="auto"/>
        <w:rPr>
          <w:sz w:val="20"/>
          <w:szCs w:val="20"/>
          <w:color w:val="auto"/>
        </w:rPr>
      </w:pPr>
      <w:r>
        <w:rPr>
          <w:rFonts w:ascii="Times New Roman" w:cs="Times New Roman" w:eastAsia="Times New Roman" w:hAnsi="Times New Roman"/>
          <w:sz w:val="18"/>
          <w:szCs w:val="18"/>
          <w:b w:val="1"/>
          <w:bCs w:val="1"/>
          <w:color w:val="2E8D52"/>
        </w:rPr>
        <w:t>Compensation Committee does not believe risks relating to our compensation programs are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148590</wp:posOffset>
            </wp:positionV>
            <wp:extent cx="22459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971" w:lineRule="exact"/>
        <w:rPr>
          <w:sz w:val="20"/>
          <w:szCs w:val="20"/>
          <w:color w:val="auto"/>
        </w:rPr>
      </w:pPr>
    </w:p>
    <w:p>
      <w:pPr>
        <w:sectPr>
          <w:pgSz w:w="11900" w:h="16838" w:orient="portrait"/>
          <w:cols w:equalWidth="0" w:num="2">
            <w:col w:w="7300" w:space="400"/>
            <w:col w:w="3540"/>
          </w:cols>
          <w:pgMar w:left="320" w:top="428" w:right="339" w:bottom="1440" w:gutter="0" w:footer="0" w:header="0"/>
          <w:type w:val="continuous"/>
        </w:sect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stock ownership guidelines require all executive officers to hold a minimum number of shares of our stock while serving in these leadership positions. The guidelines are intended to align the interests of executives with those of our stockholders by requiring executives to be subject to the same long-term stock price volatility our stockholders experience. Named executive officers have five years from their appointment/hire date to meet their stock ownership guidelines. For purposes of measuring compliance with these guidelines, the following are counted: (i) shares of common stock owned directly or indirectly by the executive officer or his or her immediate family members, (ii) vested shares of restricted stock and shares underlying vested RSUs, and</w:t>
      </w:r>
    </w:p>
    <w:p>
      <w:pPr>
        <w:spacing w:after="0" w:line="3" w:lineRule="exact"/>
        <w:rPr>
          <w:sz w:val="20"/>
          <w:szCs w:val="20"/>
          <w:color w:val="auto"/>
        </w:rPr>
      </w:pPr>
    </w:p>
    <w:p>
      <w:pPr>
        <w:jc w:val="both"/>
        <w:ind w:firstLine="8"/>
        <w:spacing w:after="0" w:line="255" w:lineRule="auto"/>
        <w:tabs>
          <w:tab w:leader="none" w:pos="3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unvested shares of restricted stock and shares underlying unvested RSUs (provided, in each case, such shares or units vest based on time and not performance) are included to determine whether the required ownership interest has been satisfied. Shares underlying unexercised stock options (whether vested or unvested) and performance-based awards do not count toward satisfying these guidelines.</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minimum ownership threshold is based on a multiple of base compensation: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6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4"/>
                <w:szCs w:val="14"/>
                <w:b w:val="1"/>
                <w:bCs w:val="1"/>
                <w:color w:val="2E8D52"/>
              </w:rPr>
              <w:t>POSITION</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2E8D52"/>
              </w:rPr>
              <w:t>STOCK OWNERSHIP GUIDELINE</w:t>
            </w:r>
          </w:p>
        </w:tc>
      </w:tr>
      <w:tr>
        <w:trPr>
          <w:trHeight w:val="264"/>
        </w:trPr>
        <w:tc>
          <w:tcPr>
            <w:tcW w:w="226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CEO</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 times base salary</w:t>
            </w:r>
          </w:p>
        </w:tc>
      </w:tr>
      <w:tr>
        <w:trPr>
          <w:trHeight w:val="263"/>
        </w:trPr>
        <w:tc>
          <w:tcPr>
            <w:tcW w:w="226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COO, CFO</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 times base salary</w:t>
            </w:r>
          </w:p>
        </w:tc>
      </w:tr>
      <w:tr>
        <w:trPr>
          <w:trHeight w:val="243"/>
        </w:trPr>
        <w:tc>
          <w:tcPr>
            <w:tcW w:w="2260" w:type="dxa"/>
            <w:vAlign w:val="bottom"/>
            <w:tcBorders>
              <w:top w:val="single" w:sz="8" w:color="auto"/>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All other NEOs</w:t>
            </w:r>
          </w:p>
        </w:tc>
        <w:tc>
          <w:tcPr>
            <w:tcW w:w="8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 times base salary</w:t>
            </w:r>
          </w:p>
        </w:tc>
      </w:tr>
      <w:tr>
        <w:trPr>
          <w:trHeight w:val="20"/>
        </w:trPr>
        <w:tc>
          <w:tcPr>
            <w:tcW w:w="2260" w:type="dxa"/>
            <w:vAlign w:val="bottom"/>
            <w:shd w:val="clear" w:color="auto" w:fill="000000"/>
          </w:tcPr>
          <w:p>
            <w:pPr>
              <w:spacing w:after="0" w:line="20" w:lineRule="exact"/>
              <w:rPr>
                <w:sz w:val="1"/>
                <w:szCs w:val="1"/>
                <w:color w:val="auto"/>
              </w:rPr>
            </w:pPr>
          </w:p>
        </w:tc>
        <w:tc>
          <w:tcPr>
            <w:tcW w:w="8980" w:type="dxa"/>
            <w:vAlign w:val="bottom"/>
            <w:shd w:val="clear" w:color="auto" w:fill="000000"/>
          </w:tcPr>
          <w:p>
            <w:pPr>
              <w:spacing w:after="0" w:line="20" w:lineRule="exact"/>
              <w:rPr>
                <w:sz w:val="1"/>
                <w:szCs w:val="1"/>
                <w:color w:val="auto"/>
              </w:rPr>
            </w:pPr>
          </w:p>
        </w:tc>
      </w:tr>
    </w:tbl>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Currently, all of our named executive officers to whom the guidelines are applicable are in compliance with the stock ownership guidelines. Consistent with the terms of the guidelines, Mr. De Witte has five years from the commencement of his employment with the Company, or until December 1, 2026, to comply with the stock ownership guidelines and is currently progressing towards meeting the ownership guidelines.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maintain a clawback policy to ensure compensation is paid only upon proven results. If a restatement of our financial results is required to correct a material error or inaccuracy due to the fraud or intentional misconduct of a named executive officer, the Committee can recoup from that executive bonuses or equity awards awarded on or after January 1, 2013 and cancel outstanding annual bonus or equity award opportunities.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428" w:right="3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and Directors are forbidden from (i) holding Integra securities in a margin account, (ii) buying Integra securities on margin, (iii) pledging Integra securities as collateral for a loan or (iv) pledging Integra securities in any other arrangement. For our NEOs, and other participants in the Company’s trading window group, trading is permitted only during scheduled trading windows and requires a pre-clearance by our legal department. Subject to our trading window policy, our NEOs may enter into a trading plan under Rule 10b5-1 of the Securities Exchange Act of 1934.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Accounting and Tax Requirements on Compensation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Committee endeavors to structure executive compensation in a manner that is either compliant with, or exempt from, the application of Section 409A of the Internal Revenue Code, the provisions of which may impose additional taxes to employees.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Although the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8D52"/>
        </w:rPr>
        <w:t>POST-EMPLOYMENT ARRANGEMENTS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Employment Agreement: Mr. De Witte</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President and CEO of the Company, the Company entered into an employment agreement (the “De Witte Agreement”) pursuant to which Mr. De Witte commenced employment on December 1, 2021. The initial term of the De Witte Agreement expires on the third anniversary of the Effective Date (as defined in the De Witte Agreement), unless terminated earlier, and is subject to an automatic one-year renewal term unless either party gives timely written notice of termination.</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Under the De Witte Agreement, Mr. De Witte's annual base salary shall be equal to $850,000 per annum. Mr. De Witte’s base salary is subject to annual review and may be increased in the sole discretion of the Company but may not be decreased without Mr. De Witte's express written consent. Pursuant to the terms of the De Witte Agreement, Mr. De Witte had the opportunity to receive an annual target bonus for the 2021 performance year, pro-rated to reflect the number of days in 2021 Mr. De Witte was employed by the Company. Consistent with the terms of the De Witte Agreement, this pro-rated bonus was paid to Mr. De Witte in a lump sum cash payment on March 4, 2022 aligned with the bonus payout date for all U.S. employees.</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Commencing with the 2022 performance year, Mr. De Witte will be eligible for an annual bonus opportunity targeted at 110% of his annual base salary (pro-rated for any partial year of service). Mr. De Witte’s bonus opportunity will range from 50% of his target annual bonus opportunity (if threshold performance goals are achieved) to a maximum of 200% of his base salary. The actual amount of any such annual bonus paid to Mr. De Witte shall be based on company performance and the satisfaction of performance objectives established and evaluated by the Compensation Committee. Consistent with Company policies, Mr. De Witte, as an employee of the Company, will not be entitled to any compensation for his service as a director on the Board.</w:t>
      </w:r>
    </w:p>
    <w:p>
      <w:pPr>
        <w:spacing w:after="0" w:line="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Pursuant to the terms of the De Witte Agreement, Mr. De Witte received a one-time grant of restricted stock units with a grant date value of $2,000,000 (the “initial equity award”), an award that was granted under, and is governed by, the Fifth Amended and Restated Integra LifeSciences Holdings Corporation 2003 Equity Incentive Plan. These restricted stock units will vest in three substantially equal annual installments beginning on the first anniversary of the grant date and shall be delivered to Mr. De Witte within 30 days following the first business day that occurs immediately following the six-</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428" w:right="3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month period after the date of his separation of service as deferred compensation. This award is subject to accelerated vesting upon termination of employment by reason of death or disability or upon a qualifying termination on or within 24 months following the date of a change in control.</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Commencing with the 2022 calendar year, Mr. De Witte will be eligible to receive a discretionary annual equity-based award, with the amount, form and mix of such award to be determined by the Company’s Compensation Committee in its discretion. The terms and conditions, including vesting conditions, of any awards granted as part of an annual equity award shall be set forth in separate award agreements to be entered into by Mr. De Witte and the Company. The 2022 annual award is anticipated to be $4,000,000, with the Compensation Committee retaining discretion to award a different value, which may be lower.</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his appointment as President and CEO and the commencement of his employment, the De Witte agreement also provides that Mr. De Witte is eligible to receive reimbursement of: (x) up to $150,000 in relocation expenses (provided Mr. De Witte (i) relocates on or before the six month anniversary of the Effective Date and (ii) submits documentation acceptable to the Company evidencing such relocation expenses by October 31, 2022); (y) certain expenses related to his attainment of necessary work visas and/or entry documents which amounted to $23,543; and (z) up to $25,000 in legal fees and expenses actually incurred in connection with the drafting, review and negotiation of the De Witte Agreement and any related agreements, subject to Mr. De Witte's delivery to the Company of documentation evidencing such expenses.</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Under the De Witte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E8D52"/>
              </w:rPr>
              <w:t>IF  MR.  DE  WITTE’S  EMPLOYMENT  IS</w:t>
            </w:r>
          </w:p>
        </w:tc>
        <w:tc>
          <w:tcPr>
            <w:tcW w:w="10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E8D52"/>
              </w:rPr>
              <w:t>TERMINATED...</w:t>
            </w:r>
          </w:p>
        </w:tc>
        <w:tc>
          <w:tcPr>
            <w:tcW w:w="100" w:type="dxa"/>
            <w:vAlign w:val="bottom"/>
          </w:tcPr>
          <w:p>
            <w:pPr>
              <w:spacing w:after="0"/>
              <w:rPr>
                <w:sz w:val="16"/>
                <w:szCs w:val="16"/>
                <w:color w:val="auto"/>
              </w:rPr>
            </w:pPr>
          </w:p>
        </w:tc>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E8D52"/>
              </w:rPr>
              <w:t>THEN...</w:t>
            </w:r>
          </w:p>
        </w:tc>
        <w:tc>
          <w:tcPr>
            <w:tcW w:w="0" w:type="dxa"/>
            <w:vAlign w:val="bottom"/>
          </w:tcPr>
          <w:p>
            <w:pPr>
              <w:spacing w:after="0"/>
              <w:rPr>
                <w:sz w:val="1"/>
                <w:szCs w:val="1"/>
                <w:color w:val="auto"/>
              </w:rPr>
            </w:pPr>
          </w:p>
        </w:tc>
      </w:tr>
      <w:tr>
        <w:trPr>
          <w:trHeight w:val="23"/>
        </w:trPr>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F2F2F2"/>
            </w:tcBorders>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Outside the context of a change in control</w:t>
            </w:r>
          </w:p>
        </w:tc>
        <w:tc>
          <w:tcPr>
            <w:tcW w:w="100" w:type="dxa"/>
            <w:vAlign w:val="bottom"/>
            <w:shd w:val="clear" w:color="auto" w:fill="F2F2F2"/>
          </w:tcPr>
          <w:p>
            <w:pPr>
              <w:spacing w:after="0"/>
              <w:rPr>
                <w:sz w:val="18"/>
                <w:szCs w:val="18"/>
                <w:color w:val="auto"/>
              </w:rPr>
            </w:pPr>
          </w:p>
        </w:tc>
        <w:tc>
          <w:tcPr>
            <w:tcW w:w="788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In addition to accrued amounts, Mr. De Witte will be entitled to:</w:t>
            </w:r>
          </w:p>
        </w:tc>
        <w:tc>
          <w:tcPr>
            <w:tcW w:w="0" w:type="dxa"/>
            <w:vAlign w:val="bottom"/>
          </w:tcPr>
          <w:p>
            <w:pPr>
              <w:spacing w:after="0"/>
              <w:rPr>
                <w:sz w:val="1"/>
                <w:szCs w:val="1"/>
                <w:color w:val="auto"/>
              </w:rPr>
            </w:pPr>
          </w:p>
        </w:tc>
      </w:tr>
      <w:tr>
        <w:trPr>
          <w:trHeight w:val="221"/>
        </w:trPr>
        <w:tc>
          <w:tcPr>
            <w:tcW w:w="32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by the Company other than for “cause,”</w:t>
            </w:r>
          </w:p>
        </w:tc>
        <w:tc>
          <w:tcPr>
            <w:tcW w:w="100" w:type="dxa"/>
            <w:vAlign w:val="bottom"/>
            <w:shd w:val="clear" w:color="auto" w:fill="F2F2F2"/>
          </w:tcPr>
          <w:p>
            <w:pPr>
              <w:spacing w:after="0"/>
              <w:rPr>
                <w:sz w:val="19"/>
                <w:szCs w:val="19"/>
                <w:color w:val="auto"/>
              </w:rPr>
            </w:pPr>
          </w:p>
        </w:tc>
        <w:tc>
          <w:tcPr>
            <w:tcW w:w="7880" w:type="dxa"/>
            <w:vAlign w:val="bottom"/>
            <w:shd w:val="clear" w:color="auto" w:fill="F2F2F2"/>
          </w:tcPr>
          <w:p>
            <w:pPr>
              <w:ind w:left="100"/>
              <w:spacing w:after="0" w:line="221"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7"/>
                <w:szCs w:val="17"/>
                <w:color w:val="auto"/>
              </w:rPr>
              <w:t>A severance amount equal to 2.0 times his then-current annual base salary payable over the two-year</w:t>
            </w:r>
          </w:p>
        </w:tc>
        <w:tc>
          <w:tcPr>
            <w:tcW w:w="0" w:type="dxa"/>
            <w:vAlign w:val="bottom"/>
          </w:tcPr>
          <w:p>
            <w:pPr>
              <w:spacing w:after="0"/>
              <w:rPr>
                <w:sz w:val="1"/>
                <w:szCs w:val="1"/>
                <w:color w:val="auto"/>
              </w:rPr>
            </w:pPr>
          </w:p>
        </w:tc>
      </w:tr>
      <w:tr>
        <w:trPr>
          <w:trHeight w:val="216"/>
        </w:trPr>
        <w:tc>
          <w:tcPr>
            <w:tcW w:w="32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death or “disability,” or by Mr. De Witte for</w:t>
            </w:r>
          </w:p>
        </w:tc>
        <w:tc>
          <w:tcPr>
            <w:tcW w:w="100" w:type="dxa"/>
            <w:vAlign w:val="bottom"/>
            <w:shd w:val="clear" w:color="auto" w:fill="F2F2F2"/>
          </w:tcPr>
          <w:p>
            <w:pPr>
              <w:spacing w:after="0"/>
              <w:rPr>
                <w:sz w:val="18"/>
                <w:szCs w:val="18"/>
                <w:color w:val="auto"/>
              </w:rPr>
            </w:pPr>
          </w:p>
        </w:tc>
        <w:tc>
          <w:tcPr>
            <w:tcW w:w="7880" w:type="dxa"/>
            <w:vAlign w:val="bottom"/>
            <w:shd w:val="clear" w:color="auto" w:fill="F2F2F2"/>
          </w:tcPr>
          <w:p>
            <w:pPr>
              <w:ind w:left="420"/>
              <w:spacing w:after="0"/>
              <w:rPr>
                <w:sz w:val="20"/>
                <w:szCs w:val="20"/>
                <w:color w:val="auto"/>
              </w:rPr>
            </w:pPr>
            <w:r>
              <w:rPr>
                <w:rFonts w:ascii="Times New Roman" w:cs="Times New Roman" w:eastAsia="Times New Roman" w:hAnsi="Times New Roman"/>
                <w:sz w:val="18"/>
                <w:szCs w:val="18"/>
                <w:color w:val="auto"/>
              </w:rPr>
              <w:t>period following such termination;</w:t>
            </w:r>
          </w:p>
        </w:tc>
        <w:tc>
          <w:tcPr>
            <w:tcW w:w="0" w:type="dxa"/>
            <w:vAlign w:val="bottom"/>
          </w:tcPr>
          <w:p>
            <w:pPr>
              <w:spacing w:after="0"/>
              <w:rPr>
                <w:sz w:val="1"/>
                <w:szCs w:val="1"/>
                <w:color w:val="auto"/>
              </w:rPr>
            </w:pPr>
          </w:p>
        </w:tc>
      </w:tr>
      <w:tr>
        <w:trPr>
          <w:trHeight w:val="211"/>
        </w:trPr>
        <w:tc>
          <w:tcPr>
            <w:tcW w:w="32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“good reason” (each, as defined in the De</w:t>
            </w:r>
          </w:p>
        </w:tc>
        <w:tc>
          <w:tcPr>
            <w:tcW w:w="100" w:type="dxa"/>
            <w:vAlign w:val="bottom"/>
            <w:shd w:val="clear" w:color="auto" w:fill="F2F2F2"/>
          </w:tcPr>
          <w:p>
            <w:pPr>
              <w:spacing w:after="0"/>
              <w:rPr>
                <w:sz w:val="18"/>
                <w:szCs w:val="18"/>
                <w:color w:val="auto"/>
              </w:rPr>
            </w:pPr>
          </w:p>
        </w:tc>
        <w:tc>
          <w:tcPr>
            <w:tcW w:w="7880" w:type="dxa"/>
            <w:vAlign w:val="bottom"/>
            <w:vMerge w:val="restart"/>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   A monthly cash payment equal to Mr. De Witte’s monthly COBRA premium cost for family health</w:t>
            </w:r>
          </w:p>
        </w:tc>
        <w:tc>
          <w:tcPr>
            <w:tcW w:w="0" w:type="dxa"/>
            <w:vAlign w:val="bottom"/>
          </w:tcPr>
          <w:p>
            <w:pPr>
              <w:spacing w:after="0"/>
              <w:rPr>
                <w:sz w:val="1"/>
                <w:szCs w:val="1"/>
                <w:color w:val="auto"/>
              </w:rPr>
            </w:pPr>
          </w:p>
        </w:tc>
      </w:tr>
      <w:tr>
        <w:trPr>
          <w:trHeight w:val="94"/>
        </w:trPr>
        <w:tc>
          <w:tcPr>
            <w:tcW w:w="326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Witte Agreement)</w:t>
            </w:r>
          </w:p>
        </w:tc>
        <w:tc>
          <w:tcPr>
            <w:tcW w:w="100" w:type="dxa"/>
            <w:vAlign w:val="bottom"/>
            <w:shd w:val="clear" w:color="auto" w:fill="F2F2F2"/>
          </w:tcPr>
          <w:p>
            <w:pPr>
              <w:spacing w:after="0"/>
              <w:rPr>
                <w:sz w:val="8"/>
                <w:szCs w:val="8"/>
                <w:color w:val="auto"/>
              </w:rPr>
            </w:pPr>
          </w:p>
        </w:tc>
        <w:tc>
          <w:tcPr>
            <w:tcW w:w="788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60" w:type="dxa"/>
            <w:vAlign w:val="bottom"/>
            <w:vMerge w:val="continue"/>
            <w:shd w:val="clear" w:color="auto" w:fill="F2F2F2"/>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7880" w:type="dxa"/>
            <w:vAlign w:val="bottom"/>
            <w:vMerge w:val="restart"/>
            <w:shd w:val="clear" w:color="auto" w:fill="F2F2F2"/>
          </w:tcPr>
          <w:p>
            <w:pPr>
              <w:ind w:left="420"/>
              <w:spacing w:after="0"/>
              <w:rPr>
                <w:sz w:val="20"/>
                <w:szCs w:val="20"/>
                <w:color w:val="auto"/>
              </w:rPr>
            </w:pPr>
            <w:r>
              <w:rPr>
                <w:rFonts w:ascii="Times New Roman" w:cs="Times New Roman" w:eastAsia="Times New Roman" w:hAnsi="Times New Roman"/>
                <w:sz w:val="18"/>
                <w:szCs w:val="18"/>
                <w:color w:val="auto"/>
              </w:rPr>
              <w:t>coverage for up to 18 months following such termination; and,</w:t>
            </w:r>
          </w:p>
        </w:tc>
        <w:tc>
          <w:tcPr>
            <w:tcW w:w="0" w:type="dxa"/>
            <w:vAlign w:val="bottom"/>
          </w:tcPr>
          <w:p>
            <w:pPr>
              <w:spacing w:after="0"/>
              <w:rPr>
                <w:sz w:val="1"/>
                <w:szCs w:val="1"/>
                <w:color w:val="auto"/>
              </w:rPr>
            </w:pPr>
          </w:p>
        </w:tc>
      </w:tr>
      <w:tr>
        <w:trPr>
          <w:trHeight w:val="94"/>
        </w:trPr>
        <w:tc>
          <w:tcPr>
            <w:tcW w:w="3260" w:type="dxa"/>
            <w:vAlign w:val="bottom"/>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788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260" w:type="dxa"/>
            <w:vAlign w:val="bottom"/>
            <w:shd w:val="clear" w:color="auto" w:fill="F2F2F2"/>
          </w:tcPr>
          <w:p>
            <w:pPr>
              <w:spacing w:after="0"/>
              <w:rPr>
                <w:sz w:val="23"/>
                <w:szCs w:val="23"/>
                <w:color w:val="auto"/>
              </w:rPr>
            </w:pPr>
          </w:p>
        </w:tc>
        <w:tc>
          <w:tcPr>
            <w:tcW w:w="100" w:type="dxa"/>
            <w:vAlign w:val="bottom"/>
            <w:shd w:val="clear" w:color="auto" w:fill="F2F2F2"/>
          </w:tcPr>
          <w:p>
            <w:pPr>
              <w:spacing w:after="0"/>
              <w:rPr>
                <w:sz w:val="23"/>
                <w:szCs w:val="23"/>
                <w:color w:val="auto"/>
              </w:rPr>
            </w:pPr>
          </w:p>
        </w:tc>
        <w:tc>
          <w:tcPr>
            <w:tcW w:w="7880" w:type="dxa"/>
            <w:vAlign w:val="bottom"/>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   Full accelerated vesting of the initial equity award</w:t>
            </w:r>
          </w:p>
        </w:tc>
        <w:tc>
          <w:tcPr>
            <w:tcW w:w="0" w:type="dxa"/>
            <w:vAlign w:val="bottom"/>
          </w:tcPr>
          <w:p>
            <w:pPr>
              <w:spacing w:after="0"/>
              <w:rPr>
                <w:sz w:val="1"/>
                <w:szCs w:val="1"/>
                <w:color w:val="auto"/>
              </w:rPr>
            </w:pPr>
          </w:p>
        </w:tc>
      </w:tr>
      <w:tr>
        <w:trPr>
          <w:trHeight w:val="81"/>
        </w:trPr>
        <w:tc>
          <w:tcPr>
            <w:tcW w:w="3260" w:type="dxa"/>
            <w:vAlign w:val="bottom"/>
            <w:tcBorders>
              <w:bottom w:val="single" w:sz="8" w:color="auto"/>
            </w:tcBorders>
            <w:shd w:val="clear" w:color="auto" w:fill="F2F2F2"/>
          </w:tcPr>
          <w:p>
            <w:pPr>
              <w:spacing w:after="0"/>
              <w:rPr>
                <w:sz w:val="7"/>
                <w:szCs w:val="7"/>
                <w:color w:val="auto"/>
              </w:rPr>
            </w:pPr>
          </w:p>
        </w:tc>
        <w:tc>
          <w:tcPr>
            <w:tcW w:w="100" w:type="dxa"/>
            <w:vAlign w:val="bottom"/>
            <w:tcBorders>
              <w:bottom w:val="single" w:sz="8" w:color="auto"/>
            </w:tcBorders>
            <w:shd w:val="clear" w:color="auto" w:fill="F2F2F2"/>
          </w:tcPr>
          <w:p>
            <w:pPr>
              <w:spacing w:after="0"/>
              <w:rPr>
                <w:sz w:val="7"/>
                <w:szCs w:val="7"/>
                <w:color w:val="auto"/>
              </w:rPr>
            </w:pPr>
          </w:p>
        </w:tc>
        <w:tc>
          <w:tcPr>
            <w:tcW w:w="7880" w:type="dxa"/>
            <w:vAlign w:val="bottom"/>
            <w:tcBorders>
              <w:bottom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260" w:type="dxa"/>
            <w:vAlign w:val="bottom"/>
            <w:shd w:val="clear" w:color="auto" w:fill="F2F2F2"/>
          </w:tcPr>
          <w:p>
            <w:pPr>
              <w:ind w:left="20"/>
              <w:spacing w:after="0" w:line="182" w:lineRule="exact"/>
              <w:rPr>
                <w:sz w:val="20"/>
                <w:szCs w:val="20"/>
                <w:color w:val="auto"/>
              </w:rPr>
            </w:pPr>
            <w:r>
              <w:rPr>
                <w:rFonts w:ascii="Times New Roman" w:cs="Times New Roman" w:eastAsia="Times New Roman" w:hAnsi="Times New Roman"/>
                <w:sz w:val="18"/>
                <w:szCs w:val="18"/>
                <w:color w:val="auto"/>
              </w:rPr>
              <w:t>Within twenty-four months following a</w:t>
            </w:r>
          </w:p>
        </w:tc>
        <w:tc>
          <w:tcPr>
            <w:tcW w:w="100" w:type="dxa"/>
            <w:vAlign w:val="bottom"/>
            <w:shd w:val="clear" w:color="auto" w:fill="F2F2F2"/>
          </w:tcPr>
          <w:p>
            <w:pPr>
              <w:spacing w:after="0"/>
              <w:rPr>
                <w:sz w:val="15"/>
                <w:szCs w:val="15"/>
                <w:color w:val="auto"/>
              </w:rPr>
            </w:pPr>
          </w:p>
        </w:tc>
        <w:tc>
          <w:tcPr>
            <w:tcW w:w="7880" w:type="dxa"/>
            <w:vAlign w:val="bottom"/>
            <w:shd w:val="clear" w:color="auto" w:fill="F2F2F2"/>
          </w:tcPr>
          <w:p>
            <w:pPr>
              <w:ind w:left="20"/>
              <w:spacing w:after="0" w:line="182" w:lineRule="exact"/>
              <w:rPr>
                <w:sz w:val="20"/>
                <w:szCs w:val="20"/>
                <w:color w:val="auto"/>
              </w:rPr>
            </w:pPr>
            <w:r>
              <w:rPr>
                <w:rFonts w:ascii="Times New Roman" w:cs="Times New Roman" w:eastAsia="Times New Roman" w:hAnsi="Times New Roman"/>
                <w:sz w:val="18"/>
                <w:szCs w:val="18"/>
                <w:color w:val="auto"/>
              </w:rPr>
              <w:t>Mr. De Witte will be entitled to receive (i) a severance award in the form of a lump sum cash payment equal</w:t>
            </w:r>
          </w:p>
        </w:tc>
        <w:tc>
          <w:tcPr>
            <w:tcW w:w="0" w:type="dxa"/>
            <w:vAlign w:val="bottom"/>
          </w:tcPr>
          <w:p>
            <w:pPr>
              <w:spacing w:after="0"/>
              <w:rPr>
                <w:sz w:val="1"/>
                <w:szCs w:val="1"/>
                <w:color w:val="auto"/>
              </w:rPr>
            </w:pPr>
          </w:p>
        </w:tc>
      </w:tr>
      <w:tr>
        <w:trPr>
          <w:trHeight w:val="216"/>
        </w:trPr>
        <w:tc>
          <w:tcPr>
            <w:tcW w:w="32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change in control by the Company other</w:t>
            </w:r>
          </w:p>
        </w:tc>
        <w:tc>
          <w:tcPr>
            <w:tcW w:w="100" w:type="dxa"/>
            <w:vAlign w:val="bottom"/>
            <w:shd w:val="clear" w:color="auto" w:fill="F2F2F2"/>
          </w:tcPr>
          <w:p>
            <w:pPr>
              <w:spacing w:after="0"/>
              <w:rPr>
                <w:sz w:val="18"/>
                <w:szCs w:val="18"/>
                <w:color w:val="auto"/>
              </w:rPr>
            </w:pPr>
          </w:p>
        </w:tc>
        <w:tc>
          <w:tcPr>
            <w:tcW w:w="788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to 2.99 times the sum of Mr. De Witte’s annual base salary and target bonus; (ii) monthly cash payments</w:t>
            </w:r>
          </w:p>
        </w:tc>
        <w:tc>
          <w:tcPr>
            <w:tcW w:w="0" w:type="dxa"/>
            <w:vAlign w:val="bottom"/>
          </w:tcPr>
          <w:p>
            <w:pPr>
              <w:spacing w:after="0"/>
              <w:rPr>
                <w:sz w:val="1"/>
                <w:szCs w:val="1"/>
                <w:color w:val="auto"/>
              </w:rPr>
            </w:pPr>
          </w:p>
        </w:tc>
      </w:tr>
      <w:tr>
        <w:trPr>
          <w:trHeight w:val="157"/>
        </w:trPr>
        <w:tc>
          <w:tcPr>
            <w:tcW w:w="326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than for "cause," death or "disability," or by</w:t>
            </w:r>
          </w:p>
        </w:tc>
        <w:tc>
          <w:tcPr>
            <w:tcW w:w="100" w:type="dxa"/>
            <w:vAlign w:val="bottom"/>
            <w:shd w:val="clear" w:color="auto" w:fill="F2F2F2"/>
          </w:tcPr>
          <w:p>
            <w:pPr>
              <w:spacing w:after="0"/>
              <w:rPr>
                <w:sz w:val="13"/>
                <w:szCs w:val="13"/>
                <w:color w:val="auto"/>
              </w:rPr>
            </w:pPr>
          </w:p>
        </w:tc>
        <w:tc>
          <w:tcPr>
            <w:tcW w:w="7880" w:type="dxa"/>
            <w:vAlign w:val="bottom"/>
            <w:shd w:val="clear" w:color="auto" w:fill="F2F2F2"/>
          </w:tcPr>
          <w:p>
            <w:pPr>
              <w:ind w:left="20"/>
              <w:spacing w:after="0" w:line="157" w:lineRule="exact"/>
              <w:rPr>
                <w:sz w:val="20"/>
                <w:szCs w:val="20"/>
                <w:color w:val="auto"/>
              </w:rPr>
            </w:pPr>
            <w:r>
              <w:rPr>
                <w:rFonts w:ascii="Times New Roman" w:cs="Times New Roman" w:eastAsia="Times New Roman" w:hAnsi="Times New Roman"/>
                <w:sz w:val="18"/>
                <w:szCs w:val="18"/>
                <w:color w:val="auto"/>
              </w:rPr>
              <w:t>equal to Mr. De Witte’s monthly COBRA premium cost for up to 18 months following termination; (iii) a</w:t>
            </w:r>
          </w:p>
        </w:tc>
        <w:tc>
          <w:tcPr>
            <w:tcW w:w="0" w:type="dxa"/>
            <w:vAlign w:val="bottom"/>
          </w:tcPr>
          <w:p>
            <w:pPr>
              <w:spacing w:after="0"/>
              <w:rPr>
                <w:sz w:val="1"/>
                <w:szCs w:val="1"/>
                <w:color w:val="auto"/>
              </w:rPr>
            </w:pPr>
          </w:p>
        </w:tc>
      </w:tr>
      <w:tr>
        <w:trPr>
          <w:trHeight w:val="95"/>
        </w:trPr>
        <w:tc>
          <w:tcPr>
            <w:tcW w:w="3260" w:type="dxa"/>
            <w:vAlign w:val="bottom"/>
            <w:vMerge w:val="continue"/>
            <w:shd w:val="clear" w:color="auto" w:fill="F2F2F2"/>
          </w:tcPr>
          <w:p>
            <w:pPr>
              <w:spacing w:after="0"/>
              <w:rPr>
                <w:sz w:val="8"/>
                <w:szCs w:val="8"/>
                <w:color w:val="auto"/>
              </w:rPr>
            </w:pPr>
          </w:p>
        </w:tc>
        <w:tc>
          <w:tcPr>
            <w:tcW w:w="100" w:type="dxa"/>
            <w:vAlign w:val="bottom"/>
            <w:shd w:val="clear" w:color="auto" w:fill="F2F2F2"/>
          </w:tcPr>
          <w:p>
            <w:pPr>
              <w:spacing w:after="0"/>
              <w:rPr>
                <w:sz w:val="8"/>
                <w:szCs w:val="8"/>
                <w:color w:val="auto"/>
              </w:rPr>
            </w:pPr>
          </w:p>
        </w:tc>
        <w:tc>
          <w:tcPr>
            <w:tcW w:w="7880" w:type="dxa"/>
            <w:vAlign w:val="bottom"/>
            <w:vMerge w:val="restart"/>
            <w:shd w:val="clear" w:color="auto" w:fill="F2F2F2"/>
          </w:tcPr>
          <w:p>
            <w:pPr>
              <w:ind w:left="20"/>
              <w:spacing w:after="0" w:line="189" w:lineRule="exact"/>
              <w:rPr>
                <w:sz w:val="20"/>
                <w:szCs w:val="20"/>
                <w:color w:val="auto"/>
              </w:rPr>
            </w:pPr>
            <w:r>
              <w:rPr>
                <w:rFonts w:ascii="Times New Roman" w:cs="Times New Roman" w:eastAsia="Times New Roman" w:hAnsi="Times New Roman"/>
                <w:sz w:val="18"/>
                <w:szCs w:val="18"/>
                <w:color w:val="auto"/>
              </w:rPr>
              <w:t>lump sum cash payment equal to the pro-rata portion of his annual bonus for the year of termination,</w:t>
            </w:r>
          </w:p>
        </w:tc>
        <w:tc>
          <w:tcPr>
            <w:tcW w:w="0" w:type="dxa"/>
            <w:vAlign w:val="bottom"/>
          </w:tcPr>
          <w:p>
            <w:pPr>
              <w:spacing w:after="0"/>
              <w:rPr>
                <w:sz w:val="1"/>
                <w:szCs w:val="1"/>
                <w:color w:val="auto"/>
              </w:rPr>
            </w:pPr>
          </w:p>
        </w:tc>
      </w:tr>
      <w:tr>
        <w:trPr>
          <w:trHeight w:val="95"/>
        </w:trPr>
        <w:tc>
          <w:tcPr>
            <w:tcW w:w="3260" w:type="dxa"/>
            <w:vAlign w:val="bottom"/>
            <w:vMerge w:val="restart"/>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Mr. De Witte for "good reason"</w:t>
            </w:r>
          </w:p>
        </w:tc>
        <w:tc>
          <w:tcPr>
            <w:tcW w:w="100" w:type="dxa"/>
            <w:vAlign w:val="bottom"/>
            <w:shd w:val="clear" w:color="auto" w:fill="F2F2F2"/>
          </w:tcPr>
          <w:p>
            <w:pPr>
              <w:spacing w:after="0"/>
              <w:rPr>
                <w:sz w:val="8"/>
                <w:szCs w:val="8"/>
                <w:color w:val="auto"/>
              </w:rPr>
            </w:pPr>
          </w:p>
        </w:tc>
        <w:tc>
          <w:tcPr>
            <w:tcW w:w="7880" w:type="dxa"/>
            <w:vAlign w:val="bottom"/>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60" w:type="dxa"/>
            <w:vAlign w:val="bottom"/>
            <w:vMerge w:val="continue"/>
            <w:shd w:val="clear" w:color="auto" w:fill="F2F2F2"/>
          </w:tcPr>
          <w:p>
            <w:pPr>
              <w:spacing w:after="0"/>
              <w:rPr>
                <w:sz w:val="12"/>
                <w:szCs w:val="12"/>
                <w:color w:val="auto"/>
              </w:rPr>
            </w:pPr>
          </w:p>
        </w:tc>
        <w:tc>
          <w:tcPr>
            <w:tcW w:w="100" w:type="dxa"/>
            <w:vAlign w:val="bottom"/>
            <w:shd w:val="clear" w:color="auto" w:fill="F2F2F2"/>
          </w:tcPr>
          <w:p>
            <w:pPr>
              <w:spacing w:after="0"/>
              <w:rPr>
                <w:sz w:val="12"/>
                <w:szCs w:val="12"/>
                <w:color w:val="auto"/>
              </w:rPr>
            </w:pPr>
          </w:p>
        </w:tc>
        <w:tc>
          <w:tcPr>
            <w:tcW w:w="7880" w:type="dxa"/>
            <w:vAlign w:val="bottom"/>
            <w:vMerge w:val="restart"/>
            <w:shd w:val="clear" w:color="auto" w:fill="F2F2F2"/>
          </w:tcPr>
          <w:p>
            <w:pPr>
              <w:ind w:left="20"/>
              <w:spacing w:after="0" w:line="189" w:lineRule="exact"/>
              <w:rPr>
                <w:sz w:val="20"/>
                <w:szCs w:val="20"/>
                <w:color w:val="auto"/>
              </w:rPr>
            </w:pPr>
            <w:r>
              <w:rPr>
                <w:rFonts w:ascii="Times New Roman" w:cs="Times New Roman" w:eastAsia="Times New Roman" w:hAnsi="Times New Roman"/>
                <w:sz w:val="18"/>
                <w:szCs w:val="18"/>
                <w:color w:val="auto"/>
              </w:rPr>
              <w:t>determined based on actual performance; and (iv) full accelerated vesting of his outstanding equity awards</w:t>
            </w:r>
          </w:p>
        </w:tc>
        <w:tc>
          <w:tcPr>
            <w:tcW w:w="0" w:type="dxa"/>
            <w:vAlign w:val="bottom"/>
          </w:tcPr>
          <w:p>
            <w:pPr>
              <w:spacing w:after="0"/>
              <w:rPr>
                <w:sz w:val="1"/>
                <w:szCs w:val="1"/>
                <w:color w:val="auto"/>
              </w:rPr>
            </w:pPr>
          </w:p>
        </w:tc>
      </w:tr>
      <w:tr>
        <w:trPr>
          <w:trHeight w:val="49"/>
        </w:trPr>
        <w:tc>
          <w:tcPr>
            <w:tcW w:w="3260" w:type="dxa"/>
            <w:vAlign w:val="bottom"/>
            <w:shd w:val="clear" w:color="auto" w:fill="F2F2F2"/>
          </w:tcPr>
          <w:p>
            <w:pPr>
              <w:spacing w:after="0"/>
              <w:rPr>
                <w:sz w:val="4"/>
                <w:szCs w:val="4"/>
                <w:color w:val="auto"/>
              </w:rPr>
            </w:pPr>
          </w:p>
        </w:tc>
        <w:tc>
          <w:tcPr>
            <w:tcW w:w="100" w:type="dxa"/>
            <w:vAlign w:val="bottom"/>
            <w:shd w:val="clear" w:color="auto" w:fill="F2F2F2"/>
          </w:tcPr>
          <w:p>
            <w:pPr>
              <w:spacing w:after="0"/>
              <w:rPr>
                <w:sz w:val="4"/>
                <w:szCs w:val="4"/>
                <w:color w:val="auto"/>
              </w:rPr>
            </w:pPr>
          </w:p>
        </w:tc>
        <w:tc>
          <w:tcPr>
            <w:tcW w:w="7880" w:type="dxa"/>
            <w:vAlign w:val="bottom"/>
            <w:vMerge w:val="continue"/>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F2F2F2"/>
          </w:tcPr>
          <w:p>
            <w:pPr>
              <w:spacing w:after="0"/>
              <w:rPr>
                <w:sz w:val="16"/>
                <w:szCs w:val="16"/>
                <w:color w:val="auto"/>
              </w:rPr>
            </w:pPr>
          </w:p>
        </w:tc>
        <w:tc>
          <w:tcPr>
            <w:tcW w:w="100" w:type="dxa"/>
            <w:vAlign w:val="bottom"/>
            <w:shd w:val="clear" w:color="auto" w:fill="F2F2F2"/>
          </w:tcPr>
          <w:p>
            <w:pPr>
              <w:spacing w:after="0"/>
              <w:rPr>
                <w:sz w:val="16"/>
                <w:szCs w:val="16"/>
                <w:color w:val="auto"/>
              </w:rPr>
            </w:pPr>
          </w:p>
        </w:tc>
        <w:tc>
          <w:tcPr>
            <w:tcW w:w="7880" w:type="dxa"/>
            <w:vAlign w:val="bottom"/>
            <w:shd w:val="clear" w:color="auto" w:fill="F2F2F2"/>
          </w:tcPr>
          <w:p>
            <w:pPr>
              <w:ind w:left="20"/>
              <w:spacing w:after="0" w:line="189" w:lineRule="exact"/>
              <w:rPr>
                <w:sz w:val="20"/>
                <w:szCs w:val="20"/>
                <w:color w:val="auto"/>
              </w:rPr>
            </w:pPr>
            <w:r>
              <w:rPr>
                <w:rFonts w:ascii="Times New Roman" w:cs="Times New Roman" w:eastAsia="Times New Roman" w:hAnsi="Times New Roman"/>
                <w:sz w:val="18"/>
                <w:szCs w:val="18"/>
                <w:color w:val="auto"/>
              </w:rPr>
              <w:t>and, to the extent any outstanding equity award is a stock option, such option will remain exercisable until</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auto"/>
            </w:tcBorders>
            <w:shd w:val="clear" w:color="auto" w:fill="F2F2F2"/>
          </w:tcPr>
          <w:p>
            <w:pPr>
              <w:spacing w:after="0"/>
              <w:rPr>
                <w:sz w:val="20"/>
                <w:szCs w:val="20"/>
                <w:color w:val="auto"/>
              </w:rPr>
            </w:pPr>
          </w:p>
        </w:tc>
        <w:tc>
          <w:tcPr>
            <w:tcW w:w="100" w:type="dxa"/>
            <w:vAlign w:val="bottom"/>
            <w:tcBorders>
              <w:bottom w:val="single" w:sz="8" w:color="auto"/>
            </w:tcBorders>
            <w:shd w:val="clear" w:color="auto" w:fill="F2F2F2"/>
          </w:tcPr>
          <w:p>
            <w:pPr>
              <w:spacing w:after="0"/>
              <w:rPr>
                <w:sz w:val="20"/>
                <w:szCs w:val="20"/>
                <w:color w:val="auto"/>
              </w:rPr>
            </w:pPr>
          </w:p>
        </w:tc>
        <w:tc>
          <w:tcPr>
            <w:tcW w:w="7880" w:type="dxa"/>
            <w:vAlign w:val="bottom"/>
            <w:tcBorders>
              <w:bottom w:val="single" w:sz="8" w:color="auto"/>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the earlier of the first anniversary of the termination date and the option’s expiration date.</w:t>
            </w:r>
          </w:p>
        </w:tc>
        <w:tc>
          <w:tcPr>
            <w:tcW w:w="0" w:type="dxa"/>
            <w:vAlign w:val="bottom"/>
          </w:tcPr>
          <w:p>
            <w:pPr>
              <w:spacing w:after="0"/>
              <w:rPr>
                <w:sz w:val="1"/>
                <w:szCs w:val="1"/>
                <w:color w:val="auto"/>
              </w:rPr>
            </w:pPr>
          </w:p>
        </w:tc>
      </w:tr>
      <w:tr>
        <w:trPr>
          <w:trHeight w:val="225"/>
        </w:trPr>
        <w:tc>
          <w:tcPr>
            <w:tcW w:w="326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Due to his death</w:t>
            </w:r>
          </w:p>
        </w:tc>
        <w:tc>
          <w:tcPr>
            <w:tcW w:w="100" w:type="dxa"/>
            <w:vAlign w:val="bottom"/>
            <w:shd w:val="clear" w:color="auto" w:fill="F2F2F2"/>
          </w:tcPr>
          <w:p>
            <w:pPr>
              <w:spacing w:after="0"/>
              <w:rPr>
                <w:sz w:val="19"/>
                <w:szCs w:val="19"/>
                <w:color w:val="auto"/>
              </w:rPr>
            </w:pPr>
          </w:p>
        </w:tc>
        <w:tc>
          <w:tcPr>
            <w:tcW w:w="788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Mr. De Witte’s estate will receive a lump sum cash payment equal to Mr. De Witte’s annual base salary, and</w:t>
            </w:r>
          </w:p>
        </w:tc>
        <w:tc>
          <w:tcPr>
            <w:tcW w:w="0" w:type="dxa"/>
            <w:vAlign w:val="bottom"/>
          </w:tcPr>
          <w:p>
            <w:pPr>
              <w:spacing w:after="0"/>
              <w:rPr>
                <w:sz w:val="1"/>
                <w:szCs w:val="1"/>
                <w:color w:val="auto"/>
              </w:rPr>
            </w:pPr>
          </w:p>
        </w:tc>
      </w:tr>
      <w:tr>
        <w:trPr>
          <w:trHeight w:val="216"/>
        </w:trPr>
        <w:tc>
          <w:tcPr>
            <w:tcW w:w="3260" w:type="dxa"/>
            <w:vAlign w:val="bottom"/>
            <w:shd w:val="clear" w:color="auto" w:fill="F2F2F2"/>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788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a monthly cash payment equal to Mr. De Witte's monthly COBRA premium for family health coverage for</w:t>
            </w:r>
          </w:p>
        </w:tc>
        <w:tc>
          <w:tcPr>
            <w:tcW w:w="0" w:type="dxa"/>
            <w:vAlign w:val="bottom"/>
          </w:tcPr>
          <w:p>
            <w:pPr>
              <w:spacing w:after="0"/>
              <w:rPr>
                <w:sz w:val="1"/>
                <w:szCs w:val="1"/>
                <w:color w:val="auto"/>
              </w:rPr>
            </w:pPr>
          </w:p>
        </w:tc>
      </w:tr>
      <w:tr>
        <w:trPr>
          <w:trHeight w:val="241"/>
        </w:trPr>
        <w:tc>
          <w:tcPr>
            <w:tcW w:w="3260" w:type="dxa"/>
            <w:vAlign w:val="bottom"/>
            <w:tcBorders>
              <w:bottom w:val="single" w:sz="8" w:color="F2F2F2"/>
            </w:tcBorders>
            <w:shd w:val="clear" w:color="auto" w:fill="F2F2F2"/>
          </w:tcPr>
          <w:p>
            <w:pPr>
              <w:spacing w:after="0"/>
              <w:rPr>
                <w:sz w:val="20"/>
                <w:szCs w:val="20"/>
                <w:color w:val="auto"/>
              </w:rPr>
            </w:pPr>
          </w:p>
        </w:tc>
        <w:tc>
          <w:tcPr>
            <w:tcW w:w="100" w:type="dxa"/>
            <w:vAlign w:val="bottom"/>
            <w:tcBorders>
              <w:bottom w:val="single" w:sz="8" w:color="F2F2F2"/>
            </w:tcBorders>
            <w:shd w:val="clear" w:color="auto" w:fill="F2F2F2"/>
          </w:tcPr>
          <w:p>
            <w:pPr>
              <w:spacing w:after="0"/>
              <w:rPr>
                <w:sz w:val="20"/>
                <w:szCs w:val="20"/>
                <w:color w:val="auto"/>
              </w:rPr>
            </w:pPr>
          </w:p>
        </w:tc>
        <w:tc>
          <w:tcPr>
            <w:tcW w:w="7880" w:type="dxa"/>
            <w:vAlign w:val="bottom"/>
            <w:tcBorders>
              <w:bottom w:val="single" w:sz="8" w:color="F2F2F2"/>
            </w:tcBorders>
            <w:shd w:val="clear" w:color="auto" w:fill="F2F2F2"/>
          </w:tcPr>
          <w:p>
            <w:pPr>
              <w:ind w:left="20"/>
              <w:spacing w:after="0"/>
              <w:rPr>
                <w:sz w:val="20"/>
                <w:szCs w:val="20"/>
                <w:color w:val="auto"/>
              </w:rPr>
            </w:pPr>
            <w:r>
              <w:rPr>
                <w:rFonts w:ascii="Times New Roman" w:cs="Times New Roman" w:eastAsia="Times New Roman" w:hAnsi="Times New Roman"/>
                <w:sz w:val="18"/>
                <w:szCs w:val="18"/>
                <w:color w:val="auto"/>
              </w:rPr>
              <w:t>up to twelve months after his termination date.</w:t>
            </w:r>
          </w:p>
        </w:tc>
        <w:tc>
          <w:tcPr>
            <w:tcW w:w="0" w:type="dxa"/>
            <w:vAlign w:val="bottom"/>
          </w:tcPr>
          <w:p>
            <w:pPr>
              <w:spacing w:after="0"/>
              <w:rPr>
                <w:sz w:val="1"/>
                <w:szCs w:val="1"/>
                <w:color w:val="auto"/>
              </w:rPr>
            </w:pPr>
          </w:p>
        </w:tc>
      </w:tr>
      <w:tr>
        <w:trPr>
          <w:trHeight w:val="20"/>
        </w:trPr>
        <w:tc>
          <w:tcPr>
            <w:tcW w:w="3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De Witte’s right to receive the severance payments pursuant to the De Witte Agreement (other than upon his death) is contingent on Mr. De Witte’s execution of a general release of claims against the Company.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De Witte than receiving the full amount of such payments.</w:t>
      </w:r>
    </w:p>
    <w:p>
      <w:pPr>
        <w:spacing w:after="0" w:line="7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De Witte Agreement contains non-compete and non-solicitation covenants that extend for up to 18 months following a termination of Mr. De Witte’s employment.</w:t>
      </w:r>
    </w:p>
    <w:p>
      <w:pPr>
        <w:spacing w:after="0" w:line="54"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his appointment, Mr. De Witte also entered into the Company’s standard indemnification agreement, the form of which is filed as Exhibit 10.3(b) to the Company’s Annual Report on Form 10-K for the year ended December 31, 2020 filed with the SEC on February 23, 2021. Pursuant to the terms of the indemnification agreement, the Company may be required, among other things, to indemnify Mr. De Witte for some expenses, including attorneys’ fees, judgments, fines and settlement amounts incurred by him in any action or proceeding arising out of his services as an executive officer and director of the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428"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Employment Agreement: Mr. Arduini</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terms of Mr. Arduini’s employment agreement as in effect prior to his retirement in December 2021 are described below.</w:t>
      </w:r>
    </w:p>
    <w:p>
      <w:pPr>
        <w:spacing w:after="0" w:line="11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7, 2020, the Company entered into an Amendment to the Third Amended and Restated Employment Agreement with Mr. Arduini (the “Amendment” collectively with the Third Amended and Restated Employment Agreement, the “Arduini Agreement”). The Amendment extended the previous term, which was set to expire on December 31, 2020, to December 31, 2021 unless terminated earlier.</w:t>
      </w:r>
    </w:p>
    <w:p>
      <w:pPr>
        <w:spacing w:after="0" w:line="6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Arduini’s base salary was reviewed and could be adjusted annually based on the Compensation Committee’s review in consultation with Willis Towers Watson, and his performance. Further, he remained eligible for an annual bonus opportunity targeted at 120% of his annual base salary. Mr. Arduini’s bonus opportunity ranged from 50% of his target annual bonus opportunity (if threshold performance goals are achieved) to a maximum of 200% of his target annual bonus opportunity.</w:t>
      </w:r>
    </w:p>
    <w:p>
      <w:pPr>
        <w:spacing w:after="0" w:line="7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Arduini Agreement provided that Mr. Arduini was eligible to receive a discretionary annual equity award, with the amount, form and mix of such award to be determined by the Compensation Committee in its discretion after giving consideration to annual equity-based awards granted to chief executive officers in the Company’s peer group. Any annual equity awards would be granted pursuant to award agreements on forms substantially similar to the applicable form attached to the Arduini Agreement, which included provisions for accelerated time-vesting in connection with Mr. Arduini’s retirement.</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Arduini Agreement provided that Mr. Arduini’s non-qualified stock options would remain exercisable for up to two years following a qualifying termination or such longer period of time provided in the applicable option agreement. The Arduini Agreement contained non-compete and non-solicitation covenants that extended for 18 months following a termination of Mr. Arduini’s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Compensation for Mr. Arduini</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Arduini transitioned from his position as President and CEO of the Company on November 30, 2021 and served as a Special Advisor until December 10, 2021.As a result of Mr. Arduini's termination being deemed voluntary and constituting a retirement, Mr. Arduini did not receive any severance-related compensation.</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Consistent with the terms of Mr. Arduini’s outstanding equity awards, the unvested portion of any such equity awards was subject to accelerated vesting because, as of the date of his separation (December 10, 2021), (x) Mr. Arduini was retirement eligible (defined as age 55+ with 10 or more years of service with the Company) and (y) Mr. Arduini had provided at least six months prior written notice of his retirement. The accelerated vesting operated as follows: 1) unvested stock options became fully vested on his separation date but not exercisable until the original vesting dates, and 2) unvested RSUs vested in full on his separation date but the underlying shares will be issued 30 days following the later of (i) the date the RSUs would have vested in accordance with their original vesting schedule or (ii) six months following his separation date.</w:t>
      </w:r>
    </w:p>
    <w:p>
      <w:pPr>
        <w:spacing w:after="0" w:line="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Mr. Arduini’s tenure as CEO, his RSUs vested annually over three years with a deferral feature that provided that the underlying shares would be issued within 30 days following the six-month anniversary of his departure from the Company. Therefore, his vested deferred RSUs will be delivered on June 11, 2022.</w:t>
      </w:r>
    </w:p>
    <w:p>
      <w:pPr>
        <w:spacing w:after="0" w:line="6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Arduini's PSUs did not accelerate upon his retirement and will continue to be eligible to vest and be distributed in accordance with their original vesting schedules. In early 2022, Mr. Arduini received the vested awards for the January 1 - December 31, 2021 performance year from his 2019, 2020 and 2021 grants.</w:t>
      </w:r>
    </w:p>
    <w:p>
      <w:pPr>
        <w:spacing w:after="0" w:line="6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June 2021, the Compensation Committee, in recognition of Mr. Arduini's planned employment through the balance of the year determined that Mr. Arduini would continue with eligibility to receive an annual bonus award for the 2021 performance year even though he no longer was an active employee on the date of the bonus payout in March 2022. The Compensation Committee also revised the Arduini Agreement for the purpose of extending his non-solicitation clause to two years post-separation. Mr. Arduini will continue to be responsible for the obligations contained within his non-compete and extended non-solicitation covenants pursuant to the terms of the Arduini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Change-in-Control Severance Agreements for Other Named Executive Officers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Effective January 1 through December 31, 2021, we adopted a change in control severance program (the “Program”) under which Ms. Anderson, Messrs. Coleman, Davis and McBreen were participants. The Program provides for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428"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event of a qualifying termination, the Change-in-Control Severance Agreements provide for:</w:t>
      </w:r>
    </w:p>
    <w:p>
      <w:pPr>
        <w:spacing w:after="0" w:line="117" w:lineRule="exact"/>
        <w:rPr>
          <w:sz w:val="20"/>
          <w:szCs w:val="20"/>
          <w:color w:val="auto"/>
        </w:rPr>
      </w:pPr>
    </w:p>
    <w:p>
      <w:pPr>
        <w:ind w:left="660" w:hanging="166"/>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1.5 times (or 2.0 times in the case of Mr. Coleman and Ms. Anderson) the sum of the executive’s annual base salary and target bonus;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a pro rata portion of the executive’s target annual bonus for the partial fiscal year in which the termination occurs;</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Company-subsidized COBRA premium payments for up to eighteen months following the termination date;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Company-paid outplacement services for up to twelve months following the termination date.</w:t>
      </w:r>
    </w:p>
    <w:p>
      <w:pPr>
        <w:spacing w:after="0" w:line="11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Program was renewed effective January 1, 2022 and will expire December 31, 2022 unless renewed again.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28" w:right="3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E8D52"/>
        </w:rPr>
        <w:t>REPORT OF THE COMPENSATION COMMITTEE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reviewed and discussed with management the Compensation Discussion and Analysis prepared by management. Based on this review and discussion, we have recommended to the Board of Directors that the Compensation Discussion and Analysis prepared by management be included in this Proxy Statement and incorporated into our 2021 Annual Report on Form 10-K.</w:t>
      </w:r>
    </w:p>
    <w:p>
      <w:pPr>
        <w:spacing w:after="0" w:line="23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08"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The Compensation Committee of the Board of Directors</w:t>
      </w:r>
    </w:p>
    <w:p>
      <w:pPr>
        <w:spacing w:after="0" w:line="337"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Donald E. Morel, Jr. (Chair)</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Rhonda Germany Ballintyn</w:t>
      </w:r>
    </w:p>
    <w:p>
      <w:pPr>
        <w:spacing w:after="0" w:line="6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Keith Bradley, Ph.D.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428" w:right="3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paid to our current President and Chief Executive Officer, our former President and Chief Executive Officer, our Executive Vice President and Chief Financial Officer and each of our three other most highly compensated executive officers based on total compensation earned during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Change in</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Pension</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Value and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Nonqualified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9"/>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Deferred</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740" w:type="dxa"/>
            <w:vAlign w:val="bottom"/>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Option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740" w:type="dxa"/>
            <w:vAlign w:val="bottom"/>
          </w:tcPr>
          <w:p>
            <w:pPr>
              <w:spacing w:after="0"/>
              <w:rPr>
                <w:sz w:val="12"/>
                <w:szCs w:val="12"/>
                <w:color w:val="auto"/>
              </w:rPr>
            </w:pPr>
          </w:p>
        </w:tc>
      </w:tr>
      <w:tr>
        <w:trPr>
          <w:trHeight w:val="148"/>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9"/>
              </w:rPr>
              <w:t>Salary</w:t>
            </w: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Bonus</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Awards(1)</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Awards(1)</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Compensation (2)</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10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48"/>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w:t>
            </w:r>
          </w:p>
        </w:tc>
        <w:tc>
          <w:tcPr>
            <w:tcW w:w="68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Year</w:t>
            </w:r>
          </w:p>
        </w:tc>
        <w:tc>
          <w:tcPr>
            <w:tcW w:w="78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2"/>
                <w:szCs w:val="12"/>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90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2"/>
                <w:szCs w:val="12"/>
                <w:color w:val="auto"/>
              </w:rPr>
            </w:pPr>
          </w:p>
        </w:tc>
        <w:tc>
          <w:tcPr>
            <w:tcW w:w="110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166"/>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Position (a)</w:t>
            </w:r>
          </w:p>
        </w:tc>
        <w:tc>
          <w:tcPr>
            <w:tcW w:w="68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(b)</w:t>
            </w:r>
          </w:p>
        </w:tc>
        <w:tc>
          <w:tcPr>
            <w:tcW w:w="10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(g)</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87"/>
              </w:rPr>
              <w:t>(h)</w:t>
            </w: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(i)</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(j)</w:t>
            </w:r>
          </w:p>
        </w:tc>
      </w:tr>
      <w:tr>
        <w:trPr>
          <w:trHeight w:val="29"/>
        </w:trPr>
        <w:tc>
          <w:tcPr>
            <w:tcW w:w="2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6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Jan D. De Witte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58,846</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144,384</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48,543</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251,773</w:t>
            </w:r>
          </w:p>
        </w:tc>
      </w:tr>
      <w:tr>
        <w:trPr>
          <w:trHeight w:val="203"/>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President and Chief</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2"/>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Executive Officer and Director</w:t>
            </w: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r>
      <w:tr>
        <w:trPr>
          <w:trHeight w:val="173"/>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Peter J. Arduini</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956,308</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5,750,092</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1,500,021</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1,621,200</w:t>
            </w:r>
          </w:p>
        </w:tc>
        <w:tc>
          <w:tcPr>
            <w:tcW w:w="100" w:type="dxa"/>
            <w:vAlign w:val="bottom"/>
          </w:tcPr>
          <w:p>
            <w:pPr>
              <w:spacing w:after="0"/>
              <w:rPr>
                <w:sz w:val="15"/>
                <w:szCs w:val="15"/>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11,600</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9,839,221</w:t>
            </w:r>
          </w:p>
        </w:tc>
      </w:tr>
      <w:tr>
        <w:trPr>
          <w:trHeight w:val="203"/>
        </w:trPr>
        <w:tc>
          <w:tcPr>
            <w:tcW w:w="2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President and Chief</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848,077</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4,200,065</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1,800,003</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882,000</w:t>
            </w:r>
          </w:p>
        </w:tc>
        <w:tc>
          <w:tcPr>
            <w:tcW w:w="100" w:type="dxa"/>
            <w:vAlign w:val="bottom"/>
          </w:tcPr>
          <w:p>
            <w:pPr>
              <w:spacing w:after="0"/>
              <w:rPr>
                <w:sz w:val="17"/>
                <w:szCs w:val="17"/>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10,554</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7,740,699</w:t>
            </w:r>
          </w:p>
        </w:tc>
      </w:tr>
      <w:tr>
        <w:trPr>
          <w:trHeight w:val="203"/>
        </w:trPr>
        <w:tc>
          <w:tcPr>
            <w:tcW w:w="2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Executive Officer and Director</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975,000</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3,990,017</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1,710,006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1,176,000</w:t>
            </w:r>
          </w:p>
        </w:tc>
        <w:tc>
          <w:tcPr>
            <w:tcW w:w="100" w:type="dxa"/>
            <w:vAlign w:val="bottom"/>
          </w:tcPr>
          <w:p>
            <w:pPr>
              <w:spacing w:after="0"/>
              <w:rPr>
                <w:sz w:val="17"/>
                <w:szCs w:val="17"/>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7,859,423</w:t>
            </w:r>
          </w:p>
        </w:tc>
      </w:tr>
      <w:tr>
        <w:trPr>
          <w:trHeight w:val="29"/>
        </w:trPr>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Carrie L. Anderson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518,462</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1,246,979</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328,142</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515,000</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28,081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2,636,663</w:t>
            </w:r>
          </w:p>
        </w:tc>
      </w:tr>
      <w:tr>
        <w:trPr>
          <w:trHeight w:val="203"/>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Executive Vice President and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466,346</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875,046</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375,003</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262,500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81,860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2,060,755</w:t>
            </w:r>
          </w:p>
        </w:tc>
      </w:tr>
      <w:tr>
        <w:trPr>
          <w:trHeight w:val="212"/>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Chief Financial Officer</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259,615</w:t>
            </w: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1,700,009</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205,000</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16,312</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2,405,936</w:t>
            </w:r>
          </w:p>
        </w:tc>
      </w:tr>
      <w:tr>
        <w:trPr>
          <w:trHeight w:val="173"/>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Glenn G. Coleman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613,292</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1,761,407</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463,502</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688,000</w:t>
            </w:r>
          </w:p>
        </w:tc>
        <w:tc>
          <w:tcPr>
            <w:tcW w:w="100" w:type="dxa"/>
            <w:vAlign w:val="bottom"/>
          </w:tcPr>
          <w:p>
            <w:pPr>
              <w:spacing w:after="0"/>
              <w:rPr>
                <w:sz w:val="15"/>
                <w:szCs w:val="15"/>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11,267</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3,537,469</w:t>
            </w:r>
          </w:p>
        </w:tc>
      </w:tr>
      <w:tr>
        <w:trPr>
          <w:trHeight w:val="202"/>
        </w:trPr>
        <w:tc>
          <w:tcPr>
            <w:tcW w:w="2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Executive Vice President and</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559,615</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1,330,034</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570,010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360,000</w:t>
            </w:r>
          </w:p>
        </w:tc>
        <w:tc>
          <w:tcPr>
            <w:tcW w:w="100" w:type="dxa"/>
            <w:vAlign w:val="bottom"/>
          </w:tcPr>
          <w:p>
            <w:pPr>
              <w:spacing w:after="0"/>
              <w:rPr>
                <w:sz w:val="17"/>
                <w:szCs w:val="17"/>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8,331</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2,827,990</w:t>
            </w:r>
          </w:p>
        </w:tc>
      </w:tr>
      <w:tr>
        <w:trPr>
          <w:trHeight w:val="202"/>
        </w:trPr>
        <w:tc>
          <w:tcPr>
            <w:tcW w:w="2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Chief Operating Officer</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585,426</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1,654,286</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387,506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482,000</w:t>
            </w:r>
          </w:p>
        </w:tc>
        <w:tc>
          <w:tcPr>
            <w:tcW w:w="100" w:type="dxa"/>
            <w:vAlign w:val="bottom"/>
          </w:tcPr>
          <w:p>
            <w:pPr>
              <w:spacing w:after="0"/>
              <w:rPr>
                <w:sz w:val="17"/>
                <w:szCs w:val="17"/>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3,120,418</w:t>
            </w:r>
          </w:p>
        </w:tc>
      </w:tr>
      <w:tr>
        <w:trPr>
          <w:trHeight w:val="30"/>
        </w:trPr>
        <w:tc>
          <w:tcPr>
            <w:tcW w:w="2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17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Robert T. Davis, Jr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589,297</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875,970</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208,551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2,060,119</w:t>
            </w:r>
          </w:p>
        </w:tc>
      </w:tr>
      <w:tr>
        <w:trPr>
          <w:trHeight w:val="203"/>
        </w:trPr>
        <w:tc>
          <w:tcPr>
            <w:tcW w:w="2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Executive Vice President,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449,600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483,061</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207,008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214,508</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1,365,577</w:t>
            </w:r>
          </w:p>
        </w:tc>
      </w:tr>
      <w:tr>
        <w:trPr>
          <w:trHeight w:val="212"/>
        </w:trPr>
        <w:tc>
          <w:tcPr>
            <w:tcW w:w="2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President, Tissue Technologies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2019</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473,213</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453,598</w:t>
            </w:r>
          </w:p>
        </w:tc>
        <w:tc>
          <w:tcPr>
            <w:tcW w:w="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194,390</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258,000</w:t>
            </w: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11,200</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1,390,401</w:t>
            </w:r>
          </w:p>
        </w:tc>
      </w:tr>
      <w:tr>
        <w:trPr>
          <w:trHeight w:val="173"/>
        </w:trPr>
        <w:tc>
          <w:tcPr>
            <w:tcW w:w="26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Michael J. McBreen</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459,969</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827,483</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197,007</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385,000</w:t>
            </w:r>
          </w:p>
        </w:tc>
        <w:tc>
          <w:tcPr>
            <w:tcW w:w="100" w:type="dxa"/>
            <w:vAlign w:val="bottom"/>
          </w:tcPr>
          <w:p>
            <w:pPr>
              <w:spacing w:after="0"/>
              <w:rPr>
                <w:sz w:val="15"/>
                <w:szCs w:val="15"/>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10,908</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1,880,367</w:t>
            </w:r>
          </w:p>
        </w:tc>
      </w:tr>
      <w:tr>
        <w:trPr>
          <w:trHeight w:val="203"/>
        </w:trPr>
        <w:tc>
          <w:tcPr>
            <w:tcW w:w="2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Executive Vice President,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385,308</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547,553</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127,512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202,500</w:t>
            </w:r>
          </w:p>
        </w:tc>
        <w:tc>
          <w:tcPr>
            <w:tcW w:w="100" w:type="dxa"/>
            <w:vAlign w:val="bottom"/>
          </w:tcPr>
          <w:p>
            <w:pPr>
              <w:spacing w:after="0"/>
              <w:rPr>
                <w:sz w:val="17"/>
                <w:szCs w:val="17"/>
                <w:color w:val="auto"/>
              </w:rPr>
            </w:pPr>
          </w:p>
        </w:tc>
        <w:tc>
          <w:tcPr>
            <w:tcW w:w="1180" w:type="dxa"/>
            <w:vAlign w:val="bottom"/>
            <w:gridSpan w:val="2"/>
          </w:tcPr>
          <w:p>
            <w:pPr>
              <w:ind w:left="92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11,400</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1,274,273</w:t>
            </w:r>
          </w:p>
        </w:tc>
      </w:tr>
      <w:tr>
        <w:trPr>
          <w:trHeight w:val="203"/>
        </w:trPr>
        <w:tc>
          <w:tcPr>
            <w:tcW w:w="2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President, Codman Specialty Surgical</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jc w:val="both"/>
        <w:ind w:left="500" w:hanging="492"/>
        <w:spacing w:after="0" w:line="255" w:lineRule="auto"/>
        <w:tabs>
          <w:tab w:leader="none" w:pos="4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FASB ASC Topic 718, based on the closing price of the Company’s common stock on the grant dates in 2021, 2020, and 2019. For a discussion on the assumptions used to estimate the fair value of the stock options, please see Note 10, “Stock-Based Compensation,” to our consolidated financial statements included in our Annual Report on Form 10-K for the year ended December 31, 2021. The grant date fair value of performance stock unit awards is shown in this column at Target, which represents the probable outcome of the performance conditions. The value if the maximum goals are achieved and calculated as of the grant date is $8,500,106 for Mr. Arduini, $2,595,700 for Mr. Coleman, $1,837,610 for Ms. Anderson, $1,334,760 for Mr. Davis, and $1,260,940 for Mr. McBreen.</w:t>
      </w:r>
    </w:p>
    <w:p>
      <w:pPr>
        <w:spacing w:after="0" w:line="26"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 (g) reflect cash awards for 2021, 2020 and 2019 earned pursuant to the terms of the Performance Incentive Compensation Plan. See “— Compensation Discussion and Analysis — Analysis of 2021 Compensation Decisions, Annual Bonus” for more information. Messrs. Coleman and Davis and Ms. Anderson elected to defer a percentage of their 2021 annual bonus paid in March 2022 under the Non-Qualified Deferred Compensation Program. Deferral amounts are shown in the Non-Qualified Deferred Compensation Table below.</w:t>
      </w:r>
    </w:p>
    <w:p>
      <w:pPr>
        <w:spacing w:after="0" w:line="15" w:lineRule="exact"/>
        <w:rPr>
          <w:rFonts w:ascii="Times New Roman" w:cs="Times New Roman" w:eastAsia="Times New Roman" w:hAnsi="Times New Roman"/>
          <w:sz w:val="18"/>
          <w:szCs w:val="18"/>
          <w:color w:val="auto"/>
        </w:rPr>
      </w:pPr>
    </w:p>
    <w:p>
      <w:pPr>
        <w:ind w:left="500" w:hanging="492"/>
        <w:spacing w:after="0" w:line="284" w:lineRule="auto"/>
        <w:tabs>
          <w:tab w:leader="none" w:pos="49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reported in the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xml:space="preserve"> column for each NEO represents relocation expenses, legal expenses, and 401(k) employer matching contributions. Refer to Breakdown of All Other Compensation table below for detail.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428" w:right="3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BREAKDOWN OF ALL OTHER COMPENSATION — 2021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401(k)</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Employer</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Relocation</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Legal Fees</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4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20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34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3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Jan D. De Witte</w:t>
            </w:r>
          </w:p>
        </w:tc>
        <w:tc>
          <w:tcPr>
            <w:tcW w:w="158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48,543</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48,543</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Peter J. Arduini</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Carrie Anderson</w:t>
            </w:r>
          </w:p>
        </w:tc>
        <w:tc>
          <w:tcPr>
            <w:tcW w:w="14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97"/>
              </w:rPr>
              <w:t>19,359</w:t>
            </w:r>
            <w:r>
              <w:rPr>
                <w:rFonts w:ascii="Times New Roman" w:cs="Times New Roman" w:eastAsia="Times New Roman" w:hAnsi="Times New Roman"/>
                <w:sz w:val="23"/>
                <w:szCs w:val="23"/>
                <w:color w:val="auto"/>
                <w:w w:val="97"/>
                <w:vertAlign w:val="superscript"/>
              </w:rPr>
              <w:t>2</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28,081</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Glenn G. Coleman</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Robert T. Davis, Jr</w:t>
            </w:r>
          </w:p>
        </w:tc>
        <w:tc>
          <w:tcPr>
            <w:tcW w:w="158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Michael J. McBreen</w:t>
            </w:r>
          </w:p>
        </w:tc>
        <w:tc>
          <w:tcPr>
            <w:tcW w:w="158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0" w:type="dxa"/>
            <w:vAlign w:val="bottom"/>
          </w:tcPr>
          <w:p>
            <w:pPr>
              <w:spacing w:after="0"/>
              <w:rPr>
                <w:sz w:val="1"/>
                <w:szCs w:val="1"/>
                <w:color w:val="auto"/>
              </w:rPr>
            </w:pPr>
          </w:p>
        </w:tc>
      </w:tr>
      <w:tr>
        <w:trPr>
          <w:trHeight w:val="338"/>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De Witte, fees paid include $23,543 for visa-related services and $25,000 for his employment agreement services.</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Anderson received a relocation reimbursement of $11,677 and a tax gross up of $7,682 consistent with the Company’s relocation policy.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on equity awards granted under the Company’s 2003 Equity Incentive Plan and annual incentive opportunities.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Grant</w:t>
            </w:r>
          </w:p>
        </w:tc>
        <w:tc>
          <w:tcPr>
            <w:tcW w:w="0" w:type="dxa"/>
            <w:vAlign w:val="bottom"/>
          </w:tcPr>
          <w:p>
            <w:pPr>
              <w:spacing w:after="0"/>
              <w:rPr>
                <w:sz w:val="1"/>
                <w:szCs w:val="1"/>
                <w:color w:val="auto"/>
              </w:rPr>
            </w:pPr>
          </w:p>
        </w:tc>
      </w:tr>
      <w:tr>
        <w:trPr>
          <w:trHeight w:val="121"/>
        </w:trPr>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122"/>
        </w:trPr>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Estimated Future Payouts Under</w:t>
            </w:r>
          </w:p>
        </w:tc>
        <w:tc>
          <w:tcPr>
            <w:tcW w:w="660" w:type="dxa"/>
            <w:vAlign w:val="bottom"/>
          </w:tcPr>
          <w:p>
            <w:pPr>
              <w:spacing w:after="0"/>
              <w:rPr>
                <w:sz w:val="10"/>
                <w:szCs w:val="10"/>
                <w:color w:val="auto"/>
              </w:rPr>
            </w:pPr>
          </w:p>
        </w:tc>
        <w:tc>
          <w:tcPr>
            <w:tcW w:w="124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Estimated Future Payouts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8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Fair Value</w:t>
            </w: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6"/>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88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82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or Base</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Stock</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20" w:type="dxa"/>
            <w:vAlign w:val="bottom"/>
            <w:gridSpan w:val="6"/>
            <w:vMerge w:val="restart"/>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Non-Equity Incentive Plan</w:t>
            </w: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4"/>
            <w:vMerge w:val="restart"/>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Under Equity</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vMerge w:val="restart"/>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rPr>
              <w:t>Date of</w:t>
            </w:r>
          </w:p>
        </w:tc>
        <w:tc>
          <w:tcPr>
            <w:tcW w:w="2420" w:type="dxa"/>
            <w:vAlign w:val="bottom"/>
            <w:gridSpan w:val="6"/>
            <w:vMerge w:val="continue"/>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of</w:t>
            </w:r>
          </w:p>
        </w:tc>
        <w:tc>
          <w:tcPr>
            <w:tcW w:w="88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82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 of</w:t>
            </w:r>
          </w:p>
        </w:tc>
        <w:tc>
          <w:tcPr>
            <w:tcW w:w="74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Awards(1)</w:t>
            </w: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40" w:type="dxa"/>
            <w:vAlign w:val="bottom"/>
            <w:gridSpan w:val="6"/>
            <w:vMerge w:val="restart"/>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Incentive Plan Awards(2)</w:t>
            </w: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center"/>
              <w:ind w:right="46"/>
              <w:spacing w:after="0" w:line="91" w:lineRule="exact"/>
              <w:rPr>
                <w:sz w:val="20"/>
                <w:szCs w:val="20"/>
                <w:color w:val="auto"/>
              </w:rPr>
            </w:pPr>
            <w:r>
              <w:rPr>
                <w:rFonts w:ascii="Times New Roman" w:cs="Times New Roman" w:eastAsia="Times New Roman" w:hAnsi="Times New Roman"/>
                <w:sz w:val="10"/>
                <w:szCs w:val="10"/>
                <w:b w:val="1"/>
                <w:bCs w:val="1"/>
                <w:color w:val="auto"/>
              </w:rPr>
              <w:t>Board or</w:t>
            </w: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40" w:type="dxa"/>
            <w:vAlign w:val="bottom"/>
            <w:gridSpan w:val="6"/>
            <w:vMerge w:val="continue"/>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gridSpan w:val="2"/>
            <w:vMerge w:val="restart"/>
          </w:tcPr>
          <w:p>
            <w:pPr>
              <w:jc w:val="center"/>
              <w:ind w:right="100"/>
              <w:spacing w:after="0" w:line="91" w:lineRule="exact"/>
              <w:rPr>
                <w:sz w:val="20"/>
                <w:szCs w:val="20"/>
                <w:color w:val="auto"/>
              </w:rPr>
            </w:pPr>
            <w:r>
              <w:rPr>
                <w:rFonts w:ascii="Times New Roman" w:cs="Times New Roman" w:eastAsia="Times New Roman" w:hAnsi="Times New Roman"/>
                <w:sz w:val="10"/>
                <w:szCs w:val="10"/>
                <w:b w:val="1"/>
                <w:bCs w:val="1"/>
                <w:color w:val="auto"/>
              </w:rPr>
              <w:t>Stock or</w:t>
            </w:r>
          </w:p>
        </w:tc>
        <w:tc>
          <w:tcPr>
            <w:tcW w:w="880" w:type="dxa"/>
            <w:vAlign w:val="bottom"/>
            <w:gridSpan w:val="2"/>
            <w:vMerge w:val="restart"/>
          </w:tcPr>
          <w:p>
            <w:pPr>
              <w:jc w:val="center"/>
              <w:ind w:right="120"/>
              <w:spacing w:after="0" w:line="91"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820" w:type="dxa"/>
            <w:vAlign w:val="bottom"/>
            <w:gridSpan w:val="2"/>
            <w:vMerge w:val="restart"/>
          </w:tcPr>
          <w:p>
            <w:pPr>
              <w:jc w:val="center"/>
              <w:ind w:right="100"/>
              <w:spacing w:after="0" w:line="91" w:lineRule="exact"/>
              <w:rPr>
                <w:sz w:val="20"/>
                <w:szCs w:val="20"/>
                <w:color w:val="auto"/>
              </w:rPr>
            </w:pPr>
            <w:r>
              <w:rPr>
                <w:rFonts w:ascii="Times New Roman" w:cs="Times New Roman" w:eastAsia="Times New Roman" w:hAnsi="Times New Roman"/>
                <w:sz w:val="10"/>
                <w:szCs w:val="10"/>
                <w:b w:val="1"/>
                <w:bCs w:val="1"/>
                <w:color w:val="auto"/>
              </w:rPr>
              <w:t>Option</w:t>
            </w:r>
          </w:p>
        </w:tc>
        <w:tc>
          <w:tcPr>
            <w:tcW w:w="740" w:type="dxa"/>
            <w:vAlign w:val="bottom"/>
            <w:vMerge w:val="restart"/>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Option</w:t>
            </w: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Grant</w:t>
            </w: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Comp.</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Threshold</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66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w w:val="99"/>
              </w:rPr>
              <w:t>Threshold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100" w:type="dxa"/>
            <w:vAlign w:val="bottom"/>
          </w:tcPr>
          <w:p>
            <w:pPr>
              <w:spacing w:after="0"/>
              <w:rPr>
                <w:sz w:val="10"/>
                <w:szCs w:val="10"/>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Units(3)</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Awards(4)</w:t>
            </w:r>
          </w:p>
        </w:tc>
        <w:tc>
          <w:tcPr>
            <w:tcW w:w="0" w:type="dxa"/>
            <w:vAlign w:val="bottom"/>
          </w:tcPr>
          <w:p>
            <w:pPr>
              <w:spacing w:after="0"/>
              <w:rPr>
                <w:sz w:val="1"/>
                <w:szCs w:val="1"/>
                <w:color w:val="auto"/>
              </w:rPr>
            </w:pPr>
          </w:p>
        </w:tc>
      </w:tr>
      <w:tr>
        <w:trPr>
          <w:trHeight w:val="122"/>
        </w:trPr>
        <w:tc>
          <w:tcPr>
            <w:tcW w:w="6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Name</w:t>
            </w:r>
          </w:p>
        </w:tc>
        <w:tc>
          <w:tcPr>
            <w:tcW w:w="80" w:type="dxa"/>
            <w:vAlign w:val="bottom"/>
          </w:tcPr>
          <w:p>
            <w:pPr>
              <w:spacing w:after="0"/>
              <w:rPr>
                <w:sz w:val="10"/>
                <w:szCs w:val="10"/>
                <w:color w:val="auto"/>
              </w:rPr>
            </w:pPr>
          </w:p>
        </w:tc>
        <w:tc>
          <w:tcPr>
            <w:tcW w:w="54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b w:val="1"/>
                <w:bCs w:val="1"/>
                <w:color w:val="auto"/>
              </w:rPr>
              <w:t>Award</w:t>
            </w: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Date</w:t>
            </w:r>
          </w:p>
        </w:tc>
        <w:tc>
          <w:tcPr>
            <w:tcW w:w="84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Committee</w:t>
            </w: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72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660" w:type="dxa"/>
            <w:vAlign w:val="bottom"/>
          </w:tcPr>
          <w:p>
            <w:pPr>
              <w:jc w:val="center"/>
              <w:ind w:left="6"/>
              <w:spacing w:after="0" w:line="122"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780" w:type="dxa"/>
            <w:vAlign w:val="bottom"/>
            <w:gridSpan w:val="3"/>
          </w:tcPr>
          <w:p>
            <w:pPr>
              <w:jc w:val="center"/>
              <w:ind w:left="366"/>
              <w:spacing w:after="0" w:line="122"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right"/>
              <w:ind w:right="247"/>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w:t>
            </w:r>
          </w:p>
        </w:tc>
        <w:tc>
          <w:tcPr>
            <w:tcW w:w="740" w:type="dxa"/>
            <w:vAlign w:val="bottom"/>
          </w:tcPr>
          <w:p>
            <w:pPr>
              <w:jc w:val="right"/>
              <w:ind w:right="246"/>
              <w:spacing w:after="0" w:line="122"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2"/>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w:t>
            </w:r>
          </w:p>
        </w:tc>
        <w:tc>
          <w:tcPr>
            <w:tcW w:w="80" w:type="dxa"/>
            <w:vAlign w:val="bottom"/>
          </w:tcPr>
          <w:p>
            <w:pPr>
              <w:spacing w:after="0"/>
              <w:rPr>
                <w:sz w:val="12"/>
                <w:szCs w:val="1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Type</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(b)</w:t>
            </w:r>
          </w:p>
        </w:tc>
        <w:tc>
          <w:tcPr>
            <w:tcW w:w="8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Action</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8"/>
              </w:rPr>
              <w:t>(d)</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(e)</w:t>
            </w:r>
          </w:p>
        </w:tc>
        <w:tc>
          <w:tcPr>
            <w:tcW w:w="660" w:type="dxa"/>
            <w:vAlign w:val="bottom"/>
          </w:tcPr>
          <w:p>
            <w:pPr>
              <w:jc w:val="center"/>
              <w:ind w:left="6"/>
              <w:spacing w:after="0"/>
              <w:rPr>
                <w:sz w:val="20"/>
                <w:szCs w:val="20"/>
                <w:color w:val="auto"/>
              </w:rPr>
            </w:pPr>
            <w:r>
              <w:rPr>
                <w:rFonts w:ascii="Times New Roman" w:cs="Times New Roman" w:eastAsia="Times New Roman" w:hAnsi="Times New Roman"/>
                <w:sz w:val="11"/>
                <w:szCs w:val="11"/>
                <w:b w:val="1"/>
                <w:bCs w:val="1"/>
                <w:color w:val="auto"/>
              </w:rPr>
              <w:t>(f)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3"/>
              </w:rPr>
              <w:t>(g)</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(h)</w:t>
            </w:r>
          </w:p>
        </w:tc>
        <w:tc>
          <w:tcPr>
            <w:tcW w:w="100" w:type="dxa"/>
            <w:vAlign w:val="bottom"/>
          </w:tcPr>
          <w:p>
            <w:pPr>
              <w:spacing w:after="0"/>
              <w:rPr>
                <w:sz w:val="12"/>
                <w:szCs w:val="12"/>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(i)</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0"/>
              </w:rPr>
              <w:t>(j)</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88"/>
              </w:rPr>
              <w:t>(k)</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(l)</w:t>
            </w:r>
          </w:p>
        </w:tc>
        <w:tc>
          <w:tcPr>
            <w:tcW w:w="0" w:type="dxa"/>
            <w:vAlign w:val="bottom"/>
          </w:tcPr>
          <w:p>
            <w:pPr>
              <w:spacing w:after="0"/>
              <w:rPr>
                <w:sz w:val="1"/>
                <w:szCs w:val="1"/>
                <w:color w:val="auto"/>
              </w:rPr>
            </w:pPr>
          </w:p>
        </w:tc>
      </w:tr>
      <w:tr>
        <w:trPr>
          <w:trHeight w:val="22"/>
        </w:trPr>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 D. De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Witte</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Bonus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12/1/2021</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39,706</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79,411</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144,384</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Peter J.</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Arduini</w:t>
            </w: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PSU</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31,205</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62,409</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124,818</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4,250,053</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RSU</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5"/>
                <w:szCs w:val="15"/>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22,027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1,500,039</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66,402</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68.10</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1,500,021</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Bonus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1,200,000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2,400,000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Carrie</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Anderson</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PSU</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6,746</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13,492</w:t>
            </w:r>
          </w:p>
        </w:tc>
        <w:tc>
          <w:tcPr>
            <w:tcW w:w="2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26,984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918,805</w:t>
            </w: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RSA</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4,819</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328,174</w:t>
            </w:r>
          </w:p>
        </w:tc>
        <w:tc>
          <w:tcPr>
            <w:tcW w:w="0" w:type="dxa"/>
            <w:vAlign w:val="bottom"/>
          </w:tcPr>
          <w:p>
            <w:pPr>
              <w:spacing w:after="0"/>
              <w:rPr>
                <w:sz w:val="1"/>
                <w:szCs w:val="1"/>
                <w:color w:val="auto"/>
              </w:rPr>
            </w:pPr>
          </w:p>
        </w:tc>
      </w:tr>
      <w:tr>
        <w:trPr>
          <w:trHeight w:val="157"/>
        </w:trPr>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14,526</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68.10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328,142</w:t>
            </w:r>
          </w:p>
        </w:tc>
        <w:tc>
          <w:tcPr>
            <w:tcW w:w="0" w:type="dxa"/>
            <w:vAlign w:val="bottom"/>
          </w:tcPr>
          <w:p>
            <w:pPr>
              <w:spacing w:after="0"/>
              <w:rPr>
                <w:sz w:val="1"/>
                <w:szCs w:val="1"/>
                <w:color w:val="auto"/>
              </w:rPr>
            </w:pPr>
          </w:p>
        </w:tc>
      </w:tr>
      <w:tr>
        <w:trPr>
          <w:trHeight w:val="157"/>
        </w:trPr>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Bonus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1/1/2021</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73,500</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367,500</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735,000</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Glenn G.</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Coleman</w:t>
            </w: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PSU</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19,058</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38,116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1,297,850</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RSA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5"/>
                <w:szCs w:val="15"/>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6,807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463,557</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20,518</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68.10</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463,502</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Bonus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98,880</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494,400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988,800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Robert 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Davis, Jr.</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PSU</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4,900</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9,800</w:t>
            </w:r>
          </w:p>
        </w:tc>
        <w:tc>
          <w:tcPr>
            <w:tcW w:w="28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19,600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667,380</w:t>
            </w:r>
          </w:p>
        </w:tc>
        <w:tc>
          <w:tcPr>
            <w:tcW w:w="0" w:type="dxa"/>
            <w:vAlign w:val="bottom"/>
          </w:tcPr>
          <w:p>
            <w:pPr>
              <w:spacing w:after="0"/>
              <w:rPr>
                <w:sz w:val="1"/>
                <w:szCs w:val="1"/>
                <w:color w:val="auto"/>
              </w:rPr>
            </w:pPr>
          </w:p>
        </w:tc>
      </w:tr>
      <w:tr>
        <w:trPr>
          <w:trHeight w:val="175"/>
        </w:trPr>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RSA</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3,063</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208,590</w:t>
            </w:r>
          </w:p>
        </w:tc>
        <w:tc>
          <w:tcPr>
            <w:tcW w:w="0" w:type="dxa"/>
            <w:vAlign w:val="bottom"/>
          </w:tcPr>
          <w:p>
            <w:pPr>
              <w:spacing w:after="0"/>
              <w:rPr>
                <w:sz w:val="1"/>
                <w:szCs w:val="1"/>
                <w:color w:val="auto"/>
              </w:rPr>
            </w:pPr>
          </w:p>
        </w:tc>
      </w:tr>
      <w:tr>
        <w:trPr>
          <w:trHeight w:val="157"/>
        </w:trPr>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9,232</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68.10</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208,551</w:t>
            </w:r>
          </w:p>
        </w:tc>
        <w:tc>
          <w:tcPr>
            <w:tcW w:w="0" w:type="dxa"/>
            <w:vAlign w:val="bottom"/>
          </w:tcPr>
          <w:p>
            <w:pPr>
              <w:spacing w:after="0"/>
              <w:rPr>
                <w:sz w:val="1"/>
                <w:szCs w:val="1"/>
                <w:color w:val="auto"/>
              </w:rPr>
            </w:pPr>
          </w:p>
        </w:tc>
      </w:tr>
      <w:tr>
        <w:trPr>
          <w:trHeight w:val="157"/>
        </w:trPr>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Bonus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1/1/2021</w:t>
            </w: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58,882</w:t>
            </w: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294,410</w:t>
            </w: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588,820</w:t>
            </w: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Michael J.</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McBreen</w:t>
            </w: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PSU</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4,629</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9,258</w:t>
            </w:r>
          </w:p>
        </w:tc>
        <w:tc>
          <w:tcPr>
            <w:tcW w:w="2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93"/>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18,516</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630,470</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RSA</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5"/>
                <w:szCs w:val="15"/>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2,893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197,013</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Option</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3/12/2021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8,721</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68.10</w:t>
            </w:r>
          </w:p>
        </w:tc>
        <w:tc>
          <w:tcPr>
            <w:tcW w:w="100" w:type="dxa"/>
            <w:vAlign w:val="bottom"/>
          </w:tcPr>
          <w:p>
            <w:pPr>
              <w:spacing w:after="0"/>
              <w:rPr>
                <w:sz w:val="12"/>
                <w:szCs w:val="12"/>
                <w:color w:val="auto"/>
              </w:rPr>
            </w:pP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197,007</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Bonus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1/1/2021</w:t>
            </w:r>
          </w:p>
        </w:tc>
        <w:tc>
          <w:tcPr>
            <w:tcW w:w="100" w:type="dxa"/>
            <w:vAlign w:val="bottom"/>
          </w:tcPr>
          <w:p>
            <w:pPr>
              <w:spacing w:after="0"/>
              <w:rPr>
                <w:sz w:val="12"/>
                <w:szCs w:val="12"/>
                <w:color w:val="auto"/>
              </w:rPr>
            </w:pPr>
          </w:p>
        </w:tc>
        <w:tc>
          <w:tcPr>
            <w:tcW w:w="84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2/11/2021</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55,620</w:t>
            </w:r>
          </w:p>
        </w:tc>
        <w:tc>
          <w:tcPr>
            <w:tcW w:w="100" w:type="dxa"/>
            <w:vAlign w:val="bottom"/>
          </w:tcPr>
          <w:p>
            <w:pPr>
              <w:spacing w:after="0"/>
              <w:rPr>
                <w:sz w:val="12"/>
                <w:szCs w:val="12"/>
                <w:color w:val="auto"/>
              </w:rPr>
            </w:pPr>
          </w:p>
        </w:tc>
        <w:tc>
          <w:tcPr>
            <w:tcW w:w="7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278,100</w:t>
            </w: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556,200</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428" w:right="3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jc w:val="both"/>
        <w:ind w:left="500" w:hanging="492"/>
        <w:spacing w:after="0" w:line="258"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(for Messrs. De Witte and Mr. Arduini, as provided in their respective employment agreements). The amounts reported for Mr. De Witte are prorated to reflect his partial year of employment. See “— Compensation Discussion and Analysis — Analysis of 2021 Compensation Decisions, Annual Bonus” for more information.</w:t>
      </w:r>
    </w:p>
    <w:p>
      <w:pPr>
        <w:spacing w:after="0" w:line="21" w:lineRule="exact"/>
        <w:rPr>
          <w:rFonts w:ascii="Times New Roman" w:cs="Times New Roman" w:eastAsia="Times New Roman" w:hAnsi="Times New Roman"/>
          <w:sz w:val="18"/>
          <w:szCs w:val="18"/>
          <w:color w:val="auto"/>
        </w:rPr>
      </w:pPr>
    </w:p>
    <w:p>
      <w:pPr>
        <w:ind w:left="500" w:hanging="492"/>
        <w:spacing w:after="0" w:line="266"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in this column represents performance stock units granted under the Company’s 2003 Equity Incentive Plan. See “— Compensation Discussion and Analysis — Analysis of 2021 Compensation Decisions, Equity Grants” for a description of the material terms of these performance stock unit awards.</w:t>
      </w:r>
    </w:p>
    <w:p>
      <w:pPr>
        <w:spacing w:after="0" w:line="13"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this column represent contract stock/restricted stock units (with respect to awards granted to Mr. Arduini) and shares of restricted stock (with respect to the other named executive officers), all of which were granted under the Company’s 2003 Equity Incentive Plan. See “ — Compensation Discussion and Analysis — Analysis of 2021 Compensation Decisions, Equity Grants” for a description of the material terms of these restricted stock and contract stock/restricted unit awards.</w:t>
      </w:r>
    </w:p>
    <w:p>
      <w:pPr>
        <w:spacing w:after="0" w:line="17" w:lineRule="exact"/>
        <w:rPr>
          <w:rFonts w:ascii="Times New Roman" w:cs="Times New Roman" w:eastAsia="Times New Roman" w:hAnsi="Times New Roman"/>
          <w:sz w:val="18"/>
          <w:szCs w:val="18"/>
          <w:color w:val="auto"/>
        </w:rPr>
      </w:pPr>
    </w:p>
    <w:p>
      <w:pPr>
        <w:jc w:val="both"/>
        <w:ind w:left="500" w:hanging="492"/>
        <w:spacing w:after="0" w:line="254"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FASB ASC Topic 718 of the restricted stock, contract stock/restricted stock units, performance stock units and stock options granted to each NEO in 2021. For restricted stock, contract stock/restricted stock units and performance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2021. The grant date fair value of performance stock unit awards is shown in this column at Target, which represents the probable outcome of the performance conditions. The value if the maximum goals are achieved and calculated as of the grant date is $8,500,106 for Mr. Arduini, $2,595,700 for Mr. Coleman, $1,837,610 for Ms. Anderson, $1,334,760 for Mr. Davis, and$1,260,940 for Mr. McBreen.</w:t>
      </w:r>
    </w:p>
    <w:p>
      <w:pPr>
        <w:spacing w:after="0" w:line="26" w:lineRule="exact"/>
        <w:rPr>
          <w:rFonts w:ascii="Times New Roman" w:cs="Times New Roman" w:eastAsia="Times New Roman" w:hAnsi="Times New Roman"/>
          <w:sz w:val="18"/>
          <w:szCs w:val="18"/>
          <w:color w:val="auto"/>
        </w:rPr>
      </w:pPr>
    </w:p>
    <w:p>
      <w:pPr>
        <w:jc w:val="both"/>
        <w:ind w:left="500" w:hanging="492"/>
        <w:spacing w:after="0" w:line="258"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grant of performance stock units was made to the executive for his or her 2020 performance. Each NEO is eligible to vest in and receive a number of shares of the Company’s common stock ranging from 0% to 200% of the target number of shares of PSUs based on the Company’s achievement of goals relating to the growth in the Company’s annual organic revenue growth over the immediately preceding fiscal year, during each fiscal year of the performance period running from January 1, 2021 through December 31, 2023. See “— Compensation Discussion and Analysis — Analysis of 2021 Compensation Decisions, Equity Grants” for a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428"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outstanding equity awards as of December 31, 2021. Mr. De Witte had no outstanding equity awards as of December 31, 2021.</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20" w:type="dxa"/>
            <w:vAlign w:val="bottom"/>
          </w:tcPr>
          <w:p>
            <w:pPr>
              <w:spacing w:after="0"/>
              <w:rPr>
                <w:sz w:val="16"/>
                <w:szCs w:val="16"/>
                <w:color w:val="auto"/>
              </w:rPr>
            </w:pPr>
          </w:p>
        </w:tc>
      </w:tr>
      <w:tr>
        <w:trPr>
          <w:trHeight w:val="23"/>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58"/>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Equity</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Plan</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Units</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 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or Other</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Rights That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That</w:t>
            </w:r>
          </w:p>
        </w:tc>
      </w:tr>
      <w:tr>
        <w:trPr>
          <w:trHeight w:val="162"/>
        </w:trPr>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That Have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Have Not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r>
      <w:tr>
        <w:trPr>
          <w:trHeight w:val="162"/>
        </w:trPr>
        <w:tc>
          <w:tcPr>
            <w:tcW w:w="1600" w:type="dxa"/>
            <w:vAlign w:val="bottom"/>
          </w:tcPr>
          <w:p>
            <w:pPr>
              <w:spacing w:after="0"/>
              <w:rPr>
                <w:sz w:val="14"/>
                <w:szCs w:val="14"/>
                <w:color w:val="auto"/>
              </w:rPr>
            </w:pPr>
          </w:p>
        </w:tc>
        <w:tc>
          <w:tcPr>
            <w:tcW w:w="1180" w:type="dxa"/>
            <w:vAlign w:val="bottom"/>
            <w:gridSpan w:val="2"/>
          </w:tcPr>
          <w:p>
            <w:pPr>
              <w:jc w:val="center"/>
              <w:ind w:left="3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Vested(2)</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Vested(3)</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r>
      <w:tr>
        <w:trPr>
          <w:trHeight w:val="162"/>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300" w:type="dxa"/>
            <w:vAlign w:val="bottom"/>
            <w:gridSpan w:val="3"/>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080" w:type="dxa"/>
            <w:vAlign w:val="bottom"/>
            <w:gridSpan w:val="3"/>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11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r>
      <w:tr>
        <w:trPr>
          <w:trHeight w:val="190"/>
        </w:trPr>
        <w:tc>
          <w:tcPr>
            <w:tcW w:w="1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w:t>
            </w:r>
          </w:p>
        </w:tc>
      </w:tr>
      <w:tr>
        <w:trPr>
          <w:trHeight w:val="23"/>
        </w:trPr>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26.87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3/23/2023</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129,250</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84,071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75,069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55.91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80,583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57,560</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43.39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66,402</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68.10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3/12/2029</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12,697,955</w:t>
            </w:r>
          </w:p>
        </w:tc>
      </w:tr>
      <w:tr>
        <w:trPr>
          <w:trHeight w:val="243"/>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Anderson</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21,585</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43.39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68.10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3/12/2029</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1,280,179</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34,726</w:t>
            </w:r>
          </w:p>
        </w:tc>
        <w:tc>
          <w:tcPr>
            <w:tcW w:w="10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2,326,295</w:t>
            </w:r>
          </w:p>
        </w:tc>
      </w:tr>
      <w:tr>
        <w:trPr>
          <w:trHeight w:val="27"/>
        </w:trPr>
        <w:tc>
          <w:tcPr>
            <w:tcW w:w="16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26.87</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3/23/2023</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31.69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11/16/2023</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32.59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38.43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12/1/2024</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43.68</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13,647</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55.91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43.39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68.10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3/12/2029</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27,781</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1,861,049</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56,745</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3,801,348</w:t>
            </w:r>
          </w:p>
        </w:tc>
      </w:tr>
      <w:tr>
        <w:trPr>
          <w:trHeight w:val="243"/>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26.87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3/23/2023</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8,736</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32.59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3/14/2024</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17,410</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38.43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12/1/2024</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43.68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3/13/2025</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56.23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3/13/2026</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55.91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3/13/2027</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11,916</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43.39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10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68.10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3/12/2029</w:t>
            </w: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400,868</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25,253</w:t>
            </w:r>
          </w:p>
        </w:tc>
        <w:tc>
          <w:tcPr>
            <w:tcW w:w="100" w:type="dxa"/>
            <w:vAlign w:val="bottom"/>
          </w:tcPr>
          <w:p>
            <w:pPr>
              <w:spacing w:after="0"/>
              <w:rPr>
                <w:sz w:val="23"/>
                <w:szCs w:val="23"/>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1,691,698</w:t>
            </w:r>
          </w:p>
        </w:tc>
      </w:tr>
      <w:tr>
        <w:trPr>
          <w:trHeight w:val="27"/>
        </w:trPr>
        <w:tc>
          <w:tcPr>
            <w:tcW w:w="16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00" w:type="dxa"/>
            <w:vAlign w:val="bottom"/>
            <w:gridSpan w:val="3"/>
          </w:tcPr>
          <w:p>
            <w:pPr>
              <w:spacing w:after="0"/>
              <w:rPr>
                <w:sz w:val="2"/>
                <w:szCs w:val="2"/>
                <w:color w:val="auto"/>
              </w:rPr>
            </w:pPr>
          </w:p>
        </w:tc>
        <w:tc>
          <w:tcPr>
            <w:tcW w:w="108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J. McBreen</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56.23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3/13/2026</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55.91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43.39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3/13/2028</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0"/>
        </w:trPr>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0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68.10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3/12/2029</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77"/>
        </w:trPr>
        <w:tc>
          <w:tcPr>
            <w:tcW w:w="1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611,217</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1,304,697</w:t>
            </w:r>
          </w:p>
        </w:tc>
      </w:tr>
      <w:tr>
        <w:trPr>
          <w:trHeight w:val="310"/>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428" w:right="339" w:bottom="785"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28" w:right="339" w:bottom="785" w:gutter="0" w:footer="0" w:header="0"/>
          <w:type w:val="continuous"/>
        </w:sectPr>
      </w:pPr>
    </w:p>
    <w:bookmarkStart w:id="58" w:name="page59"/>
    <w:bookmarkEnd w:id="5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500" w:hanging="492"/>
        <w:spacing w:after="0" w:line="266" w:lineRule="auto"/>
        <w:tabs>
          <w:tab w:leader="none" w:pos="4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information for each outstanding non-qualified stock option award as of December 31, 2021 for the Named Executive Officers is described in the table below. Based on his equity agreement, Mr. Arduini's outstanding non-qualified stock options fully vested on December 10, 2021 upon his retirement but become exercisable in accordance with the original exercise schedules.</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Peter J.</w:t>
            </w:r>
          </w:p>
        </w:tc>
        <w:tc>
          <w:tcPr>
            <w:tcW w:w="16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Carrie</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Glenn G.</w:t>
            </w:r>
          </w:p>
        </w:tc>
        <w:tc>
          <w:tcPr>
            <w:tcW w:w="19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Robert T.</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Michael J.</w:t>
            </w:r>
          </w:p>
        </w:tc>
      </w:tr>
      <w:tr>
        <w:trPr>
          <w:trHeight w:val="19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Arduini</w:t>
            </w:r>
          </w:p>
        </w:tc>
        <w:tc>
          <w:tcPr>
            <w:tcW w:w="16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Anderson</w:t>
            </w:r>
          </w:p>
        </w:tc>
        <w:tc>
          <w:tcPr>
            <w:tcW w:w="16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Coleman</w:t>
            </w:r>
          </w:p>
        </w:tc>
        <w:tc>
          <w:tcPr>
            <w:tcW w:w="19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Davis Jr.</w:t>
            </w:r>
          </w:p>
        </w:tc>
        <w:tc>
          <w:tcPr>
            <w:tcW w:w="10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McBreen</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7"/>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60" w:type="dxa"/>
            <w:vAlign w:val="bottom"/>
            <w:gridSpan w:val="7"/>
          </w:tcPr>
          <w:p>
            <w:pPr>
              <w:ind w:left="1040"/>
              <w:spacing w:after="0"/>
              <w:rPr>
                <w:sz w:val="20"/>
                <w:szCs w:val="20"/>
                <w:color w:val="auto"/>
              </w:rPr>
            </w:pPr>
            <w:r>
              <w:rPr>
                <w:rFonts w:ascii="Times New Roman" w:cs="Times New Roman" w:eastAsia="Times New Roman" w:hAnsi="Times New Roman"/>
                <w:sz w:val="14"/>
                <w:szCs w:val="14"/>
                <w:b w:val="1"/>
                <w:bCs w:val="1"/>
                <w:color w:val="auto"/>
              </w:rPr>
              <w:t>Number of Shares Underlying Non-Qualified Stock Option Awards</w:t>
            </w:r>
          </w:p>
        </w:tc>
        <w:tc>
          <w:tcPr>
            <w:tcW w:w="1020" w:type="dxa"/>
            <w:vAlign w:val="bottom"/>
          </w:tcPr>
          <w:p>
            <w:pPr>
              <w:spacing w:after="0"/>
              <w:rPr>
                <w:sz w:val="19"/>
                <w:szCs w:val="19"/>
                <w:color w:val="auto"/>
              </w:rPr>
            </w:pPr>
          </w:p>
        </w:tc>
      </w:tr>
      <w:tr>
        <w:trPr>
          <w:trHeight w:val="23"/>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(a)</w:t>
            </w: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3/13/2022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3/13/2022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2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3/13/2022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3/12/2022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(b)</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3/13/2023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3/13/2023</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3/12/2023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22,134</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w:t>
            </w: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3/13/2024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1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3/12/2024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r>
      <w:tr>
        <w:trPr>
          <w:trHeight w:val="27"/>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3/12/2025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w:t>
            </w:r>
          </w:p>
        </w:tc>
        <w:tc>
          <w:tcPr>
            <w:tcW w:w="140" w:type="dxa"/>
            <w:vAlign w:val="bottom"/>
          </w:tcPr>
          <w:p>
            <w:pPr>
              <w:spacing w:after="0"/>
              <w:rPr>
                <w:sz w:val="21"/>
                <w:szCs w:val="21"/>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r>
    </w:tbl>
    <w:p>
      <w:pPr>
        <w:spacing w:after="0" w:line="157" w:lineRule="exact"/>
        <w:rPr>
          <w:sz w:val="20"/>
          <w:szCs w:val="20"/>
          <w:color w:val="auto"/>
        </w:rPr>
      </w:pPr>
    </w:p>
    <w:p>
      <w:pPr>
        <w:jc w:val="both"/>
        <w:ind w:left="820" w:hanging="326"/>
        <w:spacing w:after="0" w:line="254" w:lineRule="auto"/>
        <w:tabs>
          <w:tab w:leader="none" w:pos="8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Arduini’s non-qualified stock options vested upon his retirement on December 10, 2021 and will be exercisable as follows: one third of the shares are exercisable on the first anniversary of the grant date and thereafter in monthly installments through the third anniversary of such grant date. The 7,605 of the unexercisable non-qualified stock options pursuant to Mr. Arduini’s March 13, 2019 non-qualified stock option grant will be exercisable monthly over the first three months of 2022. 46,048 of the 57,560 unexercisable non-qualified stock options pursuant to Mr. Arduini’s March 13, 2020 non-qualified stock option grant will be exercisable monthly throughout 2022. In addition, 22,134 of the 38,734 unexercisable non-qualified stock options pursuant to Mr. Arduini’s March 12, 2021 grant will be exercisable on March 12, 2022, the first anniversary of such grant. Thereafter, 16,600 non-qualified stock options pursuant to Mr. Arduini’s March 12, 2021 grant will be exercisable monthly for the remaining nine months of 2022.</w:t>
      </w:r>
    </w:p>
    <w:p>
      <w:pPr>
        <w:spacing w:after="0" w:line="29" w:lineRule="exact"/>
        <w:rPr>
          <w:rFonts w:ascii="Times New Roman" w:cs="Times New Roman" w:eastAsia="Times New Roman" w:hAnsi="Times New Roman"/>
          <w:sz w:val="18"/>
          <w:szCs w:val="18"/>
          <w:color w:val="auto"/>
        </w:rPr>
      </w:pPr>
    </w:p>
    <w:p>
      <w:pPr>
        <w:jc w:val="both"/>
        <w:ind w:left="820" w:hanging="326"/>
        <w:spacing w:after="0" w:line="258" w:lineRule="auto"/>
        <w:tabs>
          <w:tab w:leader="none" w:pos="8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Arduini’s non-qualified stock options vested upon his retirement on December 10, 2021 and will be exercisable as follows: one third of the shares on the first anniversary of the grant date and thereafter in monthly installments through the third anniversary of such grant date. 11,512 of the 57,560 unexercisable non-qualified stock options pursuant to Mr. Arduini’s March 13, 2020 non-qualified stock option grant will be exercisable monthly over the first three months of 2023. 22,134 of the 66,402 unexercisable non-qualified stock options pursuant to Mr. Arduini’s March 12, 2021 non-qualified stock option grant will be exercisable monthly throughout 2023.</w:t>
      </w:r>
    </w:p>
    <w:p>
      <w:pPr>
        <w:spacing w:after="0" w:line="21" w:lineRule="exact"/>
        <w:rPr>
          <w:rFonts w:ascii="Times New Roman" w:cs="Times New Roman" w:eastAsia="Times New Roman" w:hAnsi="Times New Roman"/>
          <w:sz w:val="18"/>
          <w:szCs w:val="18"/>
          <w:color w:val="auto"/>
        </w:rPr>
      </w:pPr>
    </w:p>
    <w:p>
      <w:pPr>
        <w:jc w:val="both"/>
        <w:ind w:left="820" w:hanging="326"/>
        <w:spacing w:after="0" w:line="261" w:lineRule="auto"/>
        <w:tabs>
          <w:tab w:leader="none" w:pos="8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Arduini’s non-qualified stock options vested upon his retirement on December 10, 2021 and will be exercisable as follows: one third of the shares on the first anniversary of the grant date and thereafter in monthly installments through the third anniversary of such grant date. 5,534 of the 66,402 unexercisable non-qualified stock options pursuant to Mr. Arduini’s March 12, 2021 non-qualified stock option grant will be exercisable monthly over the first three months of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428" w:right="3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500" w:hanging="492"/>
        <w:spacing w:after="0" w:line="266" w:lineRule="auto"/>
        <w:tabs>
          <w:tab w:leader="none" w:pos="4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columns (g) and (h) reflect the number and market values of the outstanding restricted stock awards for Messrs. Coleman, Davis, and McBreen and Ms. Anderson as of December 31, 2021. Scheduled vesting of such restricted stock units and restricted stock awards and the number of shares underlying such awards are described in the table below.</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Carrie</w:t>
            </w:r>
          </w:p>
        </w:tc>
        <w:tc>
          <w:tcPr>
            <w:tcW w:w="220" w:type="dxa"/>
            <w:vAlign w:val="bottom"/>
          </w:tcPr>
          <w:p>
            <w:pPr>
              <w:spacing w:after="0"/>
              <w:rPr>
                <w:sz w:val="14"/>
                <w:szCs w:val="14"/>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Glenn G.</w:t>
            </w: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Robert T.</w:t>
            </w:r>
          </w:p>
        </w:tc>
        <w:tc>
          <w:tcPr>
            <w:tcW w:w="13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Michael J.</w:t>
            </w:r>
          </w:p>
        </w:tc>
      </w:tr>
      <w:tr>
        <w:trPr>
          <w:trHeight w:val="190"/>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3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Anderson</w:t>
            </w:r>
          </w:p>
        </w:tc>
        <w:tc>
          <w:tcPr>
            <w:tcW w:w="22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Coleman</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Davis Jr.</w:t>
            </w:r>
          </w:p>
        </w:tc>
        <w:tc>
          <w:tcPr>
            <w:tcW w:w="13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McBreen</w:t>
            </w:r>
          </w:p>
        </w:tc>
      </w:tr>
      <w:tr>
        <w:trPr>
          <w:trHeight w:val="23"/>
        </w:trPr>
        <w:tc>
          <w:tcPr>
            <w:tcW w:w="3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7"/>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 Underlying Outstanding RSAs</w:t>
            </w:r>
          </w:p>
        </w:tc>
        <w:tc>
          <w:tcPr>
            <w:tcW w:w="1360" w:type="dxa"/>
            <w:vAlign w:val="bottom"/>
          </w:tcPr>
          <w:p>
            <w:pPr>
              <w:spacing w:after="0"/>
              <w:rPr>
                <w:sz w:val="19"/>
                <w:szCs w:val="19"/>
                <w:color w:val="auto"/>
              </w:rPr>
            </w:pPr>
          </w:p>
        </w:tc>
      </w:tr>
      <w:tr>
        <w:trPr>
          <w:trHeight w:val="23"/>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3/2/2022</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3/12/2022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3/13/2022</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7/1/2022</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8/1/2022</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3/2/2023</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3/12/2023</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3/13/2023</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r>
      <w:tr>
        <w:trPr>
          <w:trHeight w:val="27"/>
        </w:trPr>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3/12/2024</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r>
    </w:tbl>
    <w:p>
      <w:pPr>
        <w:spacing w:after="0" w:line="200" w:lineRule="exact"/>
        <w:rPr>
          <w:sz w:val="20"/>
          <w:szCs w:val="20"/>
          <w:color w:val="auto"/>
        </w:rPr>
      </w:pPr>
    </w:p>
    <w:p>
      <w:pPr>
        <w:spacing w:after="0" w:line="268" w:lineRule="exact"/>
        <w:rPr>
          <w:sz w:val="20"/>
          <w:szCs w:val="20"/>
          <w:color w:val="auto"/>
        </w:rPr>
      </w:pPr>
    </w:p>
    <w:p>
      <w:pPr>
        <w:jc w:val="both"/>
        <w:ind w:left="500" w:hanging="492"/>
        <w:spacing w:after="0" w:line="297" w:lineRule="auto"/>
        <w:tabs>
          <w:tab w:leader="none" w:pos="49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columns (i) and (j) reflect the number and market values of the outstanding performance stock unit awards as of December 31, 2021 for Messrs. Arduini, Coleman, Davis, and McBreen and Ms. Anderson. Scheduled vesting of all performance stock unit awards and the number of</w:t>
      </w: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such awards, subject to the satisfaction of the performance goals, are described in the table below. Amounts reported for our 2019 and 2020 awards are calculated based on 2021 performance year achievement at 150% of the target level. Amounts reported for our 2021 awards are calculated based on 2021 performance year achievement at 200% of the target level.</w:t>
      </w:r>
    </w:p>
    <w:p>
      <w:pPr>
        <w:spacing w:after="0" w:line="11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Peter J.</w:t>
            </w:r>
          </w:p>
        </w:tc>
        <w:tc>
          <w:tcPr>
            <w:tcW w:w="200" w:type="dxa"/>
            <w:vAlign w:val="bottom"/>
          </w:tcPr>
          <w:p>
            <w:pPr>
              <w:spacing w:after="0"/>
              <w:rPr>
                <w:sz w:val="14"/>
                <w:szCs w:val="14"/>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Carrie</w:t>
            </w:r>
          </w:p>
        </w:tc>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Glenn G.</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Robert T.</w:t>
            </w:r>
          </w:p>
        </w:tc>
        <w:tc>
          <w:tcPr>
            <w:tcW w:w="128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Michael J.</w:t>
            </w:r>
          </w:p>
        </w:tc>
      </w:tr>
      <w:tr>
        <w:trPr>
          <w:trHeight w:val="190"/>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128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Arduini</w:t>
            </w:r>
          </w:p>
        </w:tc>
        <w:tc>
          <w:tcPr>
            <w:tcW w:w="200" w:type="dxa"/>
            <w:vAlign w:val="bottom"/>
          </w:tcPr>
          <w:p>
            <w:pPr>
              <w:spacing w:after="0"/>
              <w:rPr>
                <w:sz w:val="16"/>
                <w:szCs w:val="16"/>
                <w:color w:val="auto"/>
              </w:rPr>
            </w:pPr>
          </w:p>
        </w:tc>
        <w:tc>
          <w:tcPr>
            <w:tcW w:w="15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Anderson</w:t>
            </w:r>
          </w:p>
        </w:tc>
        <w:tc>
          <w:tcPr>
            <w:tcW w:w="15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Coleman</w:t>
            </w: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Davis Jr.</w:t>
            </w:r>
          </w:p>
        </w:tc>
        <w:tc>
          <w:tcPr>
            <w:tcW w:w="128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McBreen</w:t>
            </w:r>
          </w:p>
        </w:tc>
      </w:tr>
      <w:tr>
        <w:trPr>
          <w:trHeight w:val="23"/>
        </w:trPr>
        <w:tc>
          <w:tcPr>
            <w:tcW w:w="2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7"/>
        </w:trPr>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70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 Underlying Outstanding Performance Stock Awards</w:t>
            </w:r>
          </w:p>
        </w:tc>
        <w:tc>
          <w:tcPr>
            <w:tcW w:w="1280" w:type="dxa"/>
            <w:vAlign w:val="bottom"/>
          </w:tcPr>
          <w:p>
            <w:pPr>
              <w:spacing w:after="0"/>
              <w:rPr>
                <w:sz w:val="19"/>
                <w:szCs w:val="19"/>
                <w:color w:val="auto"/>
              </w:rPr>
            </w:pPr>
          </w:p>
        </w:tc>
      </w:tr>
      <w:tr>
        <w:trPr>
          <w:trHeight w:val="23"/>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3/12/2022</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41,188</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8,904</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12,576</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3/13/2022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7,131</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16,729</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3/12/2023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20,596</w:t>
            </w:r>
          </w:p>
        </w:tc>
        <w:tc>
          <w:tcPr>
            <w:tcW w:w="15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4,454</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3/13/2023</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46,324</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9,651</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3/12/2024</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21,219</w:t>
            </w:r>
          </w:p>
        </w:tc>
        <w:tc>
          <w:tcPr>
            <w:tcW w:w="15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4,586</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w:t>
            </w:r>
          </w:p>
        </w:tc>
      </w:tr>
      <w:tr>
        <w:trPr>
          <w:trHeight w:val="918"/>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40"/>
          </w:cols>
          <w:pgMar w:left="320" w:top="428" w:right="3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on stock option exercises and stock award vesting during 2021 for Messrs. Arduini, Coleman, Davis and McBreen and Ms. Anderson. Mr. De Witte did not hold company equity awards in 2021.</w:t>
      </w:r>
    </w:p>
    <w:p>
      <w:pPr>
        <w:spacing w:after="0" w:line="101"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180" w:type="dxa"/>
            <w:vAlign w:val="bottom"/>
            <w:gridSpan w:val="3"/>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2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58"/>
        </w:trPr>
        <w:tc>
          <w:tcPr>
            <w:tcW w:w="3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172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60" w:type="dxa"/>
            <w:vAlign w:val="bottom"/>
          </w:tcPr>
          <w:p>
            <w:pPr>
              <w:jc w:val="center"/>
              <w:ind w:left="258"/>
              <w:spacing w:after="0" w:line="158" w:lineRule="exact"/>
              <w:rPr>
                <w:sz w:val="20"/>
                <w:szCs w:val="20"/>
                <w:color w:val="auto"/>
              </w:rPr>
            </w:pPr>
            <w:r>
              <w:rPr>
                <w:rFonts w:ascii="Times New Roman" w:cs="Times New Roman" w:eastAsia="Times New Roman" w:hAnsi="Times New Roman"/>
                <w:sz w:val="14"/>
                <w:szCs w:val="14"/>
                <w:b w:val="1"/>
                <w:bCs w:val="1"/>
                <w:color w:val="auto"/>
              </w:rPr>
              <w:t>Value Realized</w:t>
            </w:r>
          </w:p>
        </w:tc>
        <w:tc>
          <w:tcPr>
            <w:tcW w:w="320" w:type="dxa"/>
            <w:vAlign w:val="bottom"/>
          </w:tcPr>
          <w:p>
            <w:pPr>
              <w:spacing w:after="0"/>
              <w:rPr>
                <w:sz w:val="13"/>
                <w:szCs w:val="13"/>
                <w:color w:val="auto"/>
              </w:rPr>
            </w:pPr>
          </w:p>
        </w:tc>
      </w:tr>
      <w:tr>
        <w:trPr>
          <w:trHeight w:val="162"/>
        </w:trPr>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on Exercise(1)</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146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on Vesting</w:t>
            </w:r>
          </w:p>
        </w:tc>
        <w:tc>
          <w:tcPr>
            <w:tcW w:w="320" w:type="dxa"/>
            <w:vAlign w:val="bottom"/>
          </w:tcPr>
          <w:p>
            <w:pPr>
              <w:spacing w:after="0"/>
              <w:rPr>
                <w:sz w:val="14"/>
                <w:szCs w:val="14"/>
                <w:color w:val="auto"/>
              </w:rPr>
            </w:pPr>
          </w:p>
        </w:tc>
      </w:tr>
      <w:tr>
        <w:trPr>
          <w:trHeight w:val="162"/>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146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4"/>
                <w:szCs w:val="14"/>
                <w:color w:val="auto"/>
              </w:rPr>
            </w:pPr>
          </w:p>
        </w:tc>
      </w:tr>
      <w:tr>
        <w:trPr>
          <w:trHeight w:val="19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w:t>
            </w: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1460" w:type="dxa"/>
            <w:vAlign w:val="bottom"/>
          </w:tcPr>
          <w:p>
            <w:pPr>
              <w:jc w:val="center"/>
              <w:ind w:left="258"/>
              <w:spacing w:after="0"/>
              <w:rPr>
                <w:sz w:val="20"/>
                <w:szCs w:val="20"/>
                <w:color w:val="auto"/>
              </w:rPr>
            </w:pPr>
            <w:r>
              <w:rPr>
                <w:rFonts w:ascii="Times New Roman" w:cs="Times New Roman" w:eastAsia="Times New Roman" w:hAnsi="Times New Roman"/>
                <w:sz w:val="14"/>
                <w:szCs w:val="14"/>
                <w:b w:val="1"/>
                <w:bCs w:val="1"/>
                <w:color w:val="auto"/>
              </w:rPr>
              <w:t>(e)</w:t>
            </w:r>
          </w:p>
        </w:tc>
        <w:tc>
          <w:tcPr>
            <w:tcW w:w="320" w:type="dxa"/>
            <w:vAlign w:val="bottom"/>
          </w:tcPr>
          <w:p>
            <w:pPr>
              <w:spacing w:after="0"/>
              <w:rPr>
                <w:sz w:val="16"/>
                <w:szCs w:val="16"/>
                <w:color w:val="auto"/>
              </w:rPr>
            </w:pPr>
          </w:p>
        </w:tc>
      </w:tr>
      <w:tr>
        <w:trPr>
          <w:trHeight w:val="23"/>
        </w:trPr>
        <w:tc>
          <w:tcPr>
            <w:tcW w:w="3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3"/>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7,661,871</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69,738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4,592,251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Carrie Anderson</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10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829,261</w:t>
            </w:r>
          </w:p>
        </w:tc>
        <w:tc>
          <w:tcPr>
            <w:tcW w:w="3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2,582,525</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403,016</w:t>
            </w:r>
          </w:p>
        </w:tc>
        <w:tc>
          <w:tcPr>
            <w:tcW w:w="320" w:type="dxa"/>
            <w:vAlign w:val="bottom"/>
            <w:tcBorders>
              <w:bottom w:val="single" w:sz="8" w:color="CCEEFF"/>
            </w:tcBorders>
            <w:shd w:val="clear" w:color="auto" w:fill="CCEEFF"/>
          </w:tcPr>
          <w:p>
            <w:pPr>
              <w:spacing w:after="0"/>
              <w:rPr>
                <w:sz w:val="21"/>
                <w:szCs w:val="21"/>
                <w:color w:val="auto"/>
              </w:rPr>
            </w:pPr>
          </w:p>
        </w:tc>
      </w:tr>
      <w:tr>
        <w:trPr>
          <w:trHeight w:val="24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175,085</w:t>
            </w:r>
          </w:p>
        </w:tc>
        <w:tc>
          <w:tcPr>
            <w:tcW w:w="32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J. McBreen</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645,302</w:t>
            </w:r>
          </w:p>
        </w:tc>
        <w:tc>
          <w:tcPr>
            <w:tcW w:w="320" w:type="dxa"/>
            <w:vAlign w:val="bottom"/>
            <w:shd w:val="clear" w:color="auto" w:fill="CCEEFF"/>
          </w:tcPr>
          <w:p>
            <w:pPr>
              <w:spacing w:after="0"/>
              <w:rPr>
                <w:sz w:val="21"/>
                <w:szCs w:val="21"/>
                <w:color w:val="auto"/>
              </w:rPr>
            </w:pPr>
          </w:p>
        </w:tc>
      </w:tr>
      <w:tr>
        <w:trPr>
          <w:trHeight w:val="27"/>
        </w:trPr>
        <w:tc>
          <w:tcPr>
            <w:tcW w:w="3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jc w:val="both"/>
        <w:ind w:left="500" w:hanging="492"/>
        <w:spacing w:after="0" w:line="266" w:lineRule="auto"/>
        <w:tabs>
          <w:tab w:leader="none" w:pos="49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spacing w:after="0" w:line="13" w:lineRule="exact"/>
        <w:rPr>
          <w:rFonts w:ascii="Times New Roman" w:cs="Times New Roman" w:eastAsia="Times New Roman" w:hAnsi="Times New Roman"/>
          <w:sz w:val="18"/>
          <w:szCs w:val="18"/>
          <w:color w:val="auto"/>
        </w:rPr>
      </w:pPr>
    </w:p>
    <w:p>
      <w:pPr>
        <w:jc w:val="both"/>
        <w:ind w:left="500" w:hanging="492"/>
        <w:spacing w:after="0" w:line="267" w:lineRule="auto"/>
        <w:tabs>
          <w:tab w:leader="none" w:pos="49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includes the market value of the shares that are vested, but delivery is deferred. These awards are also shown in the Non-Qualified Deferred Compensation Table as follows: (i) 6,203 shares of common stock underlying restricted stock units from an initial grant in March 2018 of 19,385 units (of which 774 shares were withheld to pay taxes relative to the entire grant), of which the third installment vested fully on the third anniversary of the grant date, based on the $68.10 closing price of our common stock on the vesting date, (ii) 6,525 shares of common stock underlying restricted stock units from an initial grant in March 2019 of 20,390 units (of which 544 shares were withheld to pay taxes relative to the entire grant), of which the second installment fully vested on the second anniversary of the grant date, based on the $68.10 closing price of our common stock on the vesting date, (iii) 8,851 shares of common stock underlying restricted stock units from an initial grant in March 2020 of 27.657 units (of which 368 shares were withheld to pay taxes relative to the entire grant), of which the first installment fully vested on the first anniversary of the grant date, based on the $68.10 closing price of our common stock on the vesting date, (iv) 6,524 shares of common stock underlying restricted stock units from an initial grant in March 2019 of 20,390 units (of which 816 shares were withheld to pay taxes relative to the entire grant), of which the second installment fully vested on the termination date of December 10, 2021 based on the $64.78 closing price of our common stock on the vesting date,</w:t>
      </w:r>
    </w:p>
    <w:p>
      <w:pPr>
        <w:spacing w:after="0" w:line="2" w:lineRule="exact"/>
        <w:rPr>
          <w:rFonts w:ascii="Times New Roman" w:cs="Times New Roman" w:eastAsia="Times New Roman" w:hAnsi="Times New Roman"/>
          <w:sz w:val="17"/>
          <w:szCs w:val="17"/>
          <w:color w:val="auto"/>
        </w:rPr>
      </w:pPr>
    </w:p>
    <w:p>
      <w:pPr>
        <w:jc w:val="both"/>
        <w:ind w:left="5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17,702 shares of common stock underlying restricted stock units from an initial grant in March 2020 of 27.657 units (of which 736 shares were withheld to pay taxes relative to the entire grant), of which the second and third installment fully vested on the termination date of December 10, 2021 based on the $64.78 closing price of our common stock on the vesting date, (vi) 21,148 shares of common stock underlying restricted stock units from an initial grant in March 2021 of 22,027 units (of which 879 shares were withheld to pay taxes relative to the entire grant), of which the first, second and third installment fully vested on the termination date of December 10, 2021 based on the $64.78 closing price of our common stock on the vesting date.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Aggregate Earnings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86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 Balance at</w:t>
            </w:r>
          </w:p>
        </w:tc>
      </w:t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Withdrawals/</w:t>
            </w:r>
          </w:p>
        </w:tc>
        <w:tc>
          <w:tcPr>
            <w:tcW w:w="186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Last Fiscal</w:t>
            </w:r>
          </w:p>
        </w:tc>
      </w:tr>
      <w:tr>
        <w:trPr>
          <w:trHeight w:val="190"/>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Last Fiscal Year</w:t>
            </w:r>
          </w:p>
        </w:tc>
        <w:tc>
          <w:tcPr>
            <w:tcW w:w="19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in Last Fiscal Year</w:t>
            </w: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 Last Fiscal Year</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86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Year-End</w:t>
            </w:r>
          </w:p>
        </w:tc>
      </w:tr>
      <w:tr>
        <w:trPr>
          <w:trHeight w:val="18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80" w:type="dxa"/>
            <w:vAlign w:val="bottom"/>
          </w:tcPr>
          <w:p>
            <w:pPr>
              <w:jc w:val="center"/>
              <w:ind w:right="34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4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6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19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w:t>
            </w:r>
          </w:p>
        </w:tc>
        <w:tc>
          <w:tcPr>
            <w:tcW w:w="19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w:t>
            </w:r>
          </w:p>
        </w:tc>
        <w:tc>
          <w:tcPr>
            <w:tcW w:w="1860" w:type="dxa"/>
            <w:vAlign w:val="bottom"/>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w:t>
            </w:r>
          </w:p>
        </w:tc>
      </w:tr>
      <w:tr>
        <w:trPr>
          <w:trHeight w:val="23"/>
        </w:trPr>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c>
          <w:tcPr>
            <w:tcW w:w="1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4,426,427 (1)</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1,164,820 (2)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39,950,007 (3)</w:t>
            </w:r>
          </w:p>
        </w:tc>
      </w:tr>
      <w:tr>
        <w:trPr>
          <w:trHeight w:val="24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Carrie Anderson</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386,250</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41,417</w:t>
            </w:r>
          </w:p>
        </w:tc>
        <w:tc>
          <w:tcPr>
            <w:tcW w:w="10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769,423</w:t>
            </w:r>
          </w:p>
        </w:tc>
      </w:tr>
      <w:tr>
        <w:trPr>
          <w:trHeight w:val="27"/>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558,652</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89,307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1,239,713</w:t>
            </w:r>
          </w:p>
        </w:tc>
      </w:tr>
      <w:tr>
        <w:trPr>
          <w:trHeight w:val="24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233,525</w:t>
            </w: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tcPr>
          <w:p>
            <w:pPr>
              <w:jc w:val="right"/>
              <w:ind w:right="360"/>
              <w:spacing w:after="0"/>
              <w:rPr>
                <w:sz w:val="20"/>
                <w:szCs w:val="20"/>
                <w:color w:val="auto"/>
              </w:rPr>
            </w:pPr>
            <w:r>
              <w:rPr>
                <w:rFonts w:ascii="Times New Roman" w:cs="Times New Roman" w:eastAsia="Times New Roman" w:hAnsi="Times New Roman"/>
                <w:sz w:val="18"/>
                <w:szCs w:val="18"/>
                <w:color w:val="auto"/>
              </w:rPr>
              <w:t>23,718</w:t>
            </w:r>
          </w:p>
        </w:tc>
        <w:tc>
          <w:tcPr>
            <w:tcW w:w="100" w:type="dxa"/>
            <w:vAlign w:val="bottom"/>
          </w:tcPr>
          <w:p>
            <w:pPr>
              <w:spacing w:after="0"/>
              <w:rPr>
                <w:sz w:val="21"/>
                <w:szCs w:val="21"/>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380"/>
              <w:spacing w:after="0"/>
              <w:rPr>
                <w:sz w:val="20"/>
                <w:szCs w:val="20"/>
                <w:color w:val="auto"/>
              </w:rPr>
            </w:pPr>
            <w:r>
              <w:rPr>
                <w:rFonts w:ascii="Times New Roman" w:cs="Times New Roman" w:eastAsia="Times New Roman" w:hAnsi="Times New Roman"/>
                <w:sz w:val="18"/>
                <w:szCs w:val="18"/>
                <w:color w:val="auto"/>
              </w:rPr>
              <w:t>443,669</w:t>
            </w:r>
          </w:p>
        </w:tc>
      </w:tr>
      <w:tr>
        <w:trPr>
          <w:trHeight w:val="32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36" w:lineRule="exact"/>
        <w:rPr>
          <w:sz w:val="20"/>
          <w:szCs w:val="20"/>
          <w:color w:val="auto"/>
        </w:rPr>
      </w:pPr>
    </w:p>
    <w:p>
      <w:pPr>
        <w:ind w:left="500" w:hanging="492"/>
        <w:spacing w:after="0" w:line="282" w:lineRule="auto"/>
        <w:tabs>
          <w:tab w:leader="none" w:pos="49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 a non-qualified deferred compensation plan (NQDC) to provide additional retirement benefits for all employees who meet the IRS annual compensation limit of IRC Section 401(a)(17). Employees may defer up to</w:t>
      </w: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428" w:right="339" w:bottom="1440" w:gutter="0" w:footer="0" w:header="0"/>
          <w:type w:val="continuous"/>
        </w:sectPr>
      </w:pPr>
    </w:p>
    <w:bookmarkStart w:id="61" w:name="page62"/>
    <w:bookmarkEnd w:id="6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75% of base salary and up to 100% of performance based cash bonus on a pre-tax basis. Values shown represent base salary and annual cash bonus amounts that the named executive officers elected to defer in 2021. These amounts represent compensation earned by the named executive officers in 2021 and are also reported in Salary for contributions from base salary and in Non-Equity Incentive Plan Compensation for contributions from annual cash bonus in the Summary Compensation Table above.</w:t>
      </w:r>
    </w:p>
    <w:p>
      <w:pPr>
        <w:spacing w:after="0" w:line="18" w:lineRule="exact"/>
        <w:rPr>
          <w:sz w:val="20"/>
          <w:szCs w:val="20"/>
          <w:color w:val="auto"/>
        </w:rPr>
      </w:pPr>
    </w:p>
    <w:p>
      <w:pPr>
        <w:jc w:val="both"/>
        <w:ind w:left="500" w:hanging="492"/>
        <w:spacing w:after="0" w:line="266" w:lineRule="auto"/>
        <w:tabs>
          <w:tab w:leader="none" w:pos="4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earnings on the executive’s NQDC balances for the fiscal year. The NQDC provides for investment options generally aligned to those provided in our 401(k) Savings Plan. Deferrals are credited with gains or losses based on the performance of the investment options selected by the employee.</w:t>
      </w:r>
    </w:p>
    <w:p>
      <w:pPr>
        <w:spacing w:after="0" w:line="67" w:lineRule="exact"/>
        <w:rPr>
          <w:rFonts w:ascii="Times New Roman" w:cs="Times New Roman" w:eastAsia="Times New Roman" w:hAnsi="Times New Roman"/>
          <w:sz w:val="18"/>
          <w:szCs w:val="18"/>
          <w:color w:val="auto"/>
        </w:rPr>
      </w:pPr>
    </w:p>
    <w:p>
      <w:pPr>
        <w:jc w:val="both"/>
        <w:ind w:left="5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elections may not be revoked, changed, or modified except as permitted under the NQDC, and subject to applicable law. No actual investments will be held in the employee’s accounts and employees will at all times remain unsecured creditors of the Company with respect to their account balances.</w:t>
      </w:r>
    </w:p>
    <w:p>
      <w:pPr>
        <w:spacing w:after="0" w:line="13" w:lineRule="exact"/>
        <w:rPr>
          <w:rFonts w:ascii="Times New Roman" w:cs="Times New Roman" w:eastAsia="Times New Roman" w:hAnsi="Times New Roman"/>
          <w:sz w:val="18"/>
          <w:szCs w:val="18"/>
          <w:color w:val="auto"/>
        </w:rPr>
      </w:pPr>
    </w:p>
    <w:p>
      <w:pPr>
        <w:ind w:left="500" w:hanging="492"/>
        <w:spacing w:after="0" w:line="281" w:lineRule="auto"/>
        <w:tabs>
          <w:tab w:leader="none" w:pos="49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may elect deferred amounts to be paid either in the form of a lump sum or in up to 15 annual installments upon either separation from service, a specified date, or death.</w:t>
      </w:r>
    </w:p>
    <w:p>
      <w:pPr>
        <w:spacing w:after="0" w:line="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aggregate amounts that were reported as compensation in the appropriate columns of the Summary Compensation Table of this proxy statement and previous proxy statements to the extent that the executive was a NEO for the applicable year: $34,375,508 for Mr. Arduini, $341,756 for Ms. Anderson, $591,754 for Mr. Coleman, and $186,426 for Mr. Davis. Mr. McBreen did not elect to defer compensation included in the Summary Compensation Table as such he is not listed in the table above.</w:t>
      </w:r>
    </w:p>
    <w:p>
      <w:pPr>
        <w:spacing w:after="0" w:line="18" w:lineRule="exact"/>
        <w:rPr>
          <w:sz w:val="20"/>
          <w:szCs w:val="20"/>
          <w:color w:val="auto"/>
        </w:rPr>
      </w:pPr>
    </w:p>
    <w:p>
      <w:pPr>
        <w:jc w:val="both"/>
        <w:ind w:left="500" w:hanging="492"/>
        <w:spacing w:after="0" w:line="267" w:lineRule="auto"/>
        <w:tabs>
          <w:tab w:leader="none" w:pos="494"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represents the market value of: (i) 6,203 shares of common stock underlying restricted stock units from an initial grant in March 2018 of 19,385 units (of which 774 shares were withheld to pay taxes relative to the entire grant), of which the third installment vested fully on the third anniversary of the grant date, based on the $68.10 closing price of our common stock on the vesting date, (ii) 6,525 shares of common stock underlying restricted stock units from an initial grant in March 2019 of 20,390 units (of which 544 shares were withheld to pay taxes relative to the entire grant), of which the second installment fully vested on the second anniversary of the grant date, based on the $68.10 closing price of our common stock on the vesting date, (iii) 8,851 shares of common stock underlying restricted stock units from an initial grant in March 2020 of 27.657 units (of which 368 shares were withheld to pay taxes relative to the entire grant), of which the first installment fully vested on the first anniversary of the grant date, based on the $68.10 closing price of our common stock on the vesting date, (iv) 6,524 shares of common stock underlying restricted stock units from an initial grant in March 2019 of 20,390 units (of which 816 shares were withheld to pay taxes relative to the entire grant), of which the second installment fully vested on the termination date of December 10, 2021 based on the $64.78 closing price of our common stock on the vesting date,</w:t>
      </w:r>
    </w:p>
    <w:p>
      <w:pPr>
        <w:spacing w:after="0" w:line="3" w:lineRule="exact"/>
        <w:rPr>
          <w:rFonts w:ascii="Times New Roman" w:cs="Times New Roman" w:eastAsia="Times New Roman" w:hAnsi="Times New Roman"/>
          <w:sz w:val="17"/>
          <w:szCs w:val="17"/>
          <w:color w:val="auto"/>
        </w:rPr>
      </w:pPr>
    </w:p>
    <w:p>
      <w:pPr>
        <w:jc w:val="both"/>
        <w:ind w:left="5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17,702 shares of common stock underlying restricted stock units from an initial grant in March 2020 of 27.657 units (of which 736 shares were withheld to pay taxes relative to the entire grant), of which the second and third installment fully vested on the termination date of December 10, 2021 based on the $64.78 closing price of our common stock on the vesting date, (vi) 21,148 shares of common stock underlying restricted stock units from an initial grant in March 2021 of 22,027 units (of which 879 shares were withheld to pay taxes relative to the entire grant), of which the first, second and third installment fully vested on the termination date of December 10, 2021 based on the $64.78 closing price of our common stock on the vesting date.</w:t>
      </w:r>
    </w:p>
    <w:p>
      <w:pPr>
        <w:spacing w:after="0" w:line="27" w:lineRule="exact"/>
        <w:rPr>
          <w:rFonts w:ascii="Times New Roman" w:cs="Times New Roman" w:eastAsia="Times New Roman" w:hAnsi="Times New Roman"/>
          <w:sz w:val="17"/>
          <w:szCs w:val="17"/>
          <w:color w:val="auto"/>
        </w:rPr>
      </w:pPr>
    </w:p>
    <w:p>
      <w:pPr>
        <w:ind w:left="500" w:hanging="492"/>
        <w:spacing w:after="0" w:line="281" w:lineRule="auto"/>
        <w:tabs>
          <w:tab w:leader="none" w:pos="4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gain in the value of 593,193 shares of common stock underlying restricted stock units and deferred performance stock units through December 31, 2021.</w:t>
      </w:r>
    </w:p>
    <w:p>
      <w:pPr>
        <w:spacing w:after="0" w:line="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includes the year-end value of the 593,193 shares of common stock underlying restricted stock units and deferred performance stock units through December 31, 2021. All of these shares are deliverable within 30 days following the first business day that occurs immediately following the six-month period after the date of Mr. Arduini’s separation from service from the Company. The aggregate balance included is based on the $66.99 closing price of our common stock on December 31,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following agreements provide for certain payments and benefits upon any of several events of termination of employment, including termination of employment in connection with a change in control: (i) the De Witte Agreement, and (ii) the Change in Control Severance Agreements, effective January 1, 2021, between the Company and each of Carrie Anderson, Glenn Coleman, Robert Davis, Jr. and Michael McBreen (the De Witte Agreement and the Change in Control Severance Agreements are collectively referred to in this section as the “Agreements”). This section describes these payments and benefits, with amounts calculated based on the assumption that a named executive officer’s termination of employment with the Company occurred on December 31, 2021. On December 31, 2021, the Company’s common stock had a closing sale price on the NASDAQ Global Select Market of $66.99. Actual amounts payable would vary based 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428"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date of the named executive officer’s termination of employment and can only be finally determined at that time. Unless specified otherwise, the information in this section is based upon the terms of the Agreements.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 for Mr. Arduini</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was party to an employment agreement with Mr. Arduini during 2021. In connection with his retirement on December 10, 2021, Mr. Arduini’s employment with the Company terminated. He did not receive severance benefits upon his retirement. Mr. Arduini’s outstanding equity accelerated as described in more detail under “—Retirement Compensation for Mr. Arduini” above (and was valued at $3,061,568), and the Compensation Committee determined that he would remain eligible to receive an annual bonus for 2021 (in an amount equal to $1,621,200) even though he would not be employed by the Company on the date on which bonuses would be paid in 2022.</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by the Company without Cause or by the Executive for Good Reason Outside the Context of a Change in Control</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De Witte Agreement provides for the following severance payments and benefits upon termination of employment by the Company without “Cause” or by Mr. De Witte for “Good Reason” (each as defined in the De Witte Agreement) before a change in control of the Company: (i) a cash severance payment equal to 2.0 times his then-current annual base salary payable over the two-year period following such termination in accordance with the Company's customary payroll practices; (ii) a monthly cash payment equal to Mr. De Witte's monthly COBRA premium cost for family health coverage for up to 18 months following such termination; and (iii) full accelerated vesting of the initial equity award.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 of the unvested equity awards held by Ms. Anderson, Messrs. Coleman, Davis, or McBreen will vest upon such termination.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for Cause or by Executive without Good Reason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Death</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Only the De Witte Agreement provides severance payments and benefits upon death. If Mr. De Witte dies during the term of his employment, then the Company will pay to his estate a lump sum payment equal to one times his annual base salary. In addition, the Company will pay his eligible beneficiaries the monthly premium for COBRA family health coverage under the Company’s group health plan for a period of one year from the date of his death.</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All of Mr. De Witte’s unvested equity awards will vest in the event of death other than his outstanding performance grants, which will remain outstanding and subject to the achievement of the respective performance goals. All of Ms. Anderson’s, Messrs. Coleman’s, Davis’, and McBreen’s unvested equity awards will vest in the event of death other than their respective outstanding performance stock grants, which would remain outstanding and subject to the achievement of the respective performance goals.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Upon Disability</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spacing w:after="0" w:line="6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in Connection with a Change in Control</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Agreements provide each of the applicable named executive officers with severance payments and benefits upon termination of their employment in connection with or following a change in control.</w:t>
      </w:r>
    </w:p>
    <w:p>
      <w:pPr>
        <w:spacing w:after="0" w:line="54"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De Witte Agreement provides that, if, within 24 months following a change in control, Mr. De Witte’s employment with the Company is terminated by the Company other than for cause, death, or disability, or by Mr. De Witte for good reason within twenty-four months following a change in control, then the Company will pay (i) a the lump sum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28"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cash payment equal to 2.99 times the sum of Mr. De Witte’s annual base salary and target bonus; (ii) monthly cash payments equal to Mr. De Witte’s monthly COBRA premium cost for up to 18 months following termination; (iii) a lump sum cash payment equal to the pro-rata portion of his annual bonus for the year of termination, determined based on actual performance; and, (iv) full accelerated vesting of outstanding equity awards and, to the extent any outstanding equity award is a stock option, such option will remain exercisable until the earlier of the first anniversary of the termination date and the option’s expiration date.</w:t>
      </w:r>
    </w:p>
    <w:p>
      <w:pPr>
        <w:spacing w:after="0" w:line="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Change in Control Severance Agreements for Ms. Anderson, Messrs. Coleman, Davis, and McBreen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on or before December 31, 2021, the Company will pay the following to such named executive officer: (i) a lump-sum cash payment equal to a multiple of 1.5 times the sum of the named executive officer’s base salary and target cash bonus (or 2 times in the case of Ms. Anderson and Mr. Coleman),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spacing w:after="0" w:line="8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equity plans provide for the acceleration of vesting and/or delivery of all equity compensation awards granted since January 1, 2013 for all of the named executive officers, if a change in control occurs and the named executive officers incurs a qualifying termination on or within twelve months (or on or within twenty-four months pursuant to the De Witte Agreement) following the date of such change in control. For performance stock unit award agreements granted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performance stock units in such event. In addition, Mr. De Witte will receive deferred payment of common stock underlying such grants of restricted stock units on the date that represents six months after the date of his termination of employment.</w:t>
      </w:r>
    </w:p>
    <w:p>
      <w:pPr>
        <w:spacing w:after="0" w:line="84"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of Directors cease for any reason during any period of at least twenty-four months to constitute at least a majority of the Board of Directors;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spacing w:after="0" w:line="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and Other Conditions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 each of the Agreements, the foregoing severance benefits are conditioned on each executive’s execution of a mutual release. In addition, for all of the applicable named executive officers, such benefits are consideration for the restrictive covenants set forth in their respective Agreements. Specifically, during the term of their employment with the Company and the one-year period thereafter, all of such named executive officers generally may not compete against the Company or solicit employees and customers of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28"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Summary of Potential Payments</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payments that would be made by the Company to our NEOs (other than Mr. Arduini, whose employment terminated upon his retirement in December 2021 and whose benefits are described above under “—Retirement Benefits for Mr. Arduini.”) upon the events discussed above, assuming their termination of employment with the Company occurred on December 31, 2021 or a change in control of the Company occurred on December 31, 2021, as applicable.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Termination</w:t>
            </w: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Without Cause,</w:t>
            </w: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Without Cause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With Good Reason</w:t>
            </w: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or With Good</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Death or Disability</w:t>
            </w: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Reason (Before</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(“Double trigger”</w:t>
            </w: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 Change In</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after a Change</w:t>
            </w:r>
          </w:p>
        </w:tc>
      </w:tr>
      <w:tr>
        <w:trPr>
          <w:trHeight w:val="19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34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180" w:type="dxa"/>
            <w:vAlign w:val="bottom"/>
          </w:tcPr>
          <w:p>
            <w:pPr>
              <w:spacing w:after="0"/>
              <w:rPr>
                <w:sz w:val="16"/>
                <w:szCs w:val="16"/>
                <w:color w:val="auto"/>
              </w:rPr>
            </w:pPr>
          </w:p>
        </w:tc>
        <w:tc>
          <w:tcPr>
            <w:tcW w:w="152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 Control)</w:t>
            </w:r>
          </w:p>
        </w:tc>
      </w:tr>
      <w:tr>
        <w:trPr>
          <w:trHeight w:val="2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Jan De Witte </w:t>
            </w:r>
            <w:r>
              <w:rPr>
                <w:rFonts w:ascii="Times New Roman" w:cs="Times New Roman" w:eastAsia="Times New Roman" w:hAnsi="Times New Roman"/>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Severance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5,481,534</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&amp; Other Benefits(1)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33,290</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Acceleration of Stock Options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Acceleration of Other Grants(2)</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Fees/Interest(3)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8,996</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873,042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5,523,820</w:t>
            </w: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Carrie Anderson</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2,152,500</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Continued Health &amp; Other Benefits(1)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Acceleration of Stock Options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509,406</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Acceleration of Other Grants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1,280,179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1,280,179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2,205,981</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Fees/Interest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1,789,585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1,789,585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4,887,384</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Glenn G. Coleman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Severance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2,719,200</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&amp; Other Benefits(1)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33,762</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Acceleration of Stock Options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852,219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852,219</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Acceleration of Other Grants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1,861,049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3,203,596</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Fees/Interest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6,808,777</w:t>
            </w: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Robert T. Davis, Jr.</w:t>
            </w: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Severance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1,472,052</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Continued Health &amp; Other Benefits(1)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18,977</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Acceleration of Stock Options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361,856</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Acceleration of Other Grants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400,868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400,868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1,017,042</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Fees/Interest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762,724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762,724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2,869,927</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Michael J. McBreen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Severance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1,390,500</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Continued Health &amp; Other Benefits(1)</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Acceleration of Stock Options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Acceleration of Other Grants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1,134,610</w:t>
            </w:r>
          </w:p>
        </w:tc>
      </w:tr>
      <w:tr>
        <w:trPr>
          <w:trHeight w:val="243"/>
        </w:trPr>
        <w:tc>
          <w:tcPr>
            <w:tcW w:w="45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Fees/Interest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824,351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2,739,172</w:t>
            </w:r>
          </w:p>
        </w:tc>
      </w:tr>
      <w:tr>
        <w:trPr>
          <w:trHeight w:val="3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pacing w:after="0" w:line="36" w:lineRule="exact"/>
        <w:rPr>
          <w:sz w:val="20"/>
          <w:szCs w:val="20"/>
          <w:color w:val="auto"/>
        </w:rPr>
      </w:pPr>
    </w:p>
    <w:p>
      <w:pPr>
        <w:jc w:val="both"/>
        <w:ind w:left="500" w:hanging="492"/>
        <w:spacing w:after="0" w:line="266" w:lineRule="auto"/>
        <w:tabs>
          <w:tab w:leader="none" w:pos="49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Mr. De Witte the monthly premium cost of COBRA family health coverage for up to 18 months following Mr. De Witte’s termination date. The Company will pay Ms. Anderson, Messrs. Coleman, Davis, and McBreen the difference between the monthly premium cost of COBRA health insurance and such executives’</w:t>
      </w:r>
    </w:p>
    <w:p>
      <w:pPr>
        <w:sectPr>
          <w:pgSz w:w="11900" w:h="16838" w:orient="portrait"/>
          <w:cols w:equalWidth="0" w:num="1">
            <w:col w:w="11240"/>
          </w:cols>
          <w:pgMar w:left="320" w:top="428" w:right="339" w:bottom="1014"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28" w:right="339" w:bottom="1014" w:gutter="0" w:footer="0" w:header="0"/>
          <w:type w:val="continuous"/>
        </w:sectPr>
      </w:pPr>
    </w:p>
    <w:bookmarkStart w:id="65" w:name="page66"/>
    <w:bookmarkEnd w:id="6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
        <w:spacing w:after="0" w:line="281" w:lineRule="auto"/>
        <w:rPr>
          <w:sz w:val="20"/>
          <w:szCs w:val="20"/>
          <w:color w:val="auto"/>
        </w:rPr>
      </w:pPr>
      <w:r>
        <w:rPr>
          <w:rFonts w:ascii="Times New Roman" w:cs="Times New Roman" w:eastAsia="Times New Roman" w:hAnsi="Times New Roman"/>
          <w:sz w:val="18"/>
          <w:szCs w:val="18"/>
          <w:color w:val="auto"/>
        </w:rPr>
        <w:t>personal monthly health insurance contributions that were in effect prior to such executives’ termination for up to 18 months following such executives’ termination date.</w:t>
      </w:r>
    </w:p>
    <w:p>
      <w:pPr>
        <w:spacing w:after="0" w:line="1" w:lineRule="exact"/>
        <w:rPr>
          <w:sz w:val="20"/>
          <w:szCs w:val="20"/>
          <w:color w:val="auto"/>
        </w:rPr>
      </w:pPr>
    </w:p>
    <w:p>
      <w:pPr>
        <w:ind w:left="500" w:hanging="492"/>
        <w:spacing w:after="0" w:line="281" w:lineRule="auto"/>
        <w:tabs>
          <w:tab w:leader="none" w:pos="4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information on vested and deferred restricted stock units, see the Nonqualified Deferred Compensation table. The value of vested awards is not included in this table. Mr. De Witte did not have deferred RSUs at December 31, 2021.</w:t>
      </w:r>
    </w:p>
    <w:p>
      <w:pPr>
        <w:spacing w:after="0" w:line="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De Witte, the amount shown represents the interest on his severance payment (cash severance plus premium cost for health benefits) if it is required to be delayed for six months because of the application of section 409A of the Code, with such interest applied at the rate of .33% compounded monthly.</w:t>
      </w:r>
    </w:p>
    <w:p>
      <w:pPr>
        <w:spacing w:after="0" w:line="1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De Witte did not have unvested equity awards at December 31, 2021.</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CEO Pay Ratio Disclosure</w:t>
      </w:r>
    </w:p>
    <w:p>
      <w:pPr>
        <w:spacing w:after="0" w:line="12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is permitted under the SEC rules, we identified a new estimated median employee because we reasonably believe the Extremity Orthopedics divestiture and ACell acquisition would result in a significant change in our pay ratio disclosure for 2021.</w:t>
      </w:r>
    </w:p>
    <w:p>
      <w:pPr>
        <w:spacing w:after="0" w:line="54"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approach in determining the median employee remains consistent with prior years. We chose our Determination Date using our employee population as of October 1, 2021. We chose to use as our Consistently Applied Compensation Measure full year actual 2021 base pay earnings, bonus, commission and overtime. We annualized pay for those who were hired in 2021. We excluded all employees in Mexico (8 employees) and all employees in Ireland (153 employees) because they account for 5% or less of Integra’s total U.S. and non-U.S. employee population. By excluding these employees, we reduced the total number of our US and non-US employees considered in determining the median employee from 3,754 to 3,593. We selected the median employee from this population and determined that person’s Summary Compensation table total compensation was $81,129. In a CEO transition year, the SEC rules provide two options in calculating the CEO pay ratio: combining the two CEOs' compensation as shown in the Summary Compensation Table or use the individual serving as CEO on the date we selected to identify the median employee (our Determination Date of October 1, 2021) and annualize the compensation. As permitted by SEC rules, we selected Mr. Arduini as our CEO since he was CEO on October 1, 2021 (Determination Date). Mr. Arduini's annualized compensation is $9,896,755. The ratio of CEO pay to median worker is 122:1. It should be noted that our CEO Pay Ratio is higher than last year's CEO pay ratio (104:1) given this is a CEO transition year. Please refer to the Compensation Discussion &amp; Analysis for the discussion on Mr. Arduini's compensation.</w:t>
      </w:r>
    </w:p>
    <w:p>
      <w:pPr>
        <w:spacing w:after="0" w:line="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our pay ratio disclosure is a reasonable estimate. In addition,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pacing w:after="0" w:line="28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Board of Directors believes that providing competitive compensation is necessary to attract and retain qualified non-employee directors. The key components of non-employee director compensation are an annual equity grant and an annual retainer.</w:t>
      </w:r>
    </w:p>
    <w:p>
      <w:pPr>
        <w:spacing w:after="0" w:line="52"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The compensation of directors during 2021 was for the compensation payable during the period beginning with the Company’s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Meeting of Stockholders on May 14, 2021 and ending with the Company’s 2022 Annual Meeting of Stockholders on May 13, 2022.</w:t>
      </w:r>
    </w:p>
    <w:p>
      <w:pPr>
        <w:spacing w:after="0" w:line="5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compensation for their service during the period beginning with the Company’s 2021 Annual Meeting of Stockholders, non-employee directors received an annual equity grant in the form of restricted stock with a fair market value on the date of grant of $205,000 (or $245,000 for the Chairman). Directors were slated to receive an annual retainer of $75,000,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$25,000 for the Presiding Director and (6) $75,000 for the Chairman. No additional cash fees or retainers were paid to any of the director who served as members of the CEO Search Committee.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428"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 pays reasonable travel and out-of-pocket expenses incurred by non-employee directors in connection with attendance at meetings to transact business of the Company or attendance at meetings of the Board of Directors or any committee thereof.</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details of the total compensation for non-employee directors in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460" w:type="dxa"/>
            <w:vAlign w:val="bottom"/>
          </w:tcPr>
          <w:p>
            <w:pPr>
              <w:spacing w:after="0"/>
              <w:rPr>
                <w:sz w:val="14"/>
                <w:szCs w:val="14"/>
                <w:color w:val="auto"/>
              </w:rPr>
            </w:pPr>
          </w:p>
        </w:tc>
      </w:tr>
      <w:tr>
        <w:trPr>
          <w:trHeight w:val="162"/>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Awards(1)(2)</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Awards(3)(4)</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r>
      <w:tr>
        <w:trPr>
          <w:trHeight w:val="23"/>
        </w:trPr>
        <w:tc>
          <w:tcPr>
            <w:tcW w:w="3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Rhonda Germany Ballintyn</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280,045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280,045</w:t>
            </w: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Bradley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75,000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205,008</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280,008</w:t>
            </w:r>
          </w:p>
        </w:tc>
      </w:tr>
      <w:tr>
        <w:trPr>
          <w:trHeight w:val="27"/>
        </w:trPr>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Stuart M. Essig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250,030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400,030</w:t>
            </w: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Barbara B. Hill</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40,000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280,045</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320,045</w:t>
            </w:r>
          </w:p>
        </w:tc>
      </w:tr>
      <w:tr>
        <w:trPr>
          <w:trHeight w:val="27"/>
        </w:trPr>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Shaundra D. Clay*</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284,576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284,576</w:t>
            </w: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Donald E. Morel, Jr.</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52,500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242,527</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295,027</w:t>
            </w:r>
          </w:p>
        </w:tc>
      </w:tr>
      <w:tr>
        <w:trPr>
          <w:trHeight w:val="27"/>
        </w:trPr>
        <w:tc>
          <w:tcPr>
            <w:tcW w:w="3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Raymond G. Murphy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57,500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242,527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300,027</w:t>
            </w: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Christian S. Schade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52,500</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242,527</w:t>
            </w:r>
          </w:p>
        </w:tc>
        <w:tc>
          <w:tcPr>
            <w:tcW w:w="100" w:type="dxa"/>
            <w:vAlign w:val="bottom"/>
          </w:tcPr>
          <w:p>
            <w:pPr>
              <w:spacing w:after="0"/>
              <w:rPr>
                <w:sz w:val="21"/>
                <w:szCs w:val="2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295,027</w:t>
            </w:r>
          </w:p>
        </w:tc>
      </w:tr>
      <w:tr>
        <w:trPr>
          <w:trHeight w:val="338"/>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pacing w:after="0" w:line="36" w:lineRule="exact"/>
        <w:rPr>
          <w:sz w:val="20"/>
          <w:szCs w:val="20"/>
          <w:color w:val="auto"/>
        </w:rPr>
      </w:pPr>
    </w:p>
    <w:p>
      <w:pPr>
        <w:ind w:left="500" w:hanging="492"/>
        <w:spacing w:after="0" w:line="282" w:lineRule="auto"/>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reflects the aggregate grant date fair value computed in accordance with FASB ASC Topic 718, based on the closing price of the Company’s common stock on the grant date.</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awards outstanding as of December 31, 2021 for each director consisted of restricted shares of common stock, as follows: Rhonda Germany Ballintyn — 3,956; Keith Bradley — 2,896; Shaundra D. Clay — 4,020; Stuart M. Essig — 3,532; Barbara B. Hill — 3,956; Donald E. Morel, Jr. — 3,426; Raymond G. Murphy — 3,426; and Christian S. Schade — 3,426.</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10, “Stock-Based Compensation,” to our consolidated financial statements included in our Annual Report on Form 10-K for the year ended December 31, 2021.</w:t>
      </w:r>
    </w:p>
    <w:p>
      <w:pPr>
        <w:spacing w:after="0" w:line="71" w:lineRule="exact"/>
        <w:rPr>
          <w:rFonts w:ascii="Times New Roman" w:cs="Times New Roman" w:eastAsia="Times New Roman" w:hAnsi="Times New Roman"/>
          <w:sz w:val="18"/>
          <w:szCs w:val="18"/>
          <w:color w:val="auto"/>
        </w:rPr>
      </w:pPr>
    </w:p>
    <w:p>
      <w:pPr>
        <w:jc w:val="both"/>
        <w:ind w:left="500" w:right="20" w:hanging="492"/>
        <w:spacing w:after="0" w:line="261" w:lineRule="auto"/>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options held by each director as of December 31, 2021 was as follows: Rhonda Germany Ballintyn— 0; Keith Bradley — 0; Shaundra D. Clay — 0; Stuart M. Essig — 0; Barbara B. Hill — 0; Donald E. Morel, Jr. — 0; Raymond G. Murphy — 0; and Christian S. Schade</w:t>
      </w:r>
    </w:p>
    <w:p>
      <w:pPr>
        <w:ind w:left="500"/>
        <w:spacing w:after="0"/>
        <w:rPr>
          <w:sz w:val="20"/>
          <w:szCs w:val="20"/>
          <w:color w:val="auto"/>
        </w:rPr>
      </w:pPr>
      <w:r>
        <w:rPr>
          <w:rFonts w:ascii="Times New Roman" w:cs="Times New Roman" w:eastAsia="Times New Roman" w:hAnsi="Times New Roman"/>
          <w:sz w:val="18"/>
          <w:szCs w:val="18"/>
          <w:color w:val="auto"/>
        </w:rPr>
        <w:t>— 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44" w:lineRule="exact"/>
        <w:rPr>
          <w:sz w:val="20"/>
          <w:szCs w:val="20"/>
          <w:color w:val="auto"/>
        </w:rPr>
      </w:pPr>
    </w:p>
    <w:p>
      <w:pPr>
        <w:ind w:left="340" w:right="320" w:hanging="324"/>
        <w:spacing w:after="0" w:line="266" w:lineRule="auto"/>
        <w:rPr>
          <w:sz w:val="20"/>
          <w:szCs w:val="20"/>
          <w:color w:val="auto"/>
        </w:rPr>
      </w:pPr>
      <w:r>
        <w:rPr>
          <w:rFonts w:ascii="Times New Roman" w:cs="Times New Roman" w:eastAsia="Times New Roman" w:hAnsi="Times New Roman"/>
          <w:sz w:val="18"/>
          <w:szCs w:val="18"/>
          <w:color w:val="auto"/>
        </w:rPr>
        <w:t>* Ms. Clay was elected to the Board of Directors on April 1, 2021. The amounts above includes the payment to Ms. Clay of the 2020 annual retainer, which retainer is described in the Company's definitive proxy statement filed with the SEC on April 9, 2021, pro-rated based on her election as of April 1, 2021.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2021 regarding existing compensation plans (including individual compensation arrangements) under which equity securities of the Company are authorized for issuance: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5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Number of Securities to</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5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be Issued Upon Exercise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jc w:val="center"/>
              <w:ind w:left="423"/>
              <w:spacing w:after="0"/>
              <w:rPr>
                <w:sz w:val="20"/>
                <w:szCs w:val="20"/>
                <w:color w:val="auto"/>
              </w:rPr>
            </w:pPr>
            <w:r>
              <w:rPr>
                <w:rFonts w:ascii="Times New Roman" w:cs="Times New Roman" w:eastAsia="Times New Roman" w:hAnsi="Times New Roman"/>
                <w:sz w:val="14"/>
                <w:szCs w:val="14"/>
                <w:b w:val="1"/>
                <w:bCs w:val="1"/>
                <w:color w:val="auto"/>
              </w:rPr>
              <w:t>Future Issuance Under</w:t>
            </w:r>
          </w:p>
        </w:tc>
        <w:tc>
          <w:tcPr>
            <w:tcW w:w="50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of Outstanding Options,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Equity Compensation</w:t>
            </w:r>
          </w:p>
        </w:tc>
        <w:tc>
          <w:tcPr>
            <w:tcW w:w="500" w:type="dxa"/>
            <w:vAlign w:val="bottom"/>
          </w:tcPr>
          <w:p>
            <w:pPr>
              <w:spacing w:after="0"/>
              <w:rPr>
                <w:sz w:val="14"/>
                <w:szCs w:val="14"/>
                <w:color w:val="auto"/>
              </w:rPr>
            </w:pPr>
          </w:p>
        </w:tc>
      </w:tr>
      <w:tr>
        <w:trPr>
          <w:trHeight w:val="19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20" w:type="dxa"/>
            <w:vAlign w:val="bottom"/>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rPr>
              <w:t>Plans(1)</w:t>
            </w:r>
          </w:p>
        </w:tc>
        <w:tc>
          <w:tcPr>
            <w:tcW w:w="500" w:type="dxa"/>
            <w:vAlign w:val="bottom"/>
          </w:tcPr>
          <w:p>
            <w:pPr>
              <w:spacing w:after="0"/>
              <w:rPr>
                <w:sz w:val="16"/>
                <w:szCs w:val="16"/>
                <w:color w:val="auto"/>
              </w:rPr>
            </w:pPr>
          </w:p>
        </w:tc>
      </w:tr>
      <w:tr>
        <w:trPr>
          <w:trHeight w:val="23"/>
        </w:trPr>
        <w:tc>
          <w:tcPr>
            <w:tcW w:w="2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18"/>
        </w:trPr>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2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41"/>
        </w:trPr>
        <w:tc>
          <w:tcPr>
            <w:tcW w:w="3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w:t>
            </w:r>
          </w:p>
        </w:tc>
        <w:tc>
          <w:tcPr>
            <w:tcW w:w="2220" w:type="dxa"/>
            <w:vAlign w:val="bottom"/>
            <w:tcBorders>
              <w:bottom w:val="single" w:sz="8" w:color="CCEEFF"/>
            </w:tcBorders>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2,337,043</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45.11</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2180" w:type="dxa"/>
            <w:vAlign w:val="bottom"/>
            <w:tcBorders>
              <w:bottom w:val="single" w:sz="8" w:color="CCEEFF"/>
            </w:tcBorders>
            <w:shd w:val="clear" w:color="auto" w:fill="CCEEFF"/>
          </w:tcPr>
          <w:p>
            <w:pPr>
              <w:jc w:val="right"/>
              <w:ind w:right="703"/>
              <w:spacing w:after="0"/>
              <w:rPr>
                <w:sz w:val="20"/>
                <w:szCs w:val="20"/>
                <w:color w:val="auto"/>
              </w:rPr>
            </w:pPr>
            <w:r>
              <w:rPr>
                <w:rFonts w:ascii="Times New Roman" w:cs="Times New Roman" w:eastAsia="Times New Roman" w:hAnsi="Times New Roman"/>
                <w:sz w:val="18"/>
                <w:szCs w:val="18"/>
                <w:color w:val="auto"/>
              </w:rPr>
              <w:t>5,487,676</w:t>
            </w:r>
          </w:p>
        </w:tc>
        <w:tc>
          <w:tcPr>
            <w:tcW w:w="5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rPr>
              <w:t>2,337,043</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Pr>
          <w:p>
            <w:pPr>
              <w:jc w:val="right"/>
              <w:ind w:right="922"/>
              <w:spacing w:after="0"/>
              <w:rPr>
                <w:sz w:val="20"/>
                <w:szCs w:val="20"/>
                <w:color w:val="auto"/>
              </w:rPr>
            </w:pPr>
            <w:r>
              <w:rPr>
                <w:rFonts w:ascii="Times New Roman" w:cs="Times New Roman" w:eastAsia="Times New Roman" w:hAnsi="Times New Roman"/>
                <w:sz w:val="18"/>
                <w:szCs w:val="18"/>
                <w:color w:val="auto"/>
              </w:rPr>
              <w:t>45.11</w:t>
            </w: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80" w:type="dxa"/>
            <w:vAlign w:val="bottom"/>
          </w:tcPr>
          <w:p>
            <w:pPr>
              <w:jc w:val="right"/>
              <w:ind w:right="703"/>
              <w:spacing w:after="0"/>
              <w:rPr>
                <w:sz w:val="20"/>
                <w:szCs w:val="20"/>
                <w:color w:val="auto"/>
              </w:rPr>
            </w:pPr>
            <w:r>
              <w:rPr>
                <w:rFonts w:ascii="Times New Roman" w:cs="Times New Roman" w:eastAsia="Times New Roman" w:hAnsi="Times New Roman"/>
                <w:sz w:val="18"/>
                <w:szCs w:val="18"/>
                <w:color w:val="auto"/>
              </w:rPr>
              <w:t>5,487,676</w:t>
            </w:r>
          </w:p>
        </w:tc>
        <w:tc>
          <w:tcPr>
            <w:tcW w:w="500" w:type="dxa"/>
            <w:vAlign w:val="bottom"/>
          </w:tcPr>
          <w:p>
            <w:pPr>
              <w:spacing w:after="0"/>
              <w:rPr>
                <w:sz w:val="21"/>
                <w:szCs w:val="21"/>
                <w:color w:val="auto"/>
              </w:rPr>
            </w:pPr>
          </w:p>
        </w:tc>
      </w:tr>
      <w:tr>
        <w:trPr>
          <w:trHeight w:val="32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36" w:lineRule="exact"/>
        <w:rPr>
          <w:sz w:val="20"/>
          <w:szCs w:val="20"/>
          <w:color w:val="auto"/>
        </w:rPr>
      </w:pPr>
    </w:p>
    <w:p>
      <w:pPr>
        <w:ind w:left="480" w:hanging="472"/>
        <w:spacing w:after="0"/>
        <w:tabs>
          <w:tab w:leader="none" w:pos="4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securities to be issued upon the exercise of outstanding options, warrants and rights.</w:t>
      </w:r>
    </w:p>
    <w:p>
      <w:pPr>
        <w:spacing w:after="0" w:line="15" w:lineRule="exact"/>
        <w:rPr>
          <w:rFonts w:ascii="Times New Roman" w:cs="Times New Roman" w:eastAsia="Times New Roman" w:hAnsi="Times New Roman"/>
          <w:sz w:val="18"/>
          <w:szCs w:val="18"/>
          <w:color w:val="auto"/>
        </w:rPr>
      </w:pPr>
    </w:p>
    <w:p>
      <w:pPr>
        <w:ind w:left="500" w:right="240" w:hanging="492"/>
        <w:spacing w:after="0" w:line="226" w:lineRule="auto"/>
        <w:tabs>
          <w:tab w:leader="none" w:pos="49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Consists of (a) 72,053 shares of common stock underlying unvested Restricted Stock Units, (b) There is no common stock underlying outstanding unvested contract stock, (c) 367,081 shares of common stock underlying outstanding unvested options, (d) 446,600 shares underlying unvested Performance Stock Units, (e) 42,364 shares underlying vested and deferred Performance Stock Units, (f) 550,829 shares underlying vested and deferred contract stock and</w:t>
      </w: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428" w:right="339" w:bottom="1440" w:gutter="0" w:footer="0" w:header="0"/>
          <w:type w:val="continuous"/>
        </w:sectPr>
      </w:pPr>
    </w:p>
    <w:bookmarkStart w:id="67" w:name="page68"/>
    <w:bookmarkEnd w:id="6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0" w:right="80"/>
        <w:spacing w:after="0" w:line="227" w:lineRule="auto"/>
        <w:rPr>
          <w:sz w:val="20"/>
          <w:szCs w:val="20"/>
          <w:color w:val="auto"/>
        </w:rPr>
      </w:pPr>
      <w:r>
        <w:rPr>
          <w:rFonts w:ascii="Times New Roman" w:cs="Times New Roman" w:eastAsia="Times New Roman" w:hAnsi="Times New Roman"/>
          <w:sz w:val="18"/>
          <w:szCs w:val="18"/>
          <w:color w:val="auto"/>
        </w:rPr>
        <w:t>(g) 858,116 shares of common stock underlying outstanding vested options. Of these amounts, the following securities are issuable under the 2003 Plan: (a) 72,053 shares of common stock underlying Restricted Stock Units, (b) 446,600 shares of common stock underlying outstanding Performance Stock Units, (c) 42,364 shares underlying vested and deferred Performance Stock Units, (d) 550,829 shares of common stock underlying contract stock and (e) 1,255,197 shares of common stock underlying outstanding options. Performance Stock Units granted in March 2019 and March 2020 which are vesting in March 2022 are calculated at 150% of target. Performance Stock Units granted in March 2021 which are vesting in March 2022 are calculated at 200% of target.</w:t>
      </w:r>
    </w:p>
    <w:p>
      <w:pPr>
        <w:spacing w:after="0" w:line="80" w:lineRule="exact"/>
        <w:rPr>
          <w:sz w:val="20"/>
          <w:szCs w:val="20"/>
          <w:color w:val="auto"/>
        </w:rPr>
      </w:pPr>
    </w:p>
    <w:p>
      <w:pPr>
        <w:ind w:left="480" w:hanging="472"/>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Excluding the Restricted Stock Units, Performance Stock Units and contract stock, the weighted average exercise price is $45.11.</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1,985,154 shares of common stock which remain available for issuance under the Employee Stock Purchase Plan and, 3,502,522 shares which remain available for issuance under the 2000, 2001 and 2003 Equity Incentive Plans, including 3,501,728shares under the 2003 Plan.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Ms. Germany Ballintyn and Dr. Bradley and Dr. Morel are the current members of the Compensation Committee. Lloyd Howell served on the Compensation Committee prior to his resignation as a director on February 26, 2021 and Ms. Hill served on the Compensation Committee prior to the appointment of Dr. Bradley to the Compensation Committee following the conclusion of the 2021 Annual Meeting. None of our Compensation Committee members currently serves, nor did they ever serve, as an officer or employee or former officer of the Company or had any relationship requiring disclosure herein pursuant to Securities and Exchange Commission regulations. No executive officer of the Company served as a member of a Compensation Committee or a director of another entity under circumstances requiring disclosure under Securities and Exchange Commission regulations.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28" w:right="33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3040" w:firstLine="3050"/>
        <w:spacing w:after="0" w:line="377"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Review and Approval of Related Person Transactions</w:t>
      </w:r>
    </w:p>
    <w:p>
      <w:pPr>
        <w:spacing w:after="0" w:line="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spacing w:after="0" w:line="68" w:lineRule="exact"/>
        <w:rPr>
          <w:sz w:val="20"/>
          <w:szCs w:val="20"/>
          <w:color w:val="auto"/>
        </w:rPr>
      </w:pPr>
    </w:p>
    <w:p>
      <w:pPr>
        <w:ind w:left="500" w:firstLine="480"/>
        <w:spacing w:after="0" w:line="282" w:lineRule="auto"/>
        <w:tabs>
          <w:tab w:leader="none" w:pos="130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since the beginning of the Company’s last fiscal year was, a director or executive officer of the Company or a nominee to become a director of the Company;</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to be the beneficial owner of more than 5% of any class of the Company’s voting securities;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and</w:t>
      </w:r>
    </w:p>
    <w:p>
      <w:pPr>
        <w:spacing w:after="0" w:line="117" w:lineRule="exact"/>
        <w:rPr>
          <w:rFonts w:ascii="Times New Roman" w:cs="Times New Roman" w:eastAsia="Times New Roman" w:hAnsi="Times New Roman"/>
          <w:sz w:val="18"/>
          <w:szCs w:val="18"/>
          <w:color w:val="auto"/>
        </w:rPr>
      </w:pPr>
    </w:p>
    <w:p>
      <w:pPr>
        <w:ind w:left="500" w:firstLine="480"/>
        <w:spacing w:after="0" w:line="282" w:lineRule="auto"/>
        <w:tabs>
          <w:tab w:leader="none" w:pos="130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employed or is a partner or principal or in a similar position or in which such person has a 5% or greater beneficial ownership interest.</w:t>
      </w:r>
    </w:p>
    <w:p>
      <w:pPr>
        <w:spacing w:after="0" w:line="5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the Company’s legal department determines that a proposed transaction is a transaction for which approval is required under applicable rules and regulations of the Securities and Exchange Commission, the proposed transaction shall be submitted to the Audit Committee for consideration.</w:t>
      </w:r>
    </w:p>
    <w:p>
      <w:pPr>
        <w:spacing w:after="0" w:line="5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Audit Committee will consider all of the relevant facts and circumstances available to the Committee, including (if applicable) but not limited to, the benefits to the Company;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w:t>
      </w:r>
    </w:p>
    <w:p>
      <w:pPr>
        <w:spacing w:after="0" w:line="108" w:lineRule="exact"/>
        <w:rPr>
          <w:sz w:val="20"/>
          <w:szCs w:val="20"/>
          <w:color w:val="auto"/>
        </w:rPr>
      </w:pPr>
    </w:p>
    <w:p>
      <w:pPr>
        <w:ind w:right="340" w:firstLine="486"/>
        <w:spacing w:after="0" w:line="236" w:lineRule="auto"/>
        <w:rPr>
          <w:sz w:val="20"/>
          <w:szCs w:val="20"/>
          <w:color w:val="auto"/>
        </w:rPr>
      </w:pPr>
      <w:r>
        <w:rPr>
          <w:rFonts w:ascii="Times New Roman" w:cs="Times New Roman" w:eastAsia="Times New Roman" w:hAnsi="Times New Roman"/>
          <w:sz w:val="18"/>
          <w:szCs w:val="18"/>
          <w:color w:val="auto"/>
        </w:rPr>
        <w:t>The Company leases its manufacturing facility in Plainsboro, New Jersey from Plainsboro Associates, a New Jersey general partnership. Ocirne, Inc., a subsidiary of Provco Industries, owns a 50% interest in Plainsboro Associates. Provco Industries is the corporate general partner of Tru St. Partnership LLP, a principal stockholder of the Company. The Company paid $295,626.22 for rent of this facility for 2021.</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428"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report of the Audit Committee is required by the rules of the Securities and Exchange Commission to be included in this Proxy Statement. This report shall not be deemed incorporated by reference into any filing under the Securities Act of 1933, as amended,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purpose of the Audit Committee is to oversee the Company’s accounting and financial reporting process and the audits of the Company’s financial statements. The Audit Committee operates pursuant to a Charter that the Board amended and restated on July 15, 2021, a copy of which is available on the Company’s website.</w:t>
      </w:r>
    </w:p>
    <w:p>
      <w:pPr>
        <w:spacing w:after="0" w:line="6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spacing w:after="0" w:line="7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2021. The Audit Committee has also discussed with the independent registered public accounting firm the matters required to be discussed by the applicable requirements of the Public Company Accounting Oversight Board.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spacing w:after="0" w:line="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the Board of Directors that the audited financial statements of the Company for the fiscal year ended December 31, 2021 be included in the Company’s Annual Report on Form 10-K for such fiscal year, as filed with the Securities and Exchange Commission on February 24, 2022.</w:t>
      </w:r>
    </w:p>
    <w:p>
      <w:pPr>
        <w:spacing w:after="0" w:line="12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The Audit Committee of the Board of Directors</w:t>
      </w:r>
    </w:p>
    <w:p>
      <w:pPr>
        <w:spacing w:after="0" w:line="200" w:lineRule="exact"/>
        <w:rPr>
          <w:sz w:val="20"/>
          <w:szCs w:val="20"/>
          <w:color w:val="auto"/>
        </w:rPr>
      </w:pPr>
    </w:p>
    <w:p>
      <w:pPr>
        <w:spacing w:after="0" w:line="334"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RAYMOND G. MURPHY (CHAIR)</w:t>
      </w:r>
    </w:p>
    <w:p>
      <w:pPr>
        <w:spacing w:after="0" w:line="6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SHAUNDRA D. CLAY</w:t>
      </w:r>
    </w:p>
    <w:p>
      <w:pPr>
        <w:spacing w:after="0" w:line="6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CHRISTIAN S. SCHADE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428"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February 28, 2022 by: (a) each person or entity known to the Company to be the beneficial owner of more than five percent of the outstanding shares of common stock, based upon Company records or statements filed with the Securities and Exchange Commission;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1100 Campus Road, Princeton, NJ 08540.</w:t>
      </w:r>
    </w:p>
    <w:p>
      <w:pPr>
        <w:spacing w:after="0" w:line="127" w:lineRule="exact"/>
        <w:rPr>
          <w:sz w:val="20"/>
          <w:szCs w:val="20"/>
          <w:color w:val="auto"/>
        </w:rPr>
      </w:pPr>
    </w:p>
    <w:tbl>
      <w:tblPr>
        <w:tblLayout w:type="fixed"/>
        <w:tblInd w:w="500" w:type="dxa"/>
        <w:tblCellMar>
          <w:top w:w="0" w:type="dxa"/>
          <w:left w:w="0" w:type="dxa"/>
          <w:bottom w:w="0" w:type="dxa"/>
          <w:right w:w="0" w:type="dxa"/>
        </w:tblCellMar>
      </w:tblPr>
      <w:tr>
        <w:trPr>
          <w:trHeight w:val="190"/>
        </w:trPr>
        <w:tc>
          <w:tcPr>
            <w:tcW w:w="3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3"/>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58"/>
        </w:trPr>
        <w:tc>
          <w:tcPr>
            <w:tcW w:w="3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ind w:left="432"/>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Right to</w:t>
            </w: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312"/>
              <w:spacing w:after="0" w:line="158" w:lineRule="exact"/>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8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Owned(1)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Acquire(2)</w:t>
            </w:r>
          </w:p>
        </w:tc>
        <w:tc>
          <w:tcPr>
            <w:tcW w:w="12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Class(3)</w:t>
            </w:r>
          </w:p>
        </w:tc>
      </w:tr>
      <w:tr>
        <w:trPr>
          <w:trHeight w:val="23"/>
        </w:trPr>
        <w:tc>
          <w:tcPr>
            <w:tcW w:w="3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3"/>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Carrie L. Anderson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34,056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68,483</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216,713</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739,188</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955,901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Rhonda G. Ballintyn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18,746</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Bradley, Ph.D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52,404</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28,154</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198,248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226,402</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Shaundra D. Clay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T. Davis, Jr.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22,151</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78,771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100,922</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 M. Essig, Ph.D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1,677,238</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1,677,238</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Barbara B. Hill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77,625</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77,625</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Donald E. Morel, Jr., Ph.D.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52,297</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McBreen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25,197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34,934</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G. Murphy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74,130</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Christian S. Schade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 De Witte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directors, nominees for director and</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w:t>
            </w: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1"/>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officers as a group (16 persons)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2,132,711</w:t>
            </w:r>
          </w:p>
        </w:tc>
        <w:tc>
          <w:tcPr>
            <w:tcW w:w="5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447,327</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2,580,038</w:t>
            </w: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5"/>
        </w:trPr>
        <w:tc>
          <w:tcPr>
            <w:tcW w:w="3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Tru St Partnership LP and</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Provco Leasing Corporation 795 E.</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Lancaster Avenue, Suite 200,</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Villanova, PA 19085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8,740,930</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8,740,930</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Wellington Management Group LLP co.</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Wellington</w:t>
            </w: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Management Company LLP 280</w:t>
            </w: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Congress Street</w:t>
            </w: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1"/>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Boston, MA 02210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9,915,400</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9,915,400</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2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Research &amp; Management Co.</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 Investors)</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333 South Hope Street Los Angeles,</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 90071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8,219,133</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8,219,133</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7"/>
        </w:trPr>
        <w:tc>
          <w:tcPr>
            <w:tcW w:w="3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5"/>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Vanguard Group 100 Vanguard</w:t>
            </w:r>
          </w:p>
        </w:tc>
        <w:tc>
          <w:tcPr>
            <w:tcW w:w="1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6"/>
        </w:trPr>
        <w:tc>
          <w:tcPr>
            <w:tcW w:w="3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Blvd., Malvern,</w:t>
            </w:r>
          </w:p>
        </w:tc>
        <w:tc>
          <w:tcPr>
            <w:tcW w:w="1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41"/>
        </w:trPr>
        <w:tc>
          <w:tcPr>
            <w:tcW w:w="31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 19355</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6,659,122</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6,659,122</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25"/>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Champlain Investment Partners, LLC</w:t>
            </w: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180 Battery</w:t>
            </w: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61"/>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Street, Suite 400 Burlington, VT 05401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5,694,837</w:t>
            </w:r>
          </w:p>
        </w:tc>
        <w:tc>
          <w:tcPr>
            <w:tcW w:w="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5,694,837</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r>
    </w:tbl>
    <w:p>
      <w:pPr>
        <w:spacing w:after="0" w:line="200" w:lineRule="exact"/>
        <w:rPr>
          <w:sz w:val="20"/>
          <w:szCs w:val="20"/>
          <w:color w:val="auto"/>
        </w:rPr>
      </w:pPr>
    </w:p>
    <w:p>
      <w:pPr>
        <w:sectPr>
          <w:pgSz w:w="11900" w:h="16838" w:orient="portrait"/>
          <w:cols w:equalWidth="0" w:num="1">
            <w:col w:w="11240"/>
          </w:cols>
          <w:pgMar w:left="320" w:top="428"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28" w:right="339" w:bottom="1440" w:gutter="0" w:footer="0" w:header="0"/>
          <w:type w:val="continuous"/>
        </w:sectPr>
      </w:pPr>
    </w:p>
    <w:bookmarkStart w:id="71" w:name="page72"/>
    <w:bookmarkEnd w:id="71"/>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500" w:type="dxa"/>
        <w:tblCellMar>
          <w:top w:w="0" w:type="dxa"/>
          <w:left w:w="0" w:type="dxa"/>
          <w:bottom w:w="0" w:type="dxa"/>
          <w:right w:w="0" w:type="dxa"/>
        </w:tblCellMar>
      </w:tblPr>
      <w:tr>
        <w:trPr>
          <w:trHeight w:val="225"/>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BlackRock, Inc. 55 East 52nd Street New</w:t>
            </w: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York,</w:t>
            </w:r>
          </w:p>
        </w:tc>
        <w:tc>
          <w:tcPr>
            <w:tcW w:w="10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61"/>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NY 10055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6,759,492</w:t>
            </w:r>
          </w:p>
        </w:tc>
        <w:tc>
          <w:tcPr>
            <w:tcW w:w="9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6,759,492</w:t>
            </w:r>
          </w:p>
        </w:tc>
        <w:tc>
          <w:tcPr>
            <w:tcW w:w="98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5"/>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Morgan Stanley 1585 Broadway New</w:t>
            </w: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61"/>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York, NY 10036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5,361,471</w:t>
            </w:r>
          </w:p>
        </w:tc>
        <w:tc>
          <w:tcPr>
            <w:tcW w:w="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5,361,471</w:t>
            </w:r>
          </w:p>
        </w:tc>
        <w:tc>
          <w:tcPr>
            <w:tcW w:w="9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63" w:lineRule="exact"/>
        <w:rPr>
          <w:sz w:val="20"/>
          <w:szCs w:val="20"/>
          <w:color w:val="auto"/>
        </w:rPr>
      </w:pPr>
    </w:p>
    <w:p>
      <w:pPr>
        <w:ind w:left="480" w:hanging="472"/>
        <w:spacing w:after="0"/>
        <w:tabs>
          <w:tab w:leader="none" w:pos="4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117" w:lineRule="exact"/>
        <w:rPr>
          <w:sz w:val="20"/>
          <w:szCs w:val="20"/>
          <w:color w:val="auto"/>
        </w:rPr>
      </w:pPr>
    </w:p>
    <w:p>
      <w:pPr>
        <w:ind w:left="480" w:hanging="472"/>
        <w:spacing w:after="0"/>
        <w:tabs>
          <w:tab w:leader="none" w:pos="4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Clay was appointed to the Board of Directors effective April 1, 2021.</w:t>
      </w:r>
    </w:p>
    <w:p>
      <w:pPr>
        <w:spacing w:after="0" w:line="117" w:lineRule="exact"/>
        <w:rPr>
          <w:sz w:val="20"/>
          <w:szCs w:val="20"/>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that may be acquired through stock option exercises, restricted stock units or performance stock.</w:t>
      </w:r>
    </w:p>
    <w:p>
      <w:pPr>
        <w:spacing w:after="0" w:line="11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not outstanding but deemed beneficially owned by virtue of the right of an individual to acquire them within 60 days of February 28, 2021 upon (i) the exercise of an option or other convertible security as well as (ii) the vesting of performance stock are treated as outstanding for purposes of determining beneficial ownership and the percentage beneficially owned by such individual.</w:t>
      </w:r>
    </w:p>
    <w:p>
      <w:pPr>
        <w:spacing w:after="0" w:line="6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2022, we had 83,243,825 shares of common stock outstanding.</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1,584 shares held by Ms. Germany Ballintyn’s spouse.</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375,617 shares held in a GRAT II and 400,000 shares held in GRAT III.</w:t>
      </w:r>
    </w:p>
    <w:p>
      <w:pPr>
        <w:spacing w:after="0" w:line="117" w:lineRule="exact"/>
        <w:rPr>
          <w:rFonts w:ascii="Times New Roman" w:cs="Times New Roman" w:eastAsia="Times New Roman" w:hAnsi="Times New Roman"/>
          <w:sz w:val="18"/>
          <w:szCs w:val="18"/>
          <w:color w:val="auto"/>
        </w:rPr>
      </w:pPr>
    </w:p>
    <w:p>
      <w:pPr>
        <w:ind w:left="500" w:hanging="492"/>
        <w:spacing w:after="0" w:line="282"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28,761 shares held by Mr. Murphy’s spouse in a revocable trust of which his spouse is trustee. Mr. Murphy disclaims beneficial ownership of these shares.</w:t>
      </w:r>
    </w:p>
    <w:p>
      <w:pPr>
        <w:spacing w:after="0" w:line="53" w:lineRule="exact"/>
        <w:rPr>
          <w:rFonts w:ascii="Times New Roman" w:cs="Times New Roman" w:eastAsia="Times New Roman" w:hAnsi="Times New Roman"/>
          <w:sz w:val="18"/>
          <w:szCs w:val="18"/>
          <w:color w:val="auto"/>
        </w:rPr>
      </w:pPr>
    </w:p>
    <w:p>
      <w:pPr>
        <w:jc w:val="both"/>
        <w:ind w:left="500" w:hanging="492"/>
        <w:spacing w:after="0" w:line="252"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Tru St Partnership LP (“Tru St”) may be deemed the beneficial owner of 8,740,930 shares of common stock. Provco Leasing Corporation (“Provco Leasing”) is the corporate general partner of Tru St. The foregoing information has been included solely in reliance upon, and without independent investigation of, the disclosures contained in the Schedule 13G/A filed by Tru St with the Securities and Exchange Commission on February 14, 2022.</w:t>
      </w:r>
    </w:p>
    <w:p>
      <w:pPr>
        <w:spacing w:after="0" w:line="1" w:lineRule="exact"/>
        <w:rPr>
          <w:rFonts w:ascii="Times New Roman" w:cs="Times New Roman" w:eastAsia="Times New Roman" w:hAnsi="Times New Roman"/>
          <w:sz w:val="18"/>
          <w:szCs w:val="18"/>
          <w:color w:val="auto"/>
        </w:rPr>
      </w:pPr>
    </w:p>
    <w:p>
      <w:pPr>
        <w:ind w:left="500" w:right="140" w:hanging="492"/>
        <w:spacing w:after="0" w:line="226"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Wellington Management Group LLP may be deemed the beneficial owner of 9,915,400 shares of common stock, consisting of shared voting power with respect to 8,755,175 of these shares and shared dispositive power with respect to the total 9,915,400 shares of common stock. The foregoing information has been included solely in reliance upon, and without independent investigation of, the disclosures contained in the Schedule 13G/A filed by Wellington Management Group LLP with the Securities and Exchange Commission on February 04, 2022.</w:t>
      </w:r>
    </w:p>
    <w:p>
      <w:pPr>
        <w:spacing w:after="0" w:line="77"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Research &amp; Management Co. (Global Investors) has sole voting power of 8,209,107 shares of the total 8,219,133 shares of common stock of which Global Investors may be deemed the beneficial owner. The foregoing information has been included solely in reliance upon, and without independent investigation of, the disclosures contained in the Schedule 13G/A filed by Capital Research Global Investors. with the Securities and Exchange Commission on February 11, 2022.</w:t>
      </w:r>
    </w:p>
    <w:p>
      <w:pPr>
        <w:spacing w:after="0" w:line="71" w:lineRule="exact"/>
        <w:rPr>
          <w:rFonts w:ascii="Times New Roman" w:cs="Times New Roman" w:eastAsia="Times New Roman" w:hAnsi="Times New Roman"/>
          <w:sz w:val="18"/>
          <w:szCs w:val="18"/>
          <w:color w:val="auto"/>
        </w:rPr>
      </w:pPr>
    </w:p>
    <w:p>
      <w:pPr>
        <w:jc w:val="both"/>
        <w:ind w:left="500" w:hanging="492"/>
        <w:spacing w:after="0" w:line="261" w:lineRule="auto"/>
        <w:tabs>
          <w:tab w:leader="none" w:pos="4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may be deemed the beneficial owner of 6,659,122 shares of common stock, consisting of shared voting power with respect to 34,066 of these shares and shared dispositive power with respect to 98,127 of these shares. The foregoing information has been included solely in reliance upon, and without independent investigation of, the disclosures contained in the Schedule 13G/A filed by The Vanguard Group with the Securities and Exchange Commission on February 10, 2022.</w:t>
      </w:r>
    </w:p>
    <w:p>
      <w:pPr>
        <w:spacing w:after="0" w:line="7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Champlain Investment Partners, LLC has sole voting power of 4,896,088 shares of the total 5,694,847 shares beneficially owned. The foregoing information has been included solely in reliance upon, and without independent investigation of, the disclosures contained in the Schedule 13G filed by Champlain Investment Partners, LLC with the Securities and Exchange Commission on February 11, 2022.</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Inc. has sole voting power of 6,545,995 shares of the total 6,759,492 shares of common stock of which BlackRock, Inc. may be deemed the beneficial owner. The foregoing information has been included solely in reliance upon, and without independent investigation of, the disclosures contained in the Schedule 13G/A filed by BlackRock, Inc. with the Securities and Exchange Commission on February 1, 2022.</w:t>
      </w:r>
    </w:p>
    <w:p>
      <w:pPr>
        <w:spacing w:after="0" w:line="67"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48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Morgan Stanley has sole voting power of 5,346,243 shares of the total 5,361,471 shares of common stock of which Morgan Stanley may be deemed to beneficially owned. The foregoing information has been included solely in reliance upon, and without independent investigation of, the disclosures contained in the Schedule 13G filed by Morgan Stanley with the Securities and Exchange Commission on February 11,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428"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Based solely upon a review of SEC filings, all Reporting Persons complied with these reporting requirements during 2021, except that, due to administrative oversight, each of (i) a Form 3 disclosing Ms. Clay's initial beneficial ownership of company securities and (ii) two Forms 4 for Trust Partnership each to report the contribution of common stock to an exchange fund, were not filed on a timely basis.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deadline for stockholders to submit proposals pursuant to Rule 14a-8 of the Exchange Act for inclusion in the Company’s proxy statement and form of proxy for the 2023 Annual Meeting of Stockholders is December 9, 2022. Such proposals must be sent to: Integra LifeSciences Holdings Corporation, 1100 Campus Road, Princeton, New Jersey 08540, Attention: Executive Vice President, Chief Legal Offer and Secretary. The date after which notice of a stockholder proposal submitted outside of the processes of Rule 14a-8 of the Exchange Act is considered untimely is December 9, 2022. If notice of a stockholder proposal submitted outside of the processes of Rule 14a-8 of the Exchange is received by the Company after December 9, 2022, then the Company’s proxy for the 2023 Annual Meeting of Stockholders may confer discretionary authority to vote on such matter without any discussion of such matter in the proxy statement for such annual meeting of stockholders.</w:t>
      </w:r>
    </w:p>
    <w:p>
      <w:pPr>
        <w:spacing w:after="0" w:line="8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Bylaws require, among other things, that a stockholder may present a proposal at the 2023 Annual Meeting that is not included in the proxy statement if proper written notice is received by our Executive Vice President, Chief Legal Officer and Secretary at our principal executive offices between January 13, 2023 and the close of business on February 13, 2023. The proposal must contain the specific information required by our Bylaws. You may obtain a copy of the Bylaws by writing to our Executive Vice President, Chief Legal Officer and Secretary.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428"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copy of the Company’s 2021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Finance and Nominating and Corporate Governance Committees are accessible via our website at www.integralife.com through the “Investors” link under the heading “Corporate Governance.” We intend to post any amendment or waiver to our Code of Conduct on our website within the time period required by the SEC.</w:t>
      </w:r>
    </w:p>
    <w:p>
      <w:pPr>
        <w:spacing w:after="0" w:line="71"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color w:val="auto"/>
        </w:rPr>
        <w:t>The Company, upon request, will furnish to record and beneficial holders of its common stock, free of charge, a copy of its Annual Report on Form 10-K (including financial statements and schedules, but without exhibits) for the fiscal year ended December 31, 2021 as filed with the Securities and Exchange Commission on February 24, 2022.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12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4"/>
          <w:szCs w:val="14"/>
          <w:color w:val="auto"/>
        </w:rPr>
        <w:t>RIC</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34290</wp:posOffset>
            </wp:positionV>
            <wp:extent cx="31032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Eric Schwartz</w:t>
      </w:r>
    </w:p>
    <w:p>
      <w:pPr>
        <w:spacing w:after="0" w:line="6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i w:val="1"/>
          <w:iCs w:val="1"/>
          <w:color w:val="auto"/>
        </w:rPr>
        <w:t>Executive Vice President, Chief Legal Officer and Secretary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08, 2022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428"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Non-GAAP Financial Measures</w:t>
      </w:r>
    </w:p>
    <w:p>
      <w:pPr>
        <w:spacing w:after="0" w:line="117" w:lineRule="exact"/>
        <w:rPr>
          <w:sz w:val="20"/>
          <w:szCs w:val="20"/>
          <w:color w:val="auto"/>
        </w:rPr>
      </w:pPr>
    </w:p>
    <w:p>
      <w:pPr>
        <w:ind w:right="5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The presentation of adjusted EBITDA and organic revenue in this Proxy Statement are critical for evaluating and understanding our executive compensation plans.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GAAP Net Income to EBITDA and Adjusted EBITDA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millions)</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adjustments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of non-GAAP adjustments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245.4</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Divestiture, acquisition and integration-related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product line charges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Litigation charges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COVID-19 related charges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debt non-cash interest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Expenses related to debt refinancing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of Non-GAAP adjustments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200.6</w:t>
            </w:r>
          </w:p>
        </w:tc>
        <w:tc>
          <w:tcPr>
            <w:tcW w:w="0" w:type="dxa"/>
            <w:vAlign w:val="bottom"/>
          </w:tcPr>
          <w:p>
            <w:pPr>
              <w:spacing w:after="0"/>
              <w:rPr>
                <w:sz w:val="1"/>
                <w:szCs w:val="1"/>
                <w:color w:val="auto"/>
              </w:rPr>
            </w:pPr>
          </w:p>
        </w:tc>
      </w:tr>
      <w:tr>
        <w:trPr>
          <w:trHeight w:val="23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334.5</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Reconciliations of GAAP Total Revenue to Organic Revenue EBITDA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60" w:type="dxa"/>
            <w:vAlign w:val="bottom"/>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3"/>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8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3"/>
        </w:trPr>
        <w:tc>
          <w:tcPr>
            <w:tcW w:w="7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Total Reported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1,542,448</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1,371,868</w:t>
            </w:r>
          </w:p>
        </w:tc>
        <w:tc>
          <w:tcPr>
            <w:tcW w:w="0" w:type="dxa"/>
            <w:vAlign w:val="bottom"/>
          </w:tcPr>
          <w:p>
            <w:pPr>
              <w:spacing w:after="0"/>
              <w:rPr>
                <w:sz w:val="1"/>
                <w:szCs w:val="1"/>
                <w:color w:val="auto"/>
              </w:rPr>
            </w:pPr>
          </w:p>
        </w:tc>
      </w:tr>
      <w:tr>
        <w:trPr>
          <w:trHeight w:val="24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adjustments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Impact of changes in currency exchange rates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contribution of revenues from acquisitions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65,438</w:t>
            </w:r>
          </w:p>
        </w:tc>
        <w:tc>
          <w:tcPr>
            <w:tcW w:w="460" w:type="dxa"/>
            <w:vAlign w:val="bottom"/>
          </w:tcPr>
          <w:p>
            <w:pPr>
              <w:jc w:val="right"/>
              <w:ind w:right="242"/>
              <w:spacing w:after="0"/>
              <w:rPr>
                <w:sz w:val="20"/>
                <w:szCs w:val="20"/>
                <w:color w:val="auto"/>
              </w:rPr>
            </w:pPr>
            <w:r>
              <w:rPr>
                <w:rFonts w:ascii="Times New Roman" w:cs="Times New Roman" w:eastAsia="Times New Roman" w:hAnsi="Times New Roman"/>
                <w:sz w:val="12"/>
                <w:szCs w:val="12"/>
                <w:color w:val="auto"/>
                <w:w w:val="99"/>
              </w:rPr>
              <w:t>(1)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contribution of revenues from divested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78,860</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contribution of revenues from discontinued products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11,759</w:t>
            </w:r>
          </w:p>
        </w:tc>
        <w:tc>
          <w:tcPr>
            <w:tcW w:w="46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Subtotal of non-GAAP adjustments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88,045</w:t>
            </w:r>
          </w:p>
        </w:tc>
        <w:tc>
          <w:tcPr>
            <w:tcW w:w="4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98,593</w:t>
            </w:r>
          </w:p>
        </w:tc>
        <w:tc>
          <w:tcPr>
            <w:tcW w:w="0" w:type="dxa"/>
            <w:vAlign w:val="bottom"/>
          </w:tcPr>
          <w:p>
            <w:pPr>
              <w:spacing w:after="0"/>
              <w:rPr>
                <w:sz w:val="1"/>
                <w:szCs w:val="1"/>
                <w:color w:val="auto"/>
              </w:rPr>
            </w:pPr>
          </w:p>
        </w:tc>
      </w:tr>
      <w:tr>
        <w:trPr>
          <w:trHeight w:val="30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Organic Revenues </w:t>
            </w:r>
            <w:r>
              <w:rPr>
                <w:rFonts w:ascii="Times New Roman" w:cs="Times New Roman" w:eastAsia="Times New Roman" w:hAnsi="Times New Roman"/>
                <w:sz w:val="23"/>
                <w:szCs w:val="23"/>
                <w:b w:val="1"/>
                <w:bCs w:val="1"/>
                <w:color w:val="auto"/>
                <w:vertAlign w:val="superscript"/>
              </w:rPr>
              <w:t>(2)</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1,454,403</w:t>
            </w:r>
          </w:p>
        </w:tc>
        <w:tc>
          <w:tcPr>
            <w:tcW w:w="460" w:type="dxa"/>
            <w:vAlign w:val="bottom"/>
          </w:tcPr>
          <w:p>
            <w:pPr>
              <w:spacing w:after="0"/>
              <w:rPr>
                <w:sz w:val="24"/>
                <w:szCs w:val="24"/>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1,273,275</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80" w:hanging="472"/>
        <w:spacing w:after="0"/>
        <w:tabs>
          <w:tab w:leader="none" w:pos="480"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revenues from ACell.</w:t>
      </w:r>
    </w:p>
    <w:p>
      <w:pPr>
        <w:spacing w:after="0" w:line="1" w:lineRule="exact"/>
        <w:rPr>
          <w:rFonts w:ascii="Times New Roman" w:cs="Times New Roman" w:eastAsia="Times New Roman" w:hAnsi="Times New Roman"/>
          <w:sz w:val="23"/>
          <w:szCs w:val="23"/>
          <w:color w:val="auto"/>
          <w:vertAlign w:val="superscript"/>
        </w:rPr>
      </w:pPr>
    </w:p>
    <w:p>
      <w:pPr>
        <w:ind w:left="500" w:right="660" w:hanging="492"/>
        <w:spacing w:after="0" w:line="219" w:lineRule="auto"/>
        <w:tabs>
          <w:tab w:leader="none" w:pos="488" w:val="left"/>
        </w:tabs>
        <w:numPr>
          <w:ilvl w:val="0"/>
          <w:numId w:val="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Organic revenues have been adjusted to exclude foreign currency (current period), acquisitions and to account for divested and discontinued products.</w:t>
      </w:r>
    </w:p>
    <w:p>
      <w:pPr>
        <w:sectPr>
          <w:pgSz w:w="11900" w:h="16838" w:orient="portrait"/>
          <w:cols w:equalWidth="0" w:num="1">
            <w:col w:w="11240"/>
          </w:cols>
          <w:pgMar w:left="320" w:top="428"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7058025</wp:posOffset>
            </wp:positionV>
            <wp:extent cx="745490" cy="11226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45490" cy="1122680"/>
                    </a:xfrm>
                    <a:prstGeom prst="rect">
                      <a:avLst/>
                    </a:prstGeom>
                    <a:noFill/>
                  </pic:spPr>
                </pic:pic>
              </a:graphicData>
            </a:graphic>
          </wp:anchor>
        </w:drawing>
      </w:r>
    </w:p>
    <w:p>
      <w:pPr>
        <w:sectPr>
          <w:pgSz w:w="11900" w:h="16838" w:orient="portrait"/>
          <w:cols w:equalWidth="0" w:num="1">
            <w:col w:w="10139"/>
          </w:cols>
          <w:pgMar w:left="320" w:top="4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Printed with</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Inks containing</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Soy and/or</w:t>
      </w:r>
    </w:p>
    <w:p>
      <w:pPr>
        <w:spacing w:after="0" w:line="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Vegetable oils</w:t>
      </w:r>
    </w:p>
    <w:p>
      <w:pPr>
        <w:sectPr>
          <w:pgSz w:w="11900" w:h="16838" w:orient="portrait"/>
          <w:cols w:equalWidth="0" w:num="1">
            <w:col w:w="10139"/>
          </w:cols>
          <w:pgMar w:left="320" w:top="428" w:right="1440" w:bottom="1440" w:gutter="0" w:footer="0" w:header="0"/>
          <w:type w:val="continuous"/>
        </w:sectPr>
      </w:pPr>
    </w:p>
    <w:bookmarkStart w:id="76" w:name="page77"/>
    <w:bookmarkEnd w:id="76"/>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902970</wp:posOffset>
            </wp:positionV>
            <wp:extent cx="5246370" cy="67894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p>
      <w:pPr>
        <w:sectPr>
          <w:pgSz w:w="11900" w:h="16838" w:orient="portrait"/>
          <w:cols w:equalWidth="0" w:num="1">
            <w:col w:w="10139"/>
          </w:cols>
          <w:pgMar w:left="320" w:top="428" w:right="1440"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902970</wp:posOffset>
            </wp:positionV>
            <wp:extent cx="5246370" cy="67894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46370" cy="6789420"/>
                    </a:xfrm>
                    <a:prstGeom prst="rect">
                      <a:avLst/>
                    </a:prstGeom>
                    <a:noFill/>
                  </pic:spPr>
                </pic:pic>
              </a:graphicData>
            </a:graphic>
          </wp:anchor>
        </w:drawing>
      </w:r>
    </w:p>
    <w:sectPr>
      <w:pgSz w:w="11900" w:h="16838" w:orient="portrait"/>
      <w:cols w:equalWidth="0" w:num="1">
        <w:col w:w="10139"/>
      </w:cols>
      <w:pgMar w:left="320" w:top="4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o"/>
      <w:numFmt w:val="bullet"/>
      <w:start w:val="1"/>
    </w:lvl>
  </w:abstractNum>
  <w:abstractNum w:abstractNumId="1">
    <w:nsid w:val="4353D0CD"/>
    <w:multiLevelType w:val="hybridMultilevel"/>
    <w:lvl w:ilvl="0">
      <w:lvlJc w:val="left"/>
      <w:lvlText w:val="x"/>
      <w:numFmt w:val="bullet"/>
      <w:start w:val="1"/>
    </w:lvl>
  </w:abstractNum>
  <w:abstractNum w:abstractNumId="2">
    <w:nsid w:val="B03E0C6"/>
    <w:multiLevelType w:val="hybridMultilevel"/>
    <w:lvl w:ilvl="0">
      <w:lvlJc w:val="left"/>
      <w:lvlText w:val="o"/>
      <w:numFmt w:val="bullet"/>
      <w:start w:val="1"/>
    </w:lvl>
  </w:abstractNum>
  <w:abstractNum w:abstractNumId="3">
    <w:nsid w:val="189A769B"/>
    <w:multiLevelType w:val="hybridMultilevel"/>
    <w:lvl w:ilvl="0">
      <w:lvlJc w:val="left"/>
      <w:lvlText w:val="%1."/>
      <w:numFmt w:val="decimal"/>
      <w:start w:val="2"/>
    </w:lvl>
  </w:abstractNum>
  <w:abstractNum w:abstractNumId="4">
    <w:nsid w:val="54E49EB4"/>
    <w:multiLevelType w:val="hybridMultilevel"/>
    <w:lvl w:ilvl="0">
      <w:lvlJc w:val="left"/>
      <w:lvlText w:val="(%1)"/>
      <w:numFmt w:val="lowerRoman"/>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Roman"/>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4"/>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bullet"/>
      <w:start w:val="1"/>
    </w:lvl>
  </w:abstractNum>
  <w:abstractNum w:abstractNumId="17">
    <w:nsid w:val="3006C83E"/>
    <w:multiLevelType w:val="hybridMultilevel"/>
    <w:lvl w:ilvl="0">
      <w:lvlJc w:val="left"/>
      <w:lvlText w:val="2"/>
      <w:numFmt w:val="bullet"/>
      <w:start w:val="1"/>
    </w:lvl>
  </w:abstractNum>
  <w:abstractNum w:abstractNumId="18">
    <w:nsid w:val="614FD4A1"/>
    <w:multiLevelType w:val="hybridMultilevel"/>
    <w:lvl w:ilvl="0">
      <w:lvlJc w:val="left"/>
      <w:lvlText w:val="3"/>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bullet"/>
      <w:start w:val="1"/>
    </w:lvl>
    <w:lvl w:ilvl="1">
      <w:lvlJc w:val="left"/>
      <w:lvlText w:val="(%2)"/>
      <w:numFmt w:val="lowerRoman"/>
      <w:start w:val="7"/>
    </w:lvl>
  </w:abstractNum>
  <w:abstractNum w:abstractNumId="22">
    <w:nsid w:val="5072367"/>
    <w:multiLevelType w:val="hybridMultilevel"/>
    <w:lvl w:ilvl="0">
      <w:lvlJc w:val="left"/>
      <w:lvlText w:val="1"/>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bullet"/>
      <w:start w:val="1"/>
    </w:lvl>
  </w:abstractNum>
  <w:abstractNum w:abstractNumId="25">
    <w:nsid w:val="7724C67E"/>
    <w:multiLevelType w:val="hybridMultilevel"/>
    <w:lvl w:ilvl="0">
      <w:lvlJc w:val="left"/>
      <w:lvlText w:val="(%1)"/>
      <w:numFmt w:val="lowerRoman"/>
      <w:start w:val="3"/>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1"/>
    </w:lvl>
  </w:abstractNum>
  <w:abstractNum w:abstractNumId="31">
    <w:nsid w:val="580BD78F"/>
    <w:multiLevelType w:val="hybridMultilevel"/>
    <w:lvl w:ilvl="0">
      <w:lvlJc w:val="left"/>
      <w:lvlText w:val="(%1)"/>
      <w:numFmt w:val="lowerLetter"/>
      <w:start w:val="1"/>
    </w:lvl>
  </w:abstractNum>
  <w:abstractNum w:abstractNumId="32">
    <w:nsid w:val="153EA438"/>
    <w:multiLevelType w:val="hybridMultilevel"/>
    <w:lvl w:ilvl="0">
      <w:lvlJc w:val="left"/>
      <w:lvlText w:val="(%1)"/>
      <w:numFmt w:val="decimal"/>
      <w:start w:val="2"/>
    </w:lvl>
  </w:abstractNum>
  <w:abstractNum w:abstractNumId="33">
    <w:nsid w:val="3855585C"/>
    <w:multiLevelType w:val="hybridMultilevel"/>
    <w:lvl w:ilvl="0">
      <w:lvlJc w:val="left"/>
      <w:lvlText w:val="(%1)"/>
      <w:numFmt w:val="decimal"/>
      <w:start w:val="3"/>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lowerLetter"/>
      <w:start w:val="2"/>
    </w:lvl>
  </w:abstractNum>
  <w:abstractNum w:abstractNumId="36">
    <w:nsid w:val="2A487CB0"/>
    <w:multiLevelType w:val="hybridMultilevel"/>
    <w:lvl w:ilvl="0">
      <w:lvlJc w:val="left"/>
      <w:lvlText w:val="(%1)"/>
      <w:numFmt w:val="lowerLetter"/>
      <w:start w:val="4"/>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2"/>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
      <w:numFmt w:val="bullet"/>
      <w:start w:val="1"/>
    </w:lvl>
    <w:lvl w:ilvl="1">
      <w:lvlJc w:val="left"/>
      <w:lvlText w:val="\emdash "/>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1)"/>
      <w:numFmt w:val="decimal"/>
      <w:start w:val="3"/>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
      <w:numFmt w:val="bullet"/>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2022-04-08T15:27:03Z</dcterms:created>
  <dcterms:modified xsi:type="dcterms:W3CDTF">2022-04-08T15:27:03Z</dcterms:modified>
</cp:coreProperties>
</file>