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3"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18" w:lineRule="exact"/>
        <w:rPr>
          <w:sz w:val="24"/>
          <w:szCs w:val="24"/>
          <w:color w:val="auto"/>
        </w:rPr>
      </w:pPr>
    </w:p>
    <w:p>
      <w:pPr>
        <w:ind w:left="720" w:hanging="469"/>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6" w:lineRule="exact"/>
        <w:rPr>
          <w:sz w:val="24"/>
          <w:szCs w:val="24"/>
          <w:color w:val="auto"/>
        </w:rPr>
      </w:pPr>
    </w:p>
    <w:p>
      <w:pPr>
        <w:ind w:left="720" w:hanging="469"/>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244" w:lineRule="exact"/>
        <w:rPr>
          <w:sz w:val="24"/>
          <w:szCs w:val="24"/>
          <w:color w:val="auto"/>
        </w:rPr>
      </w:pPr>
    </w:p>
    <w:p>
      <w:pPr>
        <w:ind w:left="394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040" w:type="dxa"/>
            <w:vAlign w:val="bottom"/>
          </w:tcPr>
          <w:p>
            <w:pPr>
              <w:jc w:val="center"/>
              <w:ind w:right="1579"/>
              <w:spacing w:after="0"/>
              <w:rPr>
                <w:sz w:val="20"/>
                <w:szCs w:val="20"/>
                <w:color w:val="auto"/>
              </w:rPr>
            </w:pPr>
            <w:r>
              <w:rPr>
                <w:rFonts w:ascii="Arial" w:cs="Arial" w:eastAsia="Arial" w:hAnsi="Arial"/>
                <w:sz w:val="18"/>
                <w:szCs w:val="18"/>
                <w:b w:val="1"/>
                <w:bCs w:val="1"/>
                <w:color w:val="auto"/>
                <w:w w:val="93"/>
              </w:rPr>
              <w:t>Delaware</w:t>
            </w:r>
          </w:p>
        </w:tc>
        <w:tc>
          <w:tcPr>
            <w:tcW w:w="320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80"/>
        </w:trPr>
        <w:tc>
          <w:tcPr>
            <w:tcW w:w="5040" w:type="dxa"/>
            <w:vAlign w:val="bottom"/>
          </w:tcPr>
          <w:p>
            <w:pPr>
              <w:jc w:val="center"/>
              <w:ind w:right="1579"/>
              <w:spacing w:after="0"/>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58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40" w:type="dxa"/>
            <w:vAlign w:val="bottom"/>
          </w:tcPr>
          <w:p>
            <w:pPr>
              <w:jc w:val="center"/>
              <w:ind w:right="1579"/>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5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79"/>
        </w:trPr>
        <w:tc>
          <w:tcPr>
            <w:tcW w:w="504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1100 Campus Road</w:t>
            </w:r>
          </w:p>
        </w:tc>
        <w:tc>
          <w:tcPr>
            <w:tcW w:w="3200" w:type="dxa"/>
            <w:vAlign w:val="bottom"/>
          </w:tcPr>
          <w:p>
            <w:pPr>
              <w:jc w:val="right"/>
              <w:ind w:right="461"/>
              <w:spacing w:after="0"/>
              <w:rPr>
                <w:sz w:val="20"/>
                <w:szCs w:val="20"/>
                <w:color w:val="auto"/>
              </w:rPr>
            </w:pPr>
            <w:r>
              <w:rPr>
                <w:rFonts w:ascii="Arial" w:cs="Arial" w:eastAsia="Arial" w:hAnsi="Arial"/>
                <w:sz w:val="18"/>
                <w:szCs w:val="18"/>
                <w:b w:val="1"/>
                <w:bCs w:val="1"/>
                <w:color w:val="auto"/>
              </w:rPr>
              <w:t>08540</w:t>
            </w:r>
          </w:p>
        </w:tc>
        <w:tc>
          <w:tcPr>
            <w:tcW w:w="0" w:type="dxa"/>
            <w:vAlign w:val="bottom"/>
          </w:tcPr>
          <w:p>
            <w:pPr>
              <w:spacing w:after="0"/>
              <w:rPr>
                <w:sz w:val="1"/>
                <w:szCs w:val="1"/>
                <w:color w:val="auto"/>
              </w:rPr>
            </w:pPr>
          </w:p>
        </w:tc>
      </w:tr>
      <w:tr>
        <w:trPr>
          <w:trHeight w:val="270"/>
        </w:trPr>
        <w:tc>
          <w:tcPr>
            <w:tcW w:w="5040" w:type="dxa"/>
            <w:vAlign w:val="bottom"/>
          </w:tcPr>
          <w:p>
            <w:pPr>
              <w:ind w:left="860"/>
              <w:spacing w:after="0"/>
              <w:rPr>
                <w:sz w:val="20"/>
                <w:szCs w:val="20"/>
                <w:color w:val="auto"/>
              </w:rPr>
            </w:pPr>
            <w:r>
              <w:rPr>
                <w:rFonts w:ascii="Arial" w:cs="Arial" w:eastAsia="Arial" w:hAnsi="Arial"/>
                <w:sz w:val="18"/>
                <w:szCs w:val="18"/>
                <w:b w:val="1"/>
                <w:bCs w:val="1"/>
                <w:color w:val="auto"/>
              </w:rPr>
              <w:t>Princeton , New Jersey</w:t>
            </w:r>
          </w:p>
        </w:tc>
        <w:tc>
          <w:tcPr>
            <w:tcW w:w="3200" w:type="dxa"/>
            <w:vAlign w:val="bottom"/>
            <w:vMerge w:val="restart"/>
          </w:tcPr>
          <w:p>
            <w:pPr>
              <w:jc w:val="center"/>
              <w:ind w:left="158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82"/>
        </w:trPr>
        <w:tc>
          <w:tcPr>
            <w:tcW w:w="5040" w:type="dxa"/>
            <w:vAlign w:val="bottom"/>
            <w:vMerge w:val="restart"/>
          </w:tcPr>
          <w:p>
            <w:pPr>
              <w:jc w:val="center"/>
              <w:ind w:right="1579"/>
              <w:spacing w:after="0"/>
              <w:rPr>
                <w:sz w:val="20"/>
                <w:szCs w:val="20"/>
                <w:color w:val="auto"/>
              </w:rPr>
            </w:pPr>
            <w:r>
              <w:rPr>
                <w:rFonts w:ascii="Arial" w:cs="Arial" w:eastAsia="Arial" w:hAnsi="Arial"/>
                <w:sz w:val="14"/>
                <w:szCs w:val="14"/>
                <w:b w:val="1"/>
                <w:bCs w:val="1"/>
                <w:color w:val="auto"/>
              </w:rPr>
              <w:t>(ADDRESS OF PRINCIPAL EXECUTIVE OFFICES)</w:t>
            </w: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4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9" w:right="339" w:bottom="1440" w:gutter="0" w:footer="0" w:header="0"/>
        </w:sectPr>
      </w:pPr>
    </w:p>
    <w:p>
      <w:pPr>
        <w:spacing w:after="0" w:line="275"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77" w:lineRule="exact"/>
        <w:rPr>
          <w:sz w:val="24"/>
          <w:szCs w:val="24"/>
          <w:color w:val="auto"/>
        </w:rPr>
      </w:pPr>
    </w:p>
    <w:p>
      <w:pPr>
        <w:sectPr>
          <w:pgSz w:w="11900" w:h="16838" w:orient="portrait"/>
          <w:cols w:equalWidth="0" w:num="3">
            <w:col w:w="3260" w:space="720"/>
            <w:col w:w="1720" w:space="720"/>
            <w:col w:w="4820"/>
          </w:cols>
          <w:pgMar w:left="320" w:top="269" w:right="3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IART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3820" w:space="720"/>
            <w:col w:w="2340" w:space="720"/>
            <w:col w:w="3640"/>
          </w:cols>
          <w:pgMar w:left="320" w:top="269" w:right="339" w:bottom="1440" w:gutter="0" w:footer="0" w:header="0"/>
          <w:type w:val="continuous"/>
        </w:sectPr>
      </w:pPr>
    </w:p>
    <w:p>
      <w:pPr>
        <w:spacing w:after="0" w:line="6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84" w:lineRule="exact"/>
        <w:tabs>
          <w:tab w:leader="none" w:pos="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4"/>
          <w:szCs w:val="24"/>
          <w:color w:val="auto"/>
        </w:rPr>
      </w:pPr>
    </w:p>
    <w:p>
      <w:pPr>
        <w:jc w:val="both"/>
        <w:ind w:right="2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69" w:right="3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2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62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94" w:lineRule="exact"/>
        <w:rPr>
          <w:sz w:val="20"/>
          <w:szCs w:val="20"/>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May 5, 2020 was 84,843,053.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240"/>
          </w:cols>
          <w:pgMar w:left="320" w:top="47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980" w:type="dxa"/>
            <w:vAlign w:val="bottom"/>
          </w:tcPr>
          <w:p>
            <w:pPr>
              <w:spacing w:after="0"/>
              <w:rPr>
                <w:sz w:val="17"/>
                <w:szCs w:val="17"/>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0"/>
        </w:trPr>
        <w:tc>
          <w:tcPr>
            <w:tcW w:w="998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33"/>
        </w:trPr>
        <w:tc>
          <w:tcPr>
            <w:tcW w:w="9980" w:type="dxa"/>
            <w:vAlign w:val="bottom"/>
            <w:vMerge w:val="restart"/>
          </w:tcPr>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PART I. FINANCIAL INFORMATION</w:t>
              </w:r>
            </w:hyperlink>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9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9980" w:type="dxa"/>
            <w:vAlign w:val="bottom"/>
          </w:tcPr>
          <w:p>
            <w:pPr>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Item 1. Financial Statements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EE"/>
                <w:w w:val="92"/>
              </w:rPr>
            </w:pPr>
            <w:hyperlink w:anchor="page4">
              <w:r>
                <w:rPr>
                  <w:rFonts w:ascii="Arial" w:cs="Arial" w:eastAsia="Arial" w:hAnsi="Arial"/>
                  <w:sz w:val="16"/>
                  <w:szCs w:val="16"/>
                  <w:u w:val="single" w:color="auto"/>
                  <w:color w:val="0000EE"/>
                  <w:w w:val="92"/>
                </w:rPr>
                <w:t>Condensed Consolidated Statements of Operations and Comprehensive Income/Loss for the three months ended March 31, 2020 and 2019 (Unaudited)</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Balance Sheets as of March 31, 2020 and December 31, 2019 (Unaudited)</w:t>
              </w:r>
            </w:hyperlink>
          </w:p>
        </w:tc>
        <w:tc>
          <w:tcPr>
            <w:tcW w:w="122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 for the three months ended March 31, 2020 and 2019 (Unaudited)</w:t>
              </w:r>
            </w:hyperlink>
          </w:p>
        </w:tc>
        <w:tc>
          <w:tcPr>
            <w:tcW w:w="122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Statements of Changes in Shareholder's Equity for the three months ended March 31, 2020 and 2019 (Unaudited)</w:t>
              </w:r>
            </w:hyperlink>
          </w:p>
        </w:tc>
        <w:tc>
          <w:tcPr>
            <w:tcW w:w="1220" w:type="dxa"/>
            <w:vAlign w:val="bottom"/>
          </w:tcPr>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Unaudited Condensed Consolidated Financial Statements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8</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2. Management’s Discussion and Analysis of Financial Condition and Results of Operations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Item 3. Quantitative and Qualitative Disclosures About Market Risk</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42</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Item 4. Controls and Procedures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42</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PART II. OTHER INFORMATION</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980" w:type="dxa"/>
            <w:vAlign w:val="bottom"/>
          </w:tcPr>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Item 1. Legal Proceedings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43</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Item 1A. Risk Factors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43</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2. Unregistered Sales of Equity Securities and Use of Proceeds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4. Mine Safety Disclosures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Item 5. Other Information</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432"/>
        </w:trPr>
        <w:tc>
          <w:tcPr>
            <w:tcW w:w="9980" w:type="dxa"/>
            <w:vAlign w:val="bottom"/>
          </w:tcPr>
          <w:p>
            <w:pPr>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6. Exhibits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46</w:t>
              </w:r>
            </w:hyperlink>
          </w:p>
        </w:tc>
        <w:tc>
          <w:tcPr>
            <w:tcW w:w="0" w:type="dxa"/>
            <w:vAlign w:val="bottom"/>
          </w:tcPr>
          <w:p>
            <w:pPr>
              <w:spacing w:after="0"/>
              <w:rPr>
                <w:sz w:val="1"/>
                <w:szCs w:val="1"/>
                <w:color w:val="auto"/>
              </w:rPr>
            </w:pPr>
          </w:p>
        </w:tc>
      </w:tr>
      <w:tr>
        <w:trPr>
          <w:trHeight w:val="378"/>
        </w:trPr>
        <w:tc>
          <w:tcPr>
            <w:tcW w:w="9980" w:type="dxa"/>
            <w:vAlign w:val="bottom"/>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SIGNATURES</w:t>
              </w:r>
            </w:hyperlink>
          </w:p>
        </w:tc>
        <w:tc>
          <w:tcPr>
            <w:tcW w:w="1220" w:type="dxa"/>
            <w:vAlign w:val="bottom"/>
          </w:tcPr>
          <w:p>
            <w:pPr>
              <w:jc w:val="right"/>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47</w:t>
              </w:r>
            </w:hyperlink>
          </w:p>
        </w:tc>
        <w:tc>
          <w:tcPr>
            <w:tcW w:w="0" w:type="dxa"/>
            <w:vAlign w:val="bottom"/>
          </w:tcPr>
          <w:p>
            <w:pPr>
              <w:spacing w:after="0"/>
              <w:rPr>
                <w:sz w:val="1"/>
                <w:szCs w:val="1"/>
                <w:color w:val="auto"/>
              </w:rPr>
            </w:pPr>
          </w:p>
        </w:tc>
      </w:tr>
      <w:tr>
        <w:trPr>
          <w:trHeight w:val="391"/>
        </w:trPr>
        <w:tc>
          <w:tcPr>
            <w:tcW w:w="9980" w:type="dxa"/>
            <w:vAlign w:val="bottom"/>
          </w:tcPr>
          <w:p>
            <w:pPr>
              <w:ind w:left="34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Exhibit 31.1</w:t>
              </w:r>
            </w:hyperlink>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Exhibit 31.2</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Exhibit 32.1</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Exhibit 32.2</w:t>
              </w:r>
            </w:hyperlink>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sz w:val="20"/>
                <w:szCs w:val="20"/>
                <w:color w:val="auto"/>
              </w:rPr>
            </w:pPr>
            <w:r>
              <w:rPr>
                <w:rFonts w:ascii="Arial" w:cs="Arial" w:eastAsia="Arial" w:hAnsi="Arial"/>
                <w:sz w:val="16"/>
                <w:szCs w:val="16"/>
                <w:color w:val="auto"/>
              </w:rPr>
              <w:t>EX-101 INSTANCE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sz w:val="20"/>
                <w:szCs w:val="20"/>
                <w:color w:val="auto"/>
              </w:rPr>
            </w:pPr>
            <w:r>
              <w:rPr>
                <w:rFonts w:ascii="Arial" w:cs="Arial" w:eastAsia="Arial" w:hAnsi="Arial"/>
                <w:sz w:val="16"/>
                <w:szCs w:val="16"/>
                <w:color w:val="auto"/>
              </w:rPr>
              <w:t>EX-101 SCHEMA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sz w:val="20"/>
                <w:szCs w:val="20"/>
                <w:color w:val="auto"/>
              </w:rPr>
            </w:pPr>
            <w:r>
              <w:rPr>
                <w:rFonts w:ascii="Arial" w:cs="Arial" w:eastAsia="Arial" w:hAnsi="Arial"/>
                <w:sz w:val="16"/>
                <w:szCs w:val="16"/>
                <w:color w:val="auto"/>
              </w:rPr>
              <w:t>EX-101 CALCULATION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sz w:val="20"/>
                <w:szCs w:val="20"/>
                <w:color w:val="auto"/>
              </w:rPr>
            </w:pPr>
            <w:r>
              <w:rPr>
                <w:rFonts w:ascii="Arial" w:cs="Arial" w:eastAsia="Arial" w:hAnsi="Arial"/>
                <w:sz w:val="16"/>
                <w:szCs w:val="16"/>
                <w:color w:val="auto"/>
              </w:rPr>
              <w:t>EX-101 DEFINITION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sz w:val="20"/>
                <w:szCs w:val="20"/>
                <w:color w:val="auto"/>
              </w:rPr>
            </w:pPr>
            <w:r>
              <w:rPr>
                <w:rFonts w:ascii="Arial" w:cs="Arial" w:eastAsia="Arial" w:hAnsi="Arial"/>
                <w:sz w:val="16"/>
                <w:szCs w:val="16"/>
                <w:color w:val="auto"/>
              </w:rPr>
              <w:t>EX-101 LABELS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980" w:type="dxa"/>
            <w:vAlign w:val="bottom"/>
          </w:tcPr>
          <w:p>
            <w:pPr>
              <w:ind w:left="340"/>
              <w:spacing w:after="0"/>
              <w:rPr>
                <w:sz w:val="20"/>
                <w:szCs w:val="20"/>
                <w:color w:val="auto"/>
              </w:rPr>
            </w:pPr>
            <w:r>
              <w:rPr>
                <w:rFonts w:ascii="Arial" w:cs="Arial" w:eastAsia="Arial" w:hAnsi="Arial"/>
                <w:sz w:val="16"/>
                <w:szCs w:val="16"/>
                <w:color w:val="auto"/>
              </w:rPr>
              <w:t>EX-101 PRESENTATION LINKBASE DOCUMENT</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354,324</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359,690</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133,476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128,912</w:t>
            </w: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20,816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18,321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165,952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174,870</w:t>
            </w: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6,977</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5,279</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327,221</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327,382</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27,103</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32,308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(17,752)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(13,149)</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3,236</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11,442</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24,823</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9,180</w:t>
            </w:r>
          </w:p>
        </w:tc>
        <w:tc>
          <w:tcPr>
            <w:tcW w:w="2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32,756</w:t>
            </w:r>
          </w:p>
        </w:tc>
      </w:tr>
      <w:tr>
        <w:trPr>
          <w:trHeight w:val="311"/>
        </w:trPr>
        <w:tc>
          <w:tcPr>
            <w:tcW w:w="8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8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13):</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85,188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85,343</w:t>
            </w:r>
          </w:p>
        </w:tc>
      </w:tr>
      <w:tr>
        <w:trPr>
          <w:trHeight w:val="243"/>
        </w:trPr>
        <w:tc>
          <w:tcPr>
            <w:tcW w:w="8320" w:type="dxa"/>
            <w:vAlign w:val="bottom"/>
          </w:tcPr>
          <w:p>
            <w:pPr>
              <w:ind w:left="5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85,892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86,258</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(See Note 14)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(19,007)</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21,520</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7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198,911</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$6,652 and $4,303</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245,546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275,296</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316,054</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67,332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67,907</w:t>
            </w:r>
          </w:p>
        </w:tc>
      </w:tr>
      <w:tr>
        <w:trPr>
          <w:trHeight w:val="3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1,008,672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858,168</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335,903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337,404</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94,530</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1,014,227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1,031,591</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951,554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954,280</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12,623</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14,644</w:t>
            </w:r>
          </w:p>
        </w:tc>
      </w:tr>
      <w:tr>
        <w:trPr>
          <w:trHeight w:val="283"/>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3,447,565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3,303,240</w:t>
            </w:r>
          </w:p>
        </w:tc>
      </w:tr>
      <w:tr>
        <w:trPr>
          <w:trHeight w:val="237"/>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Current portion of borrowings under senior credit facility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Current portion of lease liability - operating leases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12,964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12,253</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113,090</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4,772</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79,385</w:t>
            </w:r>
          </w:p>
        </w:tc>
      </w:tr>
      <w:tr>
        <w:trPr>
          <w:trHeight w:val="237"/>
        </w:trPr>
        <w:tc>
          <w:tcPr>
            <w:tcW w:w="774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75,970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76,809</w:t>
            </w:r>
          </w:p>
        </w:tc>
      </w:tr>
      <w:tr>
        <w:trPr>
          <w:trHeight w:val="3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246,485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331,309</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1,018,032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1,198,561</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securitization facility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104,500</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Long-term convertible securities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460,159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liability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97,504</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36,553</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158,037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118,077</w:t>
            </w:r>
          </w:p>
        </w:tc>
      </w:tr>
      <w:tr>
        <w:trPr>
          <w:trHeight w:val="217"/>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2,105,762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1,886,504</w:t>
            </w:r>
          </w:p>
        </w:tc>
      </w:tr>
      <w:tr>
        <w:trPr>
          <w:trHeight w:val="3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(Refer to Note 16)</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w w:val="93"/>
              </w:rPr>
              <w:t>Common stock; $0.01 par value; 240,000 authorized shares; 89,104 and 88,735 issued at March 31, 2020 and</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6"/>
        </w:trPr>
        <w:tc>
          <w:tcPr>
            <w:tcW w:w="7740" w:type="dxa"/>
            <w:vAlign w:val="bottom"/>
          </w:tcPr>
          <w:p>
            <w:pPr>
              <w:ind w:left="540"/>
              <w:spacing w:after="0"/>
              <w:rPr>
                <w:sz w:val="20"/>
                <w:szCs w:val="20"/>
                <w:color w:val="auto"/>
              </w:rPr>
            </w:pPr>
            <w:r>
              <w:rPr>
                <w:rFonts w:ascii="Arial" w:cs="Arial" w:eastAsia="Arial" w:hAnsi="Arial"/>
                <w:sz w:val="16"/>
                <w:szCs w:val="16"/>
                <w:color w:val="auto"/>
              </w:rPr>
              <w:t>December 31, 2019, respectively</w:t>
            </w:r>
          </w:p>
        </w:tc>
        <w:tc>
          <w:tcPr>
            <w:tcW w:w="24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887</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1,213,620</w:t>
            </w:r>
          </w:p>
        </w:tc>
      </w:tr>
      <w:tr>
        <w:trPr>
          <w:trHeight w:val="237"/>
        </w:trPr>
        <w:tc>
          <w:tcPr>
            <w:tcW w:w="7740" w:type="dxa"/>
            <w:vAlign w:val="bottom"/>
          </w:tcPr>
          <w:p>
            <w:pPr>
              <w:ind w:left="380"/>
              <w:spacing w:after="0"/>
              <w:rPr>
                <w:sz w:val="20"/>
                <w:szCs w:val="20"/>
                <w:color w:val="auto"/>
              </w:rPr>
            </w:pPr>
            <w:r>
              <w:rPr>
                <w:rFonts w:ascii="Arial" w:cs="Arial" w:eastAsia="Arial" w:hAnsi="Arial"/>
                <w:sz w:val="16"/>
                <w:szCs w:val="16"/>
                <w:color w:val="auto"/>
                <w:w w:val="92"/>
              </w:rPr>
              <w:t>Treasury stock, at cost; 4,294 shares and 2,865 shares at March 31, 2020 and December 31, 2019, respectively</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(202,506)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(119,943)</w:t>
            </w:r>
          </w:p>
        </w:tc>
      </w:tr>
      <w:tr>
        <w:trPr>
          <w:trHeight w:val="3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(76,402)</w:t>
            </w:r>
          </w:p>
        </w:tc>
      </w:tr>
      <w:tr>
        <w:trPr>
          <w:trHeight w:val="237"/>
        </w:trPr>
        <w:tc>
          <w:tcPr>
            <w:tcW w:w="77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407,553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398,574</w:t>
            </w:r>
          </w:p>
        </w:tc>
      </w:tr>
      <w:tr>
        <w:trPr>
          <w:trHeight w:val="33"/>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1,416,736</w:t>
            </w:r>
          </w:p>
        </w:tc>
      </w:tr>
      <w:tr>
        <w:trPr>
          <w:trHeight w:val="244"/>
        </w:trPr>
        <w:tc>
          <w:tcPr>
            <w:tcW w:w="774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3,447,565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3,303,240</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9,180</w:t>
            </w:r>
          </w:p>
        </w:tc>
        <w:tc>
          <w:tcPr>
            <w:tcW w:w="10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32,756</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29,151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27,093</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 benefit/provision</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(6,843)</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Share-based compensation</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4,083</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 and expenses associated with debt refinancing</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Accretion of bond issuance discount</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380"/>
              <w:spacing w:after="0"/>
              <w:rPr>
                <w:sz w:val="20"/>
                <w:szCs w:val="20"/>
                <w:color w:val="auto"/>
              </w:rPr>
            </w:pPr>
            <w:r>
              <w:rPr>
                <w:rFonts w:ascii="Arial" w:cs="Arial" w:eastAsia="Arial" w:hAnsi="Arial"/>
                <w:sz w:val="14"/>
                <w:szCs w:val="14"/>
                <w:color w:val="auto"/>
              </w:rPr>
              <w:t>Change in fair value of contingent consideration and others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28,301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(13,705)</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(26,236)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(12,048)</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4,683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(12,949)</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non-current assets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480"/>
              <w:spacing w:after="0"/>
              <w:rPr>
                <w:sz w:val="20"/>
                <w:szCs w:val="20"/>
                <w:color w:val="auto"/>
              </w:rPr>
            </w:pPr>
            <w:r>
              <w:rPr>
                <w:rFonts w:ascii="Arial" w:cs="Arial" w:eastAsia="Arial" w:hAnsi="Arial"/>
                <w:sz w:val="14"/>
                <w:szCs w:val="14"/>
                <w:color w:val="auto"/>
              </w:rPr>
              <w:t>Accounts payable, accrued expenses and other current liabilities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(40,235)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5,387</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liabilities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(2,284)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4,608</w:t>
            </w:r>
          </w:p>
        </w:tc>
        <w:tc>
          <w:tcPr>
            <w:tcW w:w="0" w:type="dxa"/>
            <w:vAlign w:val="bottom"/>
          </w:tcPr>
          <w:p>
            <w:pPr>
              <w:spacing w:after="0"/>
              <w:rPr>
                <w:sz w:val="1"/>
                <w:szCs w:val="1"/>
                <w:color w:val="auto"/>
              </w:rPr>
            </w:pPr>
          </w:p>
        </w:tc>
      </w:tr>
      <w:tr>
        <w:trPr>
          <w:trHeight w:val="73"/>
        </w:trPr>
        <w:tc>
          <w:tcPr>
            <w:tcW w:w="7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20,814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29,484</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(16,519)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(16,086)</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7740" w:type="dxa"/>
            <w:vAlign w:val="bottom"/>
          </w:tcPr>
          <w:p>
            <w:pPr>
              <w:ind w:left="20"/>
              <w:spacing w:after="0"/>
              <w:rPr>
                <w:sz w:val="20"/>
                <w:szCs w:val="20"/>
                <w:color w:val="auto"/>
              </w:rPr>
            </w:pPr>
            <w:r>
              <w:rPr>
                <w:rFonts w:ascii="Arial" w:cs="Arial" w:eastAsia="Arial" w:hAnsi="Arial"/>
                <w:sz w:val="14"/>
                <w:szCs w:val="14"/>
                <w:color w:val="auto"/>
              </w:rPr>
              <w:t>Acquired in-process research and development</w:t>
            </w: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note receivable</w:t>
            </w:r>
          </w:p>
        </w:tc>
        <w:tc>
          <w:tcPr>
            <w:tcW w:w="4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73"/>
        </w:trPr>
        <w:tc>
          <w:tcPr>
            <w:tcW w:w="7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(21,485)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(15,806)</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borrowings of long-term indebtedness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113,200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67,200</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Payments on debt</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(344,200)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(57,400)</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option hedge on convertible notes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(104,248)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convertible notes issuance</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575,000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stock purchase warrants</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44,562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Payment of debt issuance costs</w:t>
            </w:r>
          </w:p>
        </w:tc>
        <w:tc>
          <w:tcPr>
            <w:tcW w:w="400" w:type="dxa"/>
            <w:vAlign w:val="bottom"/>
          </w:tcPr>
          <w:p>
            <w:pPr>
              <w:spacing w:after="0"/>
              <w:rPr>
                <w:sz w:val="16"/>
                <w:szCs w:val="16"/>
                <w:color w:val="auto"/>
              </w:rPr>
            </w:pP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(20,264)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Proceeds from exercised stock options</w:t>
            </w:r>
          </w:p>
        </w:tc>
        <w:tc>
          <w:tcPr>
            <w:tcW w:w="4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2,303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73"/>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taxes paid in net equity settlement</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(6,157)</w:t>
            </w:r>
          </w:p>
        </w:tc>
        <w:tc>
          <w:tcPr>
            <w:tcW w:w="0" w:type="dxa"/>
            <w:vAlign w:val="bottom"/>
          </w:tcPr>
          <w:p>
            <w:pPr>
              <w:spacing w:after="0"/>
              <w:rPr>
                <w:sz w:val="1"/>
                <w:szCs w:val="1"/>
                <w:color w:val="auto"/>
              </w:rPr>
            </w:pPr>
          </w:p>
        </w:tc>
      </w:tr>
      <w:tr>
        <w:trPr>
          <w:trHeight w:val="80"/>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4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162,005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5,393</w:t>
            </w:r>
          </w:p>
        </w:tc>
        <w:tc>
          <w:tcPr>
            <w:tcW w:w="0" w:type="dxa"/>
            <w:vAlign w:val="bottom"/>
          </w:tcPr>
          <w:p>
            <w:pPr>
              <w:spacing w:after="0"/>
              <w:rPr>
                <w:sz w:val="1"/>
                <w:szCs w:val="1"/>
                <w:color w:val="auto"/>
              </w:rPr>
            </w:pPr>
          </w:p>
        </w:tc>
      </w:tr>
      <w:tr>
        <w:trPr>
          <w:trHeight w:val="74"/>
        </w:trPr>
        <w:tc>
          <w:tcPr>
            <w:tcW w:w="7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400" w:type="dxa"/>
            <w:vAlign w:val="bottom"/>
          </w:tcPr>
          <w:p>
            <w:pPr>
              <w:spacing w:after="0"/>
              <w:rPr>
                <w:sz w:val="14"/>
                <w:szCs w:val="14"/>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158,801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18,187</w:t>
            </w:r>
          </w:p>
        </w:tc>
        <w:tc>
          <w:tcPr>
            <w:tcW w:w="0" w:type="dxa"/>
            <w:vAlign w:val="bottom"/>
          </w:tcPr>
          <w:p>
            <w:pPr>
              <w:spacing w:after="0"/>
              <w:rPr>
                <w:sz w:val="1"/>
                <w:szCs w:val="1"/>
                <w:color w:val="auto"/>
              </w:rPr>
            </w:pPr>
          </w:p>
        </w:tc>
      </w:tr>
      <w:tr>
        <w:trPr>
          <w:trHeight w:val="74"/>
        </w:trPr>
        <w:tc>
          <w:tcPr>
            <w:tcW w:w="7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4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198,911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138,838</w:t>
            </w:r>
          </w:p>
        </w:tc>
        <w:tc>
          <w:tcPr>
            <w:tcW w:w="0" w:type="dxa"/>
            <w:vAlign w:val="bottom"/>
          </w:tcPr>
          <w:p>
            <w:pPr>
              <w:spacing w:after="0"/>
              <w:rPr>
                <w:sz w:val="1"/>
                <w:szCs w:val="1"/>
                <w:color w:val="auto"/>
              </w:rPr>
            </w:pPr>
          </w:p>
        </w:tc>
      </w:tr>
      <w:tr>
        <w:trPr>
          <w:trHeight w:val="79"/>
        </w:trPr>
        <w:tc>
          <w:tcPr>
            <w:tcW w:w="774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357,712</w:t>
            </w:r>
          </w:p>
        </w:tc>
        <w:tc>
          <w:tcPr>
            <w:tcW w:w="10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157,025</w:t>
            </w:r>
          </w:p>
        </w:tc>
        <w:tc>
          <w:tcPr>
            <w:tcW w:w="0" w:type="dxa"/>
            <w:vAlign w:val="bottom"/>
          </w:tcPr>
          <w:p>
            <w:pPr>
              <w:spacing w:after="0"/>
              <w:rPr>
                <w:sz w:val="1"/>
                <w:szCs w:val="1"/>
                <w:color w:val="auto"/>
              </w:rPr>
            </w:pPr>
          </w:p>
        </w:tc>
      </w:tr>
      <w:tr>
        <w:trPr>
          <w:trHeight w:val="65"/>
        </w:trPr>
        <w:tc>
          <w:tcPr>
            <w:tcW w:w="774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3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00" w:right="1700"/>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(In thousands)</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7"/>
          </w:tcPr>
          <w:p>
            <w:pPr>
              <w:jc w:val="center"/>
              <w:ind w:left="271"/>
              <w:spacing w:after="0"/>
              <w:rPr>
                <w:sz w:val="20"/>
                <w:szCs w:val="20"/>
                <w:color w:val="auto"/>
              </w:rPr>
            </w:pPr>
            <w:r>
              <w:rPr>
                <w:rFonts w:ascii="Arial" w:cs="Arial" w:eastAsia="Arial" w:hAnsi="Arial"/>
                <w:sz w:val="13"/>
                <w:szCs w:val="13"/>
                <w:b w:val="1"/>
                <w:bCs w:val="1"/>
                <w:color w:val="auto"/>
                <w:w w:val="89"/>
              </w:rPr>
              <w:t>Three Months Ended March 31, 2020</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31"/>
              <w:spacing w:after="0"/>
              <w:rPr>
                <w:sz w:val="20"/>
                <w:szCs w:val="20"/>
                <w:color w:val="auto"/>
              </w:rPr>
            </w:pPr>
            <w:r>
              <w:rPr>
                <w:rFonts w:ascii="Arial" w:cs="Arial" w:eastAsia="Arial" w:hAnsi="Arial"/>
                <w:sz w:val="13"/>
                <w:szCs w:val="13"/>
                <w:b w:val="1"/>
                <w:bCs w:val="1"/>
                <w:color w:val="auto"/>
                <w:w w:val="87"/>
              </w:rPr>
              <w:t>Treasury Stock</w:t>
            </w:r>
          </w:p>
        </w:tc>
        <w:tc>
          <w:tcPr>
            <w:tcW w:w="100" w:type="dxa"/>
            <w:vAlign w:val="bottom"/>
          </w:tcPr>
          <w:p>
            <w:pPr>
              <w:spacing w:after="0"/>
              <w:rPr>
                <w:sz w:val="15"/>
                <w:szCs w:val="15"/>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0"/>
              </w:rPr>
              <w:t>Additional Paid-</w:t>
            </w:r>
          </w:p>
        </w:tc>
        <w:tc>
          <w:tcPr>
            <w:tcW w:w="13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106"/>
        </w:trPr>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9"/>
                <w:szCs w:val="9"/>
                <w:color w:val="auto"/>
              </w:rPr>
            </w:pPr>
          </w:p>
        </w:tc>
        <w:tc>
          <w:tcPr>
            <w:tcW w:w="560" w:type="dxa"/>
            <w:vAlign w:val="bottom"/>
            <w:gridSpan w:val="2"/>
            <w:vMerge w:val="restart"/>
          </w:tcPr>
          <w:p>
            <w:pPr>
              <w:jc w:val="right"/>
              <w:ind w:right="91"/>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In Capital</w:t>
            </w: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3"/>
              </w:rPr>
              <w:t>Comprehensive Loss</w:t>
            </w:r>
          </w:p>
        </w:tc>
        <w:tc>
          <w:tcPr>
            <w:tcW w:w="10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(In thousands)</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320" w:type="dxa"/>
            <w:vAlign w:val="bottom"/>
          </w:tcPr>
          <w:p>
            <w:pPr>
              <w:ind w:left="20"/>
              <w:spacing w:after="0"/>
              <w:rPr>
                <w:sz w:val="20"/>
                <w:szCs w:val="20"/>
                <w:color w:val="auto"/>
              </w:rPr>
            </w:pPr>
            <w:r>
              <w:rPr>
                <w:rFonts w:ascii="Arial" w:cs="Arial" w:eastAsia="Arial" w:hAnsi="Arial"/>
                <w:sz w:val="14"/>
                <w:szCs w:val="14"/>
                <w:color w:val="auto"/>
              </w:rPr>
              <w:t>Balance, January 1, 2020</w:t>
            </w:r>
          </w:p>
        </w:tc>
        <w:tc>
          <w:tcPr>
            <w:tcW w:w="700" w:type="dxa"/>
            <w:vAlign w:val="bottom"/>
            <w:gridSpan w:val="2"/>
          </w:tcPr>
          <w:p>
            <w:pPr>
              <w:jc w:val="right"/>
              <w:ind w:right="52"/>
              <w:spacing w:after="0"/>
              <w:rPr>
                <w:sz w:val="20"/>
                <w:szCs w:val="20"/>
                <w:color w:val="auto"/>
              </w:rPr>
            </w:pPr>
            <w:r>
              <w:rPr>
                <w:rFonts w:ascii="Arial" w:cs="Arial" w:eastAsia="Arial" w:hAnsi="Arial"/>
                <w:sz w:val="14"/>
                <w:szCs w:val="14"/>
                <w:color w:val="auto"/>
              </w:rPr>
              <w:t>88,735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887</w:t>
            </w: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(2,865)</w:t>
            </w:r>
          </w:p>
        </w:tc>
        <w:tc>
          <w:tcPr>
            <w:tcW w:w="260" w:type="dxa"/>
            <w:vAlign w:val="bottom"/>
            <w:gridSpan w:val="2"/>
          </w:tcPr>
          <w:p>
            <w:pPr>
              <w:jc w:val="center"/>
              <w:ind w:left="13"/>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(119,943)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1,213,620</w:t>
            </w:r>
          </w:p>
        </w:tc>
        <w:tc>
          <w:tcPr>
            <w:tcW w:w="120" w:type="dxa"/>
            <w:vAlign w:val="bottom"/>
          </w:tcPr>
          <w:p>
            <w:pPr>
              <w:spacing w:after="0"/>
              <w:rPr>
                <w:sz w:val="23"/>
                <w:szCs w:val="23"/>
                <w:color w:val="auto"/>
              </w:rPr>
            </w:pPr>
          </w:p>
        </w:tc>
        <w:tc>
          <w:tcPr>
            <w:tcW w:w="420" w:type="dxa"/>
            <w:vAlign w:val="bottom"/>
          </w:tcPr>
          <w:p>
            <w:pPr>
              <w:jc w:val="right"/>
              <w:ind w:right="27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(76,401)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398,573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1,416,736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9,180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32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through employee stock</w:t>
            </w:r>
          </w:p>
        </w:tc>
        <w:tc>
          <w:tcPr>
            <w:tcW w:w="700" w:type="dxa"/>
            <w:vAlign w:val="bottom"/>
            <w:gridSpan w:val="2"/>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694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purchase plan</w:t>
            </w:r>
          </w:p>
        </w:tc>
        <w:tc>
          <w:tcPr>
            <w:tcW w:w="7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32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320" w:type="dxa"/>
            <w:vAlign w:val="bottom"/>
          </w:tcPr>
          <w:p>
            <w:pPr>
              <w:ind w:left="20"/>
              <w:spacing w:after="0" w:line="157" w:lineRule="exact"/>
              <w:rPr>
                <w:sz w:val="20"/>
                <w:szCs w:val="20"/>
                <w:color w:val="auto"/>
              </w:rPr>
            </w:pPr>
            <w:r>
              <w:rPr>
                <w:rFonts w:ascii="Arial" w:cs="Arial" w:eastAsia="Arial" w:hAnsi="Arial"/>
                <w:sz w:val="14"/>
                <w:szCs w:val="14"/>
                <w:color w:val="auto"/>
                <w:w w:val="99"/>
              </w:rPr>
              <w:t>Issuance of common stock for vesting of share based</w:t>
            </w:r>
          </w:p>
        </w:tc>
        <w:tc>
          <w:tcPr>
            <w:tcW w:w="700" w:type="dxa"/>
            <w:vAlign w:val="bottom"/>
            <w:gridSpan w:val="2"/>
            <w:vMerge w:val="restart"/>
          </w:tcPr>
          <w:p>
            <w:pPr>
              <w:jc w:val="right"/>
              <w:ind w:right="52"/>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680" w:type="dxa"/>
            <w:vAlign w:val="bottom"/>
            <w:gridSpan w:val="3"/>
            <w:vMerge w:val="restart"/>
          </w:tcPr>
          <w:p>
            <w:pPr>
              <w:jc w:val="right"/>
              <w:ind w:right="3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auto"/>
              </w:rPr>
              <w:t>(3,217)</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320" w:type="dxa"/>
            <w:vAlign w:val="bottom"/>
            <w:vMerge w:val="restart"/>
          </w:tcPr>
          <w:p>
            <w:pPr>
              <w:ind w:left="2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3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3,781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3,781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320" w:type="dxa"/>
            <w:vAlign w:val="bottom"/>
          </w:tcPr>
          <w:p>
            <w:pPr>
              <w:ind w:left="20"/>
              <w:spacing w:after="0" w:line="157" w:lineRule="exact"/>
              <w:rPr>
                <w:sz w:val="20"/>
                <w:szCs w:val="20"/>
                <w:color w:val="auto"/>
              </w:rPr>
            </w:pPr>
            <w:r>
              <w:rPr>
                <w:rFonts w:ascii="Arial" w:cs="Arial" w:eastAsia="Arial" w:hAnsi="Arial"/>
                <w:sz w:val="14"/>
                <w:szCs w:val="14"/>
                <w:color w:val="auto"/>
              </w:rPr>
              <w:t>Share repurchase and equity component of the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320" w:type="dxa"/>
            <w:vAlign w:val="bottom"/>
          </w:tcPr>
          <w:p>
            <w:pPr>
              <w:ind w:left="20"/>
              <w:spacing w:after="0"/>
              <w:rPr>
                <w:sz w:val="20"/>
                <w:szCs w:val="20"/>
                <w:color w:val="auto"/>
              </w:rPr>
            </w:pPr>
            <w:r>
              <w:rPr>
                <w:rFonts w:ascii="Arial" w:cs="Arial" w:eastAsia="Arial" w:hAnsi="Arial"/>
                <w:sz w:val="14"/>
                <w:szCs w:val="14"/>
                <w:color w:val="auto"/>
              </w:rPr>
              <w:t>convertible note issuance, net</w:t>
            </w:r>
          </w:p>
        </w:tc>
        <w:tc>
          <w:tcPr>
            <w:tcW w:w="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(7,632)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53"/>
              <w:spacing w:after="0"/>
              <w:rPr>
                <w:sz w:val="20"/>
                <w:szCs w:val="20"/>
                <w:color w:val="auto"/>
              </w:rPr>
            </w:pPr>
            <w:r>
              <w:rPr>
                <w:rFonts w:ascii="Arial" w:cs="Arial" w:eastAsia="Arial" w:hAnsi="Arial"/>
                <w:sz w:val="14"/>
                <w:szCs w:val="14"/>
                <w:color w:val="auto"/>
              </w:rPr>
              <w:t>42,538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34,906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Accelerated shares repurchased</w:t>
            </w:r>
          </w:p>
        </w:tc>
        <w:tc>
          <w:tcPr>
            <w:tcW w:w="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(75,407)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(16,961)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(92,368)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320" w:type="dxa"/>
            <w:vAlign w:val="bottom"/>
          </w:tcPr>
          <w:p>
            <w:pPr>
              <w:ind w:left="20"/>
              <w:spacing w:after="0"/>
              <w:rPr>
                <w:sz w:val="20"/>
                <w:szCs w:val="20"/>
                <w:color w:val="auto"/>
              </w:rPr>
            </w:pPr>
            <w:r>
              <w:rPr>
                <w:rFonts w:ascii="Arial" w:cs="Arial" w:eastAsia="Arial" w:hAnsi="Arial"/>
                <w:sz w:val="14"/>
                <w:szCs w:val="14"/>
                <w:color w:val="auto"/>
              </w:rPr>
              <w:t>Adoption of Update No. 2016-13</w:t>
            </w:r>
          </w:p>
        </w:tc>
        <w:tc>
          <w:tcPr>
            <w:tcW w:w="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70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89,105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889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(4,294)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(202,506)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1,240,455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407,553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1,341,803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7"/>
          </w:tcPr>
          <w:p>
            <w:pPr>
              <w:jc w:val="center"/>
              <w:ind w:left="271"/>
              <w:spacing w:after="0"/>
              <w:rPr>
                <w:sz w:val="20"/>
                <w:szCs w:val="20"/>
                <w:color w:val="auto"/>
              </w:rPr>
            </w:pPr>
            <w:r>
              <w:rPr>
                <w:rFonts w:ascii="Arial" w:cs="Arial" w:eastAsia="Arial" w:hAnsi="Arial"/>
                <w:sz w:val="13"/>
                <w:szCs w:val="13"/>
                <w:b w:val="1"/>
                <w:bCs w:val="1"/>
                <w:color w:val="auto"/>
                <w:w w:val="89"/>
              </w:rPr>
              <w:t>Three Months Ended March 31, 2019</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5"/>
          </w:tcPr>
          <w:p>
            <w:pPr>
              <w:ind w:left="460"/>
              <w:spacing w:after="0" w:line="142"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4"/>
          </w:tcPr>
          <w:p>
            <w:pPr>
              <w:ind w:left="20"/>
              <w:spacing w:after="0" w:line="142"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20" w:type="dxa"/>
            <w:vAlign w:val="bottom"/>
            <w:gridSpan w:val="3"/>
            <w:vMerge w:val="restart"/>
          </w:tcPr>
          <w:p>
            <w:pPr>
              <w:jc w:val="center"/>
              <w:ind w:right="53"/>
              <w:spacing w:after="0" w:line="131" w:lineRule="exact"/>
              <w:rPr>
                <w:sz w:val="20"/>
                <w:szCs w:val="20"/>
                <w:color w:val="auto"/>
              </w:rPr>
            </w:pPr>
            <w:r>
              <w:rPr>
                <w:rFonts w:ascii="Arial" w:cs="Arial" w:eastAsia="Arial" w:hAnsi="Arial"/>
                <w:sz w:val="13"/>
                <w:szCs w:val="13"/>
                <w:b w:val="1"/>
                <w:bCs w:val="1"/>
                <w:color w:val="auto"/>
                <w:w w:val="88"/>
              </w:rPr>
              <w:t>Additional Paid-</w:t>
            </w:r>
          </w:p>
        </w:tc>
        <w:tc>
          <w:tcPr>
            <w:tcW w:w="900" w:type="dxa"/>
            <w:vAlign w:val="bottom"/>
            <w:gridSpan w:val="2"/>
            <w:vMerge w:val="restart"/>
          </w:tcPr>
          <w:p>
            <w:pPr>
              <w:jc w:val="center"/>
              <w:ind w:right="140"/>
              <w:spacing w:after="0" w:line="131"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7"/>
                <w:szCs w:val="7"/>
                <w:color w:val="auto"/>
              </w:rPr>
            </w:pPr>
          </w:p>
        </w:tc>
        <w:tc>
          <w:tcPr>
            <w:tcW w:w="780" w:type="dxa"/>
            <w:vAlign w:val="bottom"/>
            <w:gridSpan w:val="2"/>
            <w:vMerge w:val="restart"/>
          </w:tcPr>
          <w:p>
            <w:pPr>
              <w:ind w:left="120"/>
              <w:spacing w:after="0" w:line="131"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7"/>
                <w:szCs w:val="7"/>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8"/>
                <w:szCs w:val="8"/>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left="233"/>
              <w:spacing w:after="0" w:line="135" w:lineRule="exact"/>
              <w:rPr>
                <w:sz w:val="20"/>
                <w:szCs w:val="20"/>
                <w:color w:val="auto"/>
              </w:rPr>
            </w:pPr>
            <w:r>
              <w:rPr>
                <w:rFonts w:ascii="Arial" w:cs="Arial" w:eastAsia="Arial" w:hAnsi="Arial"/>
                <w:sz w:val="13"/>
                <w:szCs w:val="13"/>
                <w:b w:val="1"/>
                <w:bCs w:val="1"/>
                <w:color w:val="auto"/>
                <w:w w:val="95"/>
              </w:rPr>
              <w:t>In Capital</w:t>
            </w:r>
          </w:p>
        </w:tc>
        <w:tc>
          <w:tcPr>
            <w:tcW w:w="1320" w:type="dxa"/>
            <w:vAlign w:val="bottom"/>
            <w:gridSpan w:val="3"/>
            <w:vMerge w:val="restart"/>
          </w:tcPr>
          <w:p>
            <w:pPr>
              <w:jc w:val="center"/>
              <w:ind w:left="213"/>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8"/>
                <w:szCs w:val="8"/>
                <w:color w:val="auto"/>
              </w:rPr>
            </w:pPr>
          </w:p>
        </w:tc>
        <w:tc>
          <w:tcPr>
            <w:tcW w:w="780" w:type="dxa"/>
            <w:vAlign w:val="bottom"/>
            <w:gridSpan w:val="2"/>
            <w:vMerge w:val="restart"/>
          </w:tcPr>
          <w:p>
            <w:pPr>
              <w:ind w:left="120"/>
              <w:spacing w:after="0" w:line="135" w:lineRule="exact"/>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33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3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180"/>
          </w:cols>
          <w:pgMar w:left="320" w:top="125" w:right="399" w:bottom="1440" w:gutter="0" w:footer="0" w:header="0"/>
        </w:sectPr>
      </w:pPr>
    </w:p>
    <w:p>
      <w:pPr>
        <w:spacing w:after="0" w:line="10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Balance, January 1, 2019</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comprehensive loss, net of tax</w:t>
      </w:r>
    </w:p>
    <w:p>
      <w:pPr>
        <w:spacing w:after="0" w:line="82" w:lineRule="exact"/>
        <w:rPr>
          <w:sz w:val="20"/>
          <w:szCs w:val="20"/>
          <w:color w:val="auto"/>
        </w:rPr>
      </w:pPr>
    </w:p>
    <w:p>
      <w:pPr>
        <w:ind w:left="12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88,044</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880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(2,881)</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(120,615)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1,192,601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(45,443)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348,373</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1,375,796</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32,756</w:t>
            </w: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32,756</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(11,236)</w:t>
            </w:r>
          </w:p>
        </w:tc>
        <w:tc>
          <w:tcPr>
            <w:tcW w:w="2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(11,236)</w:t>
            </w:r>
          </w:p>
        </w:tc>
      </w:tr>
      <w:tr>
        <w:trPr>
          <w:trHeight w:val="31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-506095</wp:posOffset>
            </wp:positionV>
            <wp:extent cx="702945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17145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-163195</wp:posOffset>
            </wp:positionV>
            <wp:extent cx="702945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0" cy="22288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3060" w:space="540"/>
            <w:col w:w="7580"/>
          </w:cols>
          <w:pgMar w:left="320" w:top="125" w:right="399" w:bottom="1440" w:gutter="0" w:footer="0" w:header="0"/>
          <w:type w:val="continuous"/>
        </w:sectPr>
      </w:pPr>
    </w:p>
    <w:tbl>
      <w:tblPr>
        <w:tblLayout w:type="fixed"/>
        <w:tblInd w:w="80" w:type="dxa"/>
        <w:tblCellMar>
          <w:top w:w="0" w:type="dxa"/>
          <w:left w:w="0" w:type="dxa"/>
          <w:bottom w:w="0" w:type="dxa"/>
          <w:right w:w="0" w:type="dxa"/>
        </w:tblCellMar>
      </w:tblPr>
      <w:tr>
        <w:trPr>
          <w:trHeight w:val="160"/>
        </w:trPr>
        <w:tc>
          <w:tcPr>
            <w:tcW w:w="3340" w:type="dxa"/>
            <w:vAlign w:val="bottom"/>
          </w:tcPr>
          <w:p>
            <w:pPr>
              <w:ind w:left="40"/>
              <w:spacing w:after="0"/>
              <w:rPr>
                <w:sz w:val="20"/>
                <w:szCs w:val="20"/>
                <w:color w:val="auto"/>
              </w:rPr>
            </w:pPr>
            <w:r>
              <w:rPr>
                <w:rFonts w:ascii="Arial" w:cs="Arial" w:eastAsia="Arial" w:hAnsi="Arial"/>
                <w:sz w:val="14"/>
                <w:szCs w:val="14"/>
                <w:color w:val="auto"/>
                <w:w w:val="99"/>
              </w:rPr>
              <w:t>Issuance of common stock for vesting of share based</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101"/>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3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4,119</w:t>
            </w: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4"/>
                <w:szCs w:val="14"/>
                <w:color w:val="auto"/>
              </w:rPr>
              <w:t>Balance, March 31, 2019</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88,304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1,191,807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381,129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1,397,030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125" w:right="3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80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opinion of management, the March 31, 2020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2019 included in the Company’s Annual Report on Form 10-K. The December 31, 2019 consolidated balance sheet was derived from audited financial statements, but does not include all disclosures required by accounting principles generally accepted in the United States. Operating results for the three month period ended March 31, 2020 are not necessarily indicative of the results to be expected for the entire year.</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The novel coronavirus (“COVID-19”) pandemic and the resulting adverse impacts to global economic conditions, as well as our operations, may impact future estimates including, but not limited to, inventory valuations, fair value measurements, goodwill and long-lived asset impairments, the effectiveness of the Company’s hedging instruments, deferred tax valuation allowances, and allowances for doubtful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and Uncertainties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is subject to risks and uncertainties as a result of the COVID-19 pandemic. The extent of the impact of the COVID-19 pandemic on the Company's business is highly uncertain and difficult to predict, as the response to the pandemic is in its incipient stages and information is rapidly evolving. The Company's customers are diverting resources to treat COVID-19 patients and deferring elective surgical procedures, both of which are likely to impact hospitals' abilities to meet their obligations, including to the Company. Furthermore, capital markets and economies worldwide have also been negatively impacted by the COVID-19 pandemic, and it is likely that it could cause a local and/or global economic recession. Such economic disruption has had an adverse effect on our business as hospitals curtail and reduce capital and overall spending. Policymakers around the globe have responded with fiscal policy actions to support the healthcare industry and economy as a whole. The magnitude and overall effectiveness of these actions remains uncertain.The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with certainty. The Company's future results of operations and liquidity could be adversely impacted by delays in payments of outstanding receivable amounts beyond normal payment terms, supply chain disruptions and uncertain demand, and the impact of any initiatives or programs that the Company may undertake to address financial and operations challenges faced by its customers. The Company has implemented contingency plans to address the operational impact of COVID-19 and ensure ongoing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The ASU is intended to improve financial reporting by requiring timelier recording of credit losses on loans and other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organizations will now use forward-looking information to better inform their credit loss estimates. The ASU is effective for fiscal years, and interim periods within those fiscal years, beginning after December 15, 2019. The Company adopted this guidance on January 1, 2020 using a modified retrospective transition method which requires a cumulative-effect adjustment to the opening balance of retained earnings to be recognized on the date of adoption with no change to financial results reported in prior periods. The cumulative-effect adjustment recorded on January 1, 2020, is not material. The adoption of this ASU did not have a significant impact on the Company's consolidated financial statements and related disclosures.</w:t>
      </w:r>
    </w:p>
    <w:p>
      <w:pPr>
        <w:spacing w:after="0" w:line="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Company's exposure to credit losses may increase if its customers are adversely affected by changes in healthcare laws, coverage, and reimbursement, economic pressures or uncertainty associated with local or global economic recessions, disruption associated with the current COVID-19 pandemic, or other customer-specific factors. Although the Company has historically not experienced significant credit losses, it is possible that there could be a adverse impact from potential as hospital's cash flows are impacted by their response to the COVID-19 pandemic and deferral of elective surgical procedures.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The new guidance modifies the disclosure requirements for employers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 interim periods within those fiscal years. Early adoption is permitted. The adoption is not expected to have a material impact on the Condensed and Consolidated Financial Statements.</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relating to a customer's accounting for implementation, set-up, and other upfront costs incurred in a cloud computing arrangement that is hosted by a vendor (e.g.,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The Company adopted this guidance on January 1, 2020 using a prospective transition method. The adoption of this guidance did not have a significant impact on the Company's consolidated financial statements and related disclosures.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xml:space="preserve">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annual periods beginning after December 15, 2020 and interim periods within, with early adoption permitted. Adoption of the standard requires certain changes to be made prospectively, with some changes to be made retrospectively. The Company is currently assessing the impact of this standard on the financial condition and results of operations.</w:t>
      </w: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w:t>
      </w:r>
      <w:r>
        <w:rPr>
          <w:rFonts w:ascii="Arial" w:cs="Arial" w:eastAsia="Arial" w:hAnsi="Arial"/>
          <w:sz w:val="18"/>
          <w:szCs w:val="18"/>
          <w:color w:val="auto"/>
        </w:rPr>
        <w:t>, which provides optional guidance for a limited period of time to ease the potential burden in accounting for (or recognizing the effects of) reference rate reform on financial reporting. This amendment applies to all entities, subject to meeting certain criteria, that have contracts, hedging relationships, and other transactions that reference LIBOR or another reference rate expected to be discontinued because of reference rate reform. This ASU is effective immediately and may be applied prospectively to contract modifications made and hedging relationships entered into or evaluated on or before December 31, 2022. The Company is currently assessing the impact that this ASU will have on its consolidated financial statements.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Arkis BioSciences Inc.</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29, 2019, the Company acquired Arkis BioSciences Inc. ("Arkis") for an acquisition purchase price of $30.9 million (the "Arkis Acquisition") plus contingent consideration of up to $25.5 million, that may be payable based on the successful completion of certain development and commercial milestones. The contingent consideration had an acquisition date fair value of $13.1 million. Arkis was a privately-held company that marketed the CerebroFlo® external ventricular drainage (EVD) catheter with Endexo® technology, a permanent additive designed to reduce the potential for catheter obstruction due to thrombus 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 at Fair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Arkis Acquisition has been accounted for using the acquisition method of accounting. This method requires that assets acquired and liabilities assumed in a business combination to be recognized at their fair values as of the acquisition date. As of March 31, 2020 certain amounts relating to tax related matters have not been finalized. The finalization of these matters could result in changes to goodwill.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Preliminary Valuation as of March</w:t>
            </w:r>
          </w:p>
        </w:tc>
        <w:tc>
          <w:tcPr>
            <w:tcW w:w="100" w:type="dxa"/>
            <w:vAlign w:val="bottom"/>
          </w:tcPr>
          <w:p>
            <w:pPr>
              <w:spacing w:after="0"/>
              <w:rPr>
                <w:sz w:val="14"/>
                <w:szCs w:val="14"/>
                <w:color w:val="auto"/>
              </w:rPr>
            </w:pPr>
          </w:p>
        </w:tc>
        <w:tc>
          <w:tcPr>
            <w:tcW w:w="1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1500" w:type="dxa"/>
            <w:vAlign w:val="bottom"/>
            <w:tcBorders>
              <w:bottom w:val="single" w:sz="8" w:color="auto"/>
            </w:tcBorders>
          </w:tcPr>
          <w:p>
            <w:pPr>
              <w:jc w:val="center"/>
              <w:ind w:left="641"/>
              <w:spacing w:after="0"/>
              <w:rPr>
                <w:sz w:val="20"/>
                <w:szCs w:val="20"/>
                <w:color w:val="auto"/>
              </w:rPr>
            </w:pPr>
            <w:r>
              <w:rPr>
                <w:rFonts w:ascii="Arial" w:cs="Arial" w:eastAsia="Arial" w:hAnsi="Arial"/>
                <w:sz w:val="14"/>
                <w:szCs w:val="14"/>
                <w:b w:val="1"/>
                <w:bCs w:val="1"/>
                <w:color w:val="auto"/>
                <w:w w:val="91"/>
              </w:rPr>
              <w:t>31, 2020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500" w:type="dxa"/>
            <w:vAlign w:val="bottom"/>
            <w:tcBorders>
              <w:bottom w:val="single" w:sz="8" w:color="CCEEFF"/>
            </w:tcBorders>
            <w:shd w:val="clear" w:color="auto" w:fill="CCEEFF"/>
          </w:tcPr>
          <w:p>
            <w:pPr>
              <w:jc w:val="right"/>
              <w:ind w:right="1301"/>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5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CerebroFlo developed technology</w:t>
            </w:r>
          </w:p>
        </w:tc>
        <w:tc>
          <w:tcPr>
            <w:tcW w:w="15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21"/>
                <w:szCs w:val="21"/>
                <w:color w:val="auto"/>
              </w:rPr>
            </w:pPr>
          </w:p>
        </w:tc>
        <w:tc>
          <w:tcPr>
            <w:tcW w:w="1800" w:type="dxa"/>
            <w:vAlign w:val="bottom"/>
          </w:tcPr>
          <w:p>
            <w:pPr>
              <w:ind w:left="4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Enabling technology license</w:t>
            </w:r>
          </w:p>
        </w:tc>
        <w:tc>
          <w:tcPr>
            <w:tcW w:w="1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27,600</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52,215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15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1500" w:type="dxa"/>
            <w:vAlign w:val="bottom"/>
            <w:tcBorders>
              <w:top w:val="single" w:sz="8" w:color="auto"/>
              <w:bottom w:val="single" w:sz="8" w:color="auto"/>
            </w:tcBorders>
          </w:tcPr>
          <w:p>
            <w:pPr>
              <w:jc w:val="right"/>
              <w:ind w:right="1301"/>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30,884</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estimated fair value of the intangible assets was determined using the income approach, which is a valuation technique that provides an estimate of the fair value of an asset based on market participant expectations of the cash flows an asset would generate over its remaining useful life. Some of the more significant assumptions inherent in the development of those asset valuations include the estimated net cash flows for each year for each asset (including net revenues, cost of sales, R&amp;D costs, selling and marketing costs, and working capital/contributory asset charges), the appropriate discount rate to select in order to measure the risk inherent in each future cash flow stream, the assessment of each asset’s life cycle, and competitive trends impacting the asset and each cash flow stream.</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used a discount rate of 14.5%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allocated goodwill related to the Arkis Acquisition to the Codman Specialty Surgical segment. Goodwill is the excess of the consideration transferred over the net assets recognized and represents the expected revenue and cost synergies of the combined company and assembled workforce. One of the key factors that contributes to the recognition of goodwill, and a driver for the Company's acquisition of Arkis, is the planned expansion of the Endexo technology with the existing products within the Codman Specialty Surgical segment. Goodwill recognized as a result of this acquisition is non-deductible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resultant probability-weighted cash flows are discounted using an appropriate effective annual interest rate. At each reporting date, the contingent consideration obligation will be revalued to estimated fair value and changes in fair value will be reflected as income or expense in the Company's consolidated statement of operations. Changes in the fair value of the contingent consideration obligations may result from changes in discount periods and rates, changes in the timing and amount of revenue estimates and changes in probability assumptions with respect to the likelihood of achieving the various contingent payment obligations.</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Adverse changes in assumptions utilized in the contingent consideration fair value estimates could result in an increase in the contingent consideration obligation and a corresponding charge to operating results.</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As part of the acquisition,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March 31, 2020 was $13.2 million. This amount is included in other liabilities at March 31, 2020 in the consolidated balance sheets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Liabilities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 forma results are not presented for this acquisition as they are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Rebound Therapeutics Corporation</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September 9, 2019, the Company acquired Rebound Therapeutics Corporation (“Rebound”), developers of a single-use medical device known as the AURORA Surgiscope® System ("Aurora") which enables minimally invasive access, using optics and illumination, for visualization, diagnostic and therapeutic use in neurosurgery (the “Rebound transaction”). Under the terms of the Rebound transaction, the Company made an upfront payment of $67.1 million and are committed to pay up to $35.0 million of contingent development milestones upon achievement of certain regulatory milestones. The acquisition of Rebound was primarily concentrated in one single identifiable asset and thus, for accounting purposes, the Company has concluded that the acquired assets do not meet the accounting definition of a business. The initial payment was allocated primarily to Aurora, resulting in a $59.9 million in-process research and development expense. The balance of approximately $7.2 million, which included $2.1 million of cash and cash equivalents and a net deferred tax asset of $4.2 million, was allocated to the remaining net assets acquired. The deferred tax asset primarily resulted from a federal net operating loss carry forward.</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fourth quarter of 2019, the Company achieved the first developmental milestone which triggered a $5.0 million obligation to be paid to former shareholders of Rebound. The Company recorded $5.0 million as in-process research and development expense in the consolidated statements of operations during the year ended December 31, 2019. The obligation was included in accrued expenses and other current liabilities at December 31, 2019 in the consolidated balance sheets. The milestone was paid during the first quarter of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During the quarter ended March 31, 2019, The total upfront payment of $1.7 million was expensed as a component of research and development expense and the future milestone and option payments will be recorded if the corresponding events become probable.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Accounting Policies on Revenue Recognition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for services.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w:t>
      </w:r>
    </w:p>
    <w:p>
      <w:pPr>
        <w:sectPr>
          <w:pgSz w:w="11900" w:h="16838" w:orient="portrait"/>
          <w:cols w:equalWidth="0" w:num="1">
            <w:col w:w="11240"/>
          </w:cols>
          <w:pgMar w:left="320" w:top="121" w:right="33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 the manufacturing activities completed to date, which depicts the progress of the Company's performance obligation of transferring control of goods being manufactured for private label customers.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 sales, the Company retains control until the product has been used or implanted, at which time revenue is recognized.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thirty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performance obligations consist mainly of transferring control of goods and services identified in the contracts, purchase orders, or invoices. The Company has no significant multi-element contracts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three months ended March 31, 2020:</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2020</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8,680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(8,680)</w:t>
            </w:r>
          </w:p>
        </w:tc>
      </w:tr>
      <w:tr>
        <w:trPr>
          <w:trHeight w:val="243"/>
        </w:trPr>
        <w:tc>
          <w:tcPr>
            <w:tcW w:w="40" w:type="dxa"/>
            <w:vAlign w:val="bottom"/>
          </w:tcPr>
          <w:p>
            <w:pPr>
              <w:spacing w:after="0"/>
              <w:rPr>
                <w:sz w:val="21"/>
                <w:szCs w:val="21"/>
                <w:color w:val="auto"/>
              </w:rPr>
            </w:pPr>
          </w:p>
        </w:tc>
        <w:tc>
          <w:tcPr>
            <w:tcW w:w="906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7,944</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March 31, 2020</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7,944</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Contract Liability</w:t>
            </w:r>
          </w:p>
        </w:tc>
        <w:tc>
          <w:tcPr>
            <w:tcW w:w="7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2020</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11,946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43"/>
        </w:trPr>
        <w:tc>
          <w:tcPr>
            <w:tcW w:w="40" w:type="dxa"/>
            <w:vAlign w:val="bottom"/>
          </w:tcPr>
          <w:p>
            <w:pPr>
              <w:spacing w:after="0"/>
              <w:rPr>
                <w:sz w:val="21"/>
                <w:szCs w:val="21"/>
                <w:color w:val="auto"/>
              </w:rPr>
            </w:pPr>
          </w:p>
        </w:tc>
        <w:tc>
          <w:tcPr>
            <w:tcW w:w="9060" w:type="dxa"/>
            <w:vAlign w:val="bottom"/>
            <w:gridSpan w:val="2"/>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1,691</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0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57"/>
        </w:trPr>
        <w:tc>
          <w:tcPr>
            <w:tcW w:w="40" w:type="dxa"/>
            <w:vAlign w:val="bottom"/>
          </w:tcPr>
          <w:p>
            <w:pPr>
              <w:spacing w:after="0"/>
              <w:rPr>
                <w:sz w:val="22"/>
                <w:szCs w:val="22"/>
                <w:color w:val="auto"/>
              </w:rPr>
            </w:pPr>
          </w:p>
        </w:tc>
        <w:tc>
          <w:tcPr>
            <w:tcW w:w="9060" w:type="dxa"/>
            <w:vAlign w:val="bottom"/>
            <w:gridSpan w:val="2"/>
          </w:tcPr>
          <w:p>
            <w:pPr>
              <w:ind w:left="240"/>
              <w:spacing w:after="0"/>
              <w:rPr>
                <w:sz w:val="20"/>
                <w:szCs w:val="20"/>
                <w:color w:val="auto"/>
              </w:rPr>
            </w:pPr>
            <w:r>
              <w:rPr>
                <w:rFonts w:ascii="Arial" w:cs="Arial" w:eastAsia="Arial" w:hAnsi="Arial"/>
                <w:sz w:val="18"/>
                <w:szCs w:val="18"/>
                <w:color w:val="auto"/>
              </w:rPr>
              <w:t>Contract liability, March 31, 2020</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12,199</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the short-term portion of the contract liability of $4.9 million and the long-term portion of $7.3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 Company is expected to recognize approximately 40% of unsatisfied (or partially unsatisfied) performance obligations as revenue through 2020, with the remaining balance to be recognized in 2021 and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months ended March 31, 2020 and 2019 (amounts in thousands):</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164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7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March 31, 2019</w:t>
            </w:r>
          </w:p>
        </w:tc>
      </w:tr>
      <w:tr>
        <w:trPr>
          <w:trHeight w:val="256"/>
        </w:trPr>
        <w:tc>
          <w:tcPr>
            <w:tcW w:w="7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40" w:type="dxa"/>
            <w:vAlign w:val="bottom"/>
            <w:gridSpan w:val="3"/>
            <w:shd w:val="clear" w:color="auto" w:fill="CCEEFF"/>
          </w:tcPr>
          <w:p>
            <w:pPr>
              <w:jc w:val="right"/>
              <w:ind w:right="994"/>
              <w:spacing w:after="0"/>
              <w:rPr>
                <w:sz w:val="20"/>
                <w:szCs w:val="20"/>
                <w:color w:val="auto"/>
              </w:rPr>
            </w:pPr>
            <w:r>
              <w:rPr>
                <w:rFonts w:ascii="Arial" w:cs="Arial" w:eastAsia="Arial" w:hAnsi="Arial"/>
                <w:sz w:val="14"/>
                <w:szCs w:val="14"/>
                <w:b w:val="1"/>
                <w:bCs w:val="1"/>
                <w:color w:val="auto"/>
              </w:rPr>
              <w:t>(amounts in thousands)</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Neurosurgery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184,943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179,520</w:t>
            </w: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46,497</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55,048</w:t>
            </w:r>
          </w:p>
        </w:tc>
      </w:tr>
      <w:tr>
        <w:trPr>
          <w:trHeight w:val="236"/>
        </w:trPr>
        <w:tc>
          <w:tcPr>
            <w:tcW w:w="7040" w:type="dxa"/>
            <w:vAlign w:val="bottom"/>
          </w:tcPr>
          <w:p>
            <w:pPr>
              <w:ind w:left="260"/>
              <w:spacing w:after="0"/>
              <w:rPr>
                <w:sz w:val="20"/>
                <w:szCs w:val="20"/>
                <w:color w:val="auto"/>
              </w:rPr>
            </w:pPr>
            <w:r>
              <w:rPr>
                <w:rFonts w:ascii="Arial" w:cs="Arial" w:eastAsia="Arial" w:hAnsi="Arial"/>
                <w:sz w:val="18"/>
                <w:szCs w:val="18"/>
                <w:color w:val="auto"/>
              </w:rPr>
              <w:t>Total Codman Specialty Surgical</w:t>
            </w: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231,440</w:t>
            </w: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234,568</w:t>
            </w: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324"/>
        </w:trPr>
        <w:tc>
          <w:tcPr>
            <w:tcW w:w="7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Wound Reconstruction and Care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72,267</w:t>
            </w:r>
          </w:p>
        </w:tc>
        <w:tc>
          <w:tcPr>
            <w:tcW w:w="22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74,963</w:t>
            </w: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Extremity Orthopedics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22,685</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Private Label</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29,145</w:t>
            </w:r>
          </w:p>
        </w:tc>
        <w:tc>
          <w:tcPr>
            <w:tcW w:w="22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27,474</w:t>
            </w:r>
          </w:p>
        </w:tc>
      </w:tr>
      <w:tr>
        <w:trPr>
          <w:trHeight w:val="27"/>
        </w:trPr>
        <w:tc>
          <w:tcPr>
            <w:tcW w:w="7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Orthopedics and Tissue Technologies</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122,884</w:t>
            </w: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125,122</w:t>
            </w:r>
          </w:p>
        </w:tc>
      </w:tr>
      <w:tr>
        <w:trPr>
          <w:trHeight w:val="257"/>
        </w:trPr>
        <w:tc>
          <w:tcPr>
            <w:tcW w:w="704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354,324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359,690</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Prior period amounts were reclassified between categories within the Codman Specialty Surgical segment to conform to the current period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2019</w:t>
            </w:r>
          </w:p>
        </w:tc>
      </w:tr>
      <w:tr>
        <w:trPr>
          <w:trHeight w:val="196"/>
        </w:trPr>
        <w:tc>
          <w:tcPr>
            <w:tcW w:w="7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20" w:type="dxa"/>
            <w:vAlign w:val="bottom"/>
            <w:gridSpan w:val="4"/>
          </w:tcPr>
          <w:p>
            <w:pPr>
              <w:jc w:val="right"/>
              <w:ind w:right="13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217,078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201,870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53,624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48,333</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67,380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65,851</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338,082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316,054</w:t>
            </w:r>
          </w:p>
        </w:tc>
      </w:tr>
      <w:tr>
        <w:trPr>
          <w:trHeight w:val="27"/>
        </w:trPr>
        <w:tc>
          <w:tcPr>
            <w:tcW w:w="7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three-month period ended March 31, 2020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Codman Specialty</w:t>
            </w:r>
          </w:p>
        </w:tc>
        <w:tc>
          <w:tcPr>
            <w:tcW w:w="1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4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Surgical</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Tissue Technologies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300,780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954,280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March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651,633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299,921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951,554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94"/>
              </w:rPr>
              <w:t>March 31, 2020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70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7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7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Life</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7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9"/>
              </w:rPr>
              <w:t>19 years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881,856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(225,350)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656,506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tcPr>
          <w:p>
            <w:pPr>
              <w:jc w:val="center"/>
              <w:ind w:right="155"/>
              <w:spacing w:after="0"/>
              <w:rPr>
                <w:sz w:val="20"/>
                <w:szCs w:val="20"/>
                <w:color w:val="auto"/>
              </w:rPr>
            </w:pPr>
            <w:r>
              <w:rPr>
                <w:rFonts w:ascii="Arial" w:cs="Arial" w:eastAsia="Arial" w:hAnsi="Arial"/>
                <w:sz w:val="18"/>
                <w:szCs w:val="18"/>
                <w:color w:val="auto"/>
                <w:w w:val="89"/>
              </w:rPr>
              <w:t>12 years</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221,193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(123,896)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97,297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7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9"/>
              </w:rPr>
              <w:t>28 years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103,472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74,282</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Codman tradename</w:t>
            </w:r>
          </w:p>
        </w:tc>
        <w:tc>
          <w:tcPr>
            <w:tcW w:w="1700" w:type="dxa"/>
            <w:vAlign w:val="bottom"/>
          </w:tcPr>
          <w:p>
            <w:pPr>
              <w:jc w:val="center"/>
              <w:ind w:right="155"/>
              <w:spacing w:after="0"/>
              <w:rPr>
                <w:sz w:val="20"/>
                <w:szCs w:val="20"/>
                <w:color w:val="auto"/>
              </w:rPr>
            </w:pPr>
            <w:r>
              <w:rPr>
                <w:rFonts w:ascii="Arial" w:cs="Arial" w:eastAsia="Arial" w:hAnsi="Arial"/>
                <w:sz w:val="18"/>
                <w:szCs w:val="18"/>
                <w:color w:val="auto"/>
                <w:w w:val="95"/>
              </w:rPr>
              <w:t>Indefinite</w:t>
            </w: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163,680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163,680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7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9"/>
              </w:rPr>
              <w:t>27 years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1700" w:type="dxa"/>
            <w:vAlign w:val="bottom"/>
            <w:tcBorders>
              <w:bottom w:val="single" w:sz="8" w:color="CCEEFF"/>
            </w:tcBorders>
          </w:tcPr>
          <w:p>
            <w:pPr>
              <w:jc w:val="center"/>
              <w:ind w:right="155"/>
              <w:spacing w:after="0"/>
              <w:rPr>
                <w:sz w:val="20"/>
                <w:szCs w:val="20"/>
                <w:color w:val="auto"/>
              </w:rPr>
            </w:pPr>
            <w:r>
              <w:rPr>
                <w:rFonts w:ascii="Arial" w:cs="Arial" w:eastAsia="Arial" w:hAnsi="Arial"/>
                <w:sz w:val="18"/>
                <w:szCs w:val="18"/>
                <w:color w:val="auto"/>
                <w:w w:val="84"/>
              </w:rPr>
              <w:t>4 years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10,787</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2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1,415,709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(401,482)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1,014,227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Arial" w:cs="Arial" w:eastAsia="Arial" w:hAnsi="Arial"/>
                <w:sz w:val="18"/>
                <w:szCs w:val="18"/>
                <w:color w:val="auto"/>
              </w:rPr>
              <w:t>14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7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2019</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58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5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5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58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880,623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(213,702)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666,921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jc w:val="center"/>
              <w:ind w:right="136"/>
              <w:spacing w:after="0"/>
              <w:rPr>
                <w:sz w:val="20"/>
                <w:szCs w:val="20"/>
                <w:color w:val="auto"/>
              </w:rPr>
            </w:pPr>
            <w:r>
              <w:rPr>
                <w:rFonts w:ascii="Arial" w:cs="Arial" w:eastAsia="Arial" w:hAnsi="Arial"/>
                <w:sz w:val="18"/>
                <w:szCs w:val="18"/>
                <w:color w:val="auto"/>
                <w:w w:val="86"/>
              </w:rPr>
              <w:t>12 years</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222,575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(119,393)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103,182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58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103,873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75,359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Codman tradename</w:t>
            </w:r>
          </w:p>
        </w:tc>
        <w:tc>
          <w:tcPr>
            <w:tcW w:w="1580" w:type="dxa"/>
            <w:vAlign w:val="bottom"/>
          </w:tcPr>
          <w:p>
            <w:pPr>
              <w:jc w:val="center"/>
              <w:ind w:right="156"/>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163,126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163,126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58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16,774</w:t>
            </w:r>
          </w:p>
        </w:tc>
        <w:tc>
          <w:tcPr>
            <w:tcW w:w="0" w:type="dxa"/>
            <w:vAlign w:val="bottom"/>
          </w:tcPr>
          <w:p>
            <w:pPr>
              <w:spacing w:after="0"/>
              <w:rPr>
                <w:sz w:val="1"/>
                <w:szCs w:val="1"/>
                <w:color w:val="auto"/>
              </w:rPr>
            </w:pPr>
          </w:p>
        </w:tc>
      </w:tr>
      <w:tr>
        <w:trPr>
          <w:trHeight w:val="270"/>
        </w:trPr>
        <w:tc>
          <w:tcPr>
            <w:tcW w:w="4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580" w:type="dxa"/>
            <w:vAlign w:val="bottom"/>
            <w:tcBorders>
              <w:bottom w:val="single" w:sz="8" w:color="CCEEFF"/>
            </w:tcBorders>
          </w:tcPr>
          <w:p>
            <w:pPr>
              <w:jc w:val="center"/>
              <w:ind w:right="136"/>
              <w:spacing w:after="0"/>
              <w:rPr>
                <w:sz w:val="20"/>
                <w:szCs w:val="20"/>
                <w:color w:val="auto"/>
              </w:rPr>
            </w:pPr>
            <w:r>
              <w:rPr>
                <w:rFonts w:ascii="Arial" w:cs="Arial" w:eastAsia="Arial" w:hAnsi="Arial"/>
                <w:sz w:val="18"/>
                <w:szCs w:val="18"/>
                <w:color w:val="auto"/>
                <w:w w:val="88"/>
              </w:rPr>
              <w:t>4 years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10,869</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2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68"/>
        </w:trPr>
        <w:tc>
          <w:tcPr>
            <w:tcW w:w="48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1,415,787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(384,196)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1,031,591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(1) At March 31, 2020 and December 31, 2019, all other included IPR&amp;D of $1.0 million, which was indefinite-lived.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quarter-end exchange rates, amortization expense (including amounts reported in cost of product revenues) is expected to be approximately $56.1 million for the remainder of 2020, $64.4 million in 2021, $60.8 million in 2022, $60.0 million in 2023, $59.2 million in 2024, $59.1 million in 2025 and $491.9 million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Sixth Amended and Restated Senior Credit Agreement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3, 2020, the Company entered into the sixth amendment and restatement (the "February 2020 Amendment") of its Senior Credit Facility (the "Senior Credit Facility") with a syndicate of lending banks with Bank of America, N.A., as Administrative Agent. The February 2020 Amendment extended the maturity date to February 3, 2025. The Company continues to have the aggregate principal amount of up to approximately $2.2 billion available to it through the following facilities: (i) a $877.5 million Term Loan facility, and (ii) a $1.3 billion revolving credit facility, which includes a $60 million sublimit for the issuance of standby letters of credit and a $60 million sublimit for swingline loans. The first mandatory repayment under the Term Loan portion of the February 2020 Amendment is due June 30, 2021.</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February 2020 Amendment, the Company’s maximum consolidated total leverage ratio in the financial covenants (as defined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was modified to the following:</w:t>
      </w:r>
    </w:p>
    <w:p>
      <w:pPr>
        <w:spacing w:after="0" w:line="244"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6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00" w:type="dxa"/>
            <w:vAlign w:val="bottom"/>
            <w:vMerge w:val="restart"/>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6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Leverage Ratio</w:t>
            </w:r>
          </w:p>
        </w:tc>
        <w:tc>
          <w:tcPr>
            <w:tcW w:w="0" w:type="dxa"/>
            <w:vAlign w:val="bottom"/>
          </w:tcPr>
          <w:p>
            <w:pPr>
              <w:spacing w:after="0"/>
              <w:rPr>
                <w:sz w:val="1"/>
                <w:szCs w:val="1"/>
                <w:color w:val="auto"/>
              </w:rPr>
            </w:pPr>
          </w:p>
        </w:tc>
      </w:tr>
      <w:tr>
        <w:trPr>
          <w:trHeight w:val="364"/>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First fiscal quarter ending after the Closing Date through June 30, 2022</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2022 through June 30, 2023</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September 30, 2023 and the last day of each fiscal quarter thereafter</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2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as of such date less cash that is not subject to any restriction on the use or investment thereof (b) consolidated EBITDA as defined by the February 2020 amendment, for the period of four consecutive fiscal quarters ending on such date).</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ectPr>
          <w:pgSz w:w="11900" w:h="16838" w:orient="portrait"/>
          <w:cols w:equalWidth="0" w:num="1">
            <w:col w:w="11240"/>
          </w:cols>
          <w:pgMar w:left="320" w:top="121"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March 31, 2020, the Company was in compliance with all such covenants. The Company capitalized $4.6 million of financing costs in connection with modification of the Senior Credit Facility and wrote off $1.2 million of previously capitalized financing costs during the first quarter of 2020.</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2020 and December 31, 2019, there was $150.0 million and $375.0 million outstanding, respectively, under the revolving credit component of the Senior Credit Facility at weighted average interest rates of 2.5% and 3.2%, respectively. At March 31, 2020 and December 31, 2019, there was $877.5 million outstanding, respectively, under the Term Loan component of the Senior Credit Facility at a weighted average interest rate of 2.4% and 3.2%, respectively. At March 31, 2020, there is no current portion of the Term Loan component of the Senior Credit Facility as the first mandatory repayment is due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The portion of debt proceeds that was classified as equity at the time of the offering was $104.5 million, and that amount is being amortized to interest expense using the effective interest method through August 2025. The effective interest rate implicit in the liability component is 4.2%. In connection with this offering, the Company capitalized $13.2 million of financing fees. At March 31, 2020, the carrying amount of the liability component was $473.0 million, the remaining unamortized discount was $102.0 million, and the principal amount outstanding was $575.0 million. The fair value of the 2025 Notes at March 31, 2020 was $507.7 million.</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March 31, 2020, none of these conditions existed with respect to the 2025 Notes and as a result the 2025 Notes are classified as long term.</w:t>
      </w:r>
    </w:p>
    <w:p>
      <w:pPr>
        <w:spacing w:after="0" w:line="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three months ended March 31, 2020, the Company recognized cash interest of $0.4 million and amortization of the discount on the liability component of $2.5 million for a total interest charge of $2.9 million on the 2020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is for an initial three-year term and may be extended. The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March 31, 2020, the Company was in compliance with the covenants and none of the termination events had occurred. 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1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March 31, 2020 and December 31, 2019, the Company had $98.5 million and $104.5 million, respectively, of outstanding borrowings under its Securitization Facility at a weighted average interest rate of 2.6% and 2.8%, respectively.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outstanding borrowings of the Senior Credit Facility's revolving credit and Term Loan components at March 31, 2020 were $130.4 million and, $771.3 million, respectively. The fair value of the outstanding borrowing of the Securitization Facility at March 31, 2020 was $94.5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March 31, 2020 and December 31, 2019 totaled $0.8 million. There were no amounts drawn as of March 31,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Quarter Ended March 31, 2020</w:t>
            </w:r>
          </w:p>
        </w:tc>
        <w:tc>
          <w:tcPr>
            <w:tcW w:w="4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Principal Repayment</w:t>
            </w:r>
          </w:p>
        </w:tc>
        <w:tc>
          <w:tcPr>
            <w:tcW w:w="460" w:type="dxa"/>
            <w:vAlign w:val="bottom"/>
          </w:tcPr>
          <w:p>
            <w:pPr>
              <w:spacing w:after="0"/>
              <w:rPr>
                <w:sz w:val="14"/>
                <w:szCs w:val="14"/>
                <w:color w:val="auto"/>
              </w:rPr>
            </w:pPr>
          </w:p>
        </w:tc>
      </w:tr>
      <w:tr>
        <w:trPr>
          <w:trHeight w:val="284"/>
        </w:trPr>
        <w:tc>
          <w:tcPr>
            <w:tcW w:w="3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5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2021</w:t>
            </w:r>
          </w:p>
        </w:tc>
        <w:tc>
          <w:tcPr>
            <w:tcW w:w="19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8"/>
                <w:szCs w:val="18"/>
                <w:color w:val="auto"/>
              </w:rPr>
              <w:t>33,750</w:t>
            </w:r>
          </w:p>
        </w:tc>
      </w:tr>
      <w:tr>
        <w:trPr>
          <w:trHeight w:val="27"/>
        </w:trPr>
        <w:tc>
          <w:tcPr>
            <w:tcW w:w="3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92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2023</w:t>
            </w:r>
          </w:p>
        </w:tc>
        <w:tc>
          <w:tcPr>
            <w:tcW w:w="19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8"/>
                <w:szCs w:val="18"/>
                <w:color w:val="auto"/>
              </w:rPr>
              <w:t>61,875</w:t>
            </w:r>
          </w:p>
        </w:tc>
      </w:tr>
      <w:tr>
        <w:trPr>
          <w:trHeight w:val="27"/>
        </w:trPr>
        <w:tc>
          <w:tcPr>
            <w:tcW w:w="3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92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67,500</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2025</w:t>
            </w:r>
          </w:p>
        </w:tc>
        <w:tc>
          <w:tcPr>
            <w:tcW w:w="19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8"/>
                <w:szCs w:val="18"/>
                <w:color w:val="auto"/>
              </w:rPr>
              <w:t>669,375</w:t>
            </w:r>
          </w:p>
        </w:tc>
      </w:tr>
      <w:tr>
        <w:trPr>
          <w:trHeight w:val="27"/>
        </w:trPr>
        <w:tc>
          <w:tcPr>
            <w:tcW w:w="33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8"/>
        </w:trPr>
        <w:tc>
          <w:tcPr>
            <w:tcW w:w="338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877,500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February 3, 2025.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LIBOR-indexed floating-rate borrowings.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March 31, 2020 (dollar amounts in thousands):</w:t>
      </w:r>
    </w:p>
    <w:p>
      <w:pPr>
        <w:spacing w:after="0" w:line="3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Fixed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Notional</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Interest</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Estimated Fair</w:t>
            </w:r>
          </w:p>
        </w:tc>
        <w:tc>
          <w:tcPr>
            <w:tcW w:w="0" w:type="dxa"/>
            <w:vAlign w:val="bottom"/>
          </w:tcPr>
          <w:p>
            <w:pPr>
              <w:spacing w:after="0"/>
              <w:rPr>
                <w:sz w:val="1"/>
                <w:szCs w:val="1"/>
                <w:color w:val="auto"/>
              </w:rPr>
            </w:pPr>
          </w:p>
        </w:tc>
      </w:tr>
      <w:tr>
        <w:trPr>
          <w:trHeight w:val="182"/>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Hedged Item</w:t>
            </w:r>
          </w:p>
        </w:tc>
        <w:tc>
          <w:tcPr>
            <w:tcW w:w="1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Designation Date</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Effective Date</w:t>
            </w: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Termination Date</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Rate</w:t>
            </w:r>
          </w:p>
        </w:tc>
        <w:tc>
          <w:tcPr>
            <w:tcW w:w="140" w:type="dxa"/>
            <w:vAlign w:val="bottom"/>
          </w:tcPr>
          <w:p>
            <w:pPr>
              <w:spacing w:after="0"/>
              <w:rPr>
                <w:sz w:val="15"/>
                <w:szCs w:val="15"/>
                <w:color w:val="auto"/>
              </w:rPr>
            </w:pPr>
          </w:p>
        </w:tc>
        <w:tc>
          <w:tcPr>
            <w:tcW w:w="840" w:type="dxa"/>
            <w:vAlign w:val="bottom"/>
          </w:tcPr>
          <w:p>
            <w:pPr>
              <w:jc w:val="center"/>
              <w:ind w:right="73"/>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center"/>
              <w:ind w:right="73"/>
              <w:spacing w:after="0"/>
              <w:rPr>
                <w:sz w:val="20"/>
                <w:szCs w:val="20"/>
                <w:color w:val="auto"/>
              </w:rPr>
            </w:pPr>
            <w:r>
              <w:rPr>
                <w:rFonts w:ascii="Arial" w:cs="Arial" w:eastAsia="Arial" w:hAnsi="Arial"/>
                <w:sz w:val="13"/>
                <w:szCs w:val="13"/>
                <w:b w:val="1"/>
                <w:bCs w:val="1"/>
                <w:color w:val="auto"/>
                <w:w w:val="96"/>
              </w:rPr>
              <w:t>Liabilities</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3-month USD LIBOR Loan</w:t>
            </w:r>
          </w:p>
        </w:tc>
        <w:tc>
          <w:tcPr>
            <w:tcW w:w="14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February 6, 2017</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June 30, 2017</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June 30, 2020</w:t>
            </w:r>
          </w:p>
        </w:tc>
        <w:tc>
          <w:tcPr>
            <w:tcW w:w="740" w:type="dxa"/>
            <w:vAlign w:val="bottom"/>
          </w:tcPr>
          <w:p>
            <w:pPr>
              <w:jc w:val="right"/>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7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February 6, 2017</w:t>
            </w: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June 30, 2017</w:t>
            </w: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June 30, 2020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63"/>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Pr>
          <w:p>
            <w:pPr>
              <w:spacing w:after="0"/>
              <w:rPr>
                <w:sz w:val="22"/>
                <w:szCs w:val="22"/>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22"/>
                <w:szCs w:val="2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March 27, 2017</w:t>
            </w: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31, 2017</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June 30, 2021</w:t>
            </w:r>
          </w:p>
        </w:tc>
        <w:tc>
          <w:tcPr>
            <w:tcW w:w="740" w:type="dxa"/>
            <w:vAlign w:val="bottom"/>
          </w:tcPr>
          <w:p>
            <w:pPr>
              <w:jc w:val="right"/>
              <w:spacing w:after="0"/>
              <w:rPr>
                <w:sz w:val="20"/>
                <w:szCs w:val="20"/>
                <w:color w:val="auto"/>
              </w:rPr>
            </w:pPr>
            <w:r>
              <w:rPr>
                <w:rFonts w:ascii="Arial" w:cs="Arial" w:eastAsia="Arial" w:hAnsi="Arial"/>
                <w:sz w:val="13"/>
                <w:szCs w:val="13"/>
                <w:color w:val="auto"/>
              </w:rPr>
              <w:t>1.971%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(2,024)</w:t>
            </w:r>
          </w:p>
        </w:tc>
        <w:tc>
          <w:tcPr>
            <w:tcW w:w="0" w:type="dxa"/>
            <w:vAlign w:val="bottom"/>
          </w:tcPr>
          <w:p>
            <w:pPr>
              <w:spacing w:after="0"/>
              <w:rPr>
                <w:sz w:val="1"/>
                <w:szCs w:val="1"/>
                <w:color w:val="auto"/>
              </w:rPr>
            </w:pPr>
          </w:p>
        </w:tc>
      </w:tr>
      <w:tr>
        <w:trPr>
          <w:trHeight w:val="27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150,000</w:t>
            </w:r>
          </w:p>
        </w:tc>
        <w:tc>
          <w:tcPr>
            <w:tcW w:w="1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January 1, 2018</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31, 2022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(7,467)</w:t>
            </w:r>
          </w:p>
        </w:tc>
        <w:tc>
          <w:tcPr>
            <w:tcW w:w="0" w:type="dxa"/>
            <w:vAlign w:val="bottom"/>
          </w:tcPr>
          <w:p>
            <w:pPr>
              <w:spacing w:after="0"/>
              <w:rPr>
                <w:sz w:val="1"/>
                <w:szCs w:val="1"/>
                <w:color w:val="auto"/>
              </w:rPr>
            </w:pPr>
          </w:p>
        </w:tc>
      </w:tr>
      <w:tr>
        <w:trPr>
          <w:trHeight w:val="263"/>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Pr>
          <w:p>
            <w:pPr>
              <w:spacing w:after="0"/>
              <w:rPr>
                <w:sz w:val="22"/>
                <w:szCs w:val="22"/>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150,000</w:t>
            </w:r>
          </w:p>
        </w:tc>
        <w:tc>
          <w:tcPr>
            <w:tcW w:w="120" w:type="dxa"/>
            <w:vAlign w:val="bottom"/>
          </w:tcPr>
          <w:p>
            <w:pPr>
              <w:spacing w:after="0"/>
              <w:rPr>
                <w:sz w:val="22"/>
                <w:szCs w:val="2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January 1, 2018</w:t>
            </w: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31, 2022</w:t>
            </w:r>
          </w:p>
        </w:tc>
        <w:tc>
          <w:tcPr>
            <w:tcW w:w="740" w:type="dxa"/>
            <w:vAlign w:val="bottom"/>
          </w:tcPr>
          <w:p>
            <w:pPr>
              <w:jc w:val="right"/>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(7,388)</w:t>
            </w:r>
          </w:p>
        </w:tc>
        <w:tc>
          <w:tcPr>
            <w:tcW w:w="0" w:type="dxa"/>
            <w:vAlign w:val="bottom"/>
          </w:tcPr>
          <w:p>
            <w:pPr>
              <w:spacing w:after="0"/>
              <w:rPr>
                <w:sz w:val="1"/>
                <w:szCs w:val="1"/>
                <w:color w:val="auto"/>
              </w:rPr>
            </w:pPr>
          </w:p>
        </w:tc>
      </w:tr>
      <w:tr>
        <w:trPr>
          <w:trHeight w:val="27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July 1, 2019</w:t>
            </w: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June 30, 2024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(8,475)</w:t>
            </w:r>
          </w:p>
        </w:tc>
        <w:tc>
          <w:tcPr>
            <w:tcW w:w="0" w:type="dxa"/>
            <w:vAlign w:val="bottom"/>
          </w:tcPr>
          <w:p>
            <w:pPr>
              <w:spacing w:after="0"/>
              <w:rPr>
                <w:sz w:val="1"/>
                <w:szCs w:val="1"/>
                <w:color w:val="auto"/>
              </w:rPr>
            </w:pPr>
          </w:p>
        </w:tc>
      </w:tr>
      <w:tr>
        <w:trPr>
          <w:trHeight w:val="263"/>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Pr>
          <w:p>
            <w:pPr>
              <w:spacing w:after="0"/>
              <w:rPr>
                <w:sz w:val="22"/>
                <w:szCs w:val="22"/>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22"/>
                <w:szCs w:val="2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July 1, 2019</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June 30, 2024</w:t>
            </w:r>
          </w:p>
        </w:tc>
        <w:tc>
          <w:tcPr>
            <w:tcW w:w="740" w:type="dxa"/>
            <w:vAlign w:val="bottom"/>
          </w:tcPr>
          <w:p>
            <w:pPr>
              <w:jc w:val="right"/>
              <w:spacing w:after="0"/>
              <w:rPr>
                <w:sz w:val="20"/>
                <w:szCs w:val="20"/>
                <w:color w:val="auto"/>
              </w:rPr>
            </w:pPr>
            <w:r>
              <w:rPr>
                <w:rFonts w:ascii="Arial" w:cs="Arial" w:eastAsia="Arial" w:hAnsi="Arial"/>
                <w:sz w:val="13"/>
                <w:szCs w:val="13"/>
                <w:color w:val="auto"/>
              </w:rPr>
              <w:t>2.423%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(3,994)</w:t>
            </w:r>
          </w:p>
        </w:tc>
        <w:tc>
          <w:tcPr>
            <w:tcW w:w="0" w:type="dxa"/>
            <w:vAlign w:val="bottom"/>
          </w:tcPr>
          <w:p>
            <w:pPr>
              <w:spacing w:after="0"/>
              <w:rPr>
                <w:sz w:val="1"/>
                <w:szCs w:val="1"/>
                <w:color w:val="auto"/>
              </w:rPr>
            </w:pPr>
          </w:p>
        </w:tc>
      </w:tr>
      <w:tr>
        <w:trPr>
          <w:trHeight w:val="277"/>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200,000</w:t>
            </w:r>
          </w:p>
        </w:tc>
        <w:tc>
          <w:tcPr>
            <w:tcW w:w="12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January 1, 2018</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31, 2024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(16,279)</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75,000</w:t>
            </w: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July 1, 2020</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June 30, 2025</w:t>
            </w:r>
          </w:p>
        </w:tc>
        <w:tc>
          <w:tcPr>
            <w:tcW w:w="740" w:type="dxa"/>
            <w:vAlign w:val="bottom"/>
          </w:tcPr>
          <w:p>
            <w:pPr>
              <w:jc w:val="right"/>
              <w:spacing w:after="0"/>
              <w:rPr>
                <w:sz w:val="20"/>
                <w:szCs w:val="20"/>
                <w:color w:val="auto"/>
              </w:rPr>
            </w:pPr>
            <w:r>
              <w:rPr>
                <w:rFonts w:ascii="Arial" w:cs="Arial" w:eastAsia="Arial" w:hAnsi="Arial"/>
                <w:sz w:val="13"/>
                <w:szCs w:val="13"/>
                <w:color w:val="auto"/>
              </w:rPr>
              <w:t>3.220%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(10,186)</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6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July 1, 2020</w:t>
            </w:r>
          </w:p>
        </w:tc>
        <w:tc>
          <w:tcPr>
            <w:tcW w:w="16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June 30, 2025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(10,165)</w:t>
            </w: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75,000</w:t>
            </w: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July 1, 2020</w:t>
            </w: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June 30, 2025</w:t>
            </w:r>
          </w:p>
        </w:tc>
        <w:tc>
          <w:tcPr>
            <w:tcW w:w="740" w:type="dxa"/>
            <w:vAlign w:val="bottom"/>
          </w:tcPr>
          <w:p>
            <w:pPr>
              <w:jc w:val="right"/>
              <w:spacing w:after="0"/>
              <w:rPr>
                <w:sz w:val="20"/>
                <w:szCs w:val="20"/>
                <w:color w:val="auto"/>
              </w:rPr>
            </w:pPr>
            <w:r>
              <w:rPr>
                <w:rFonts w:ascii="Arial" w:cs="Arial" w:eastAsia="Arial" w:hAnsi="Arial"/>
                <w:sz w:val="13"/>
                <w:szCs w:val="13"/>
                <w:color w:val="auto"/>
              </w:rPr>
              <w:t>3.209%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(10,185)</w:t>
            </w:r>
          </w:p>
        </w:tc>
        <w:tc>
          <w:tcPr>
            <w:tcW w:w="0" w:type="dxa"/>
            <w:vAlign w:val="bottom"/>
          </w:tcPr>
          <w:p>
            <w:pPr>
              <w:spacing w:after="0"/>
              <w:rPr>
                <w:sz w:val="1"/>
                <w:szCs w:val="1"/>
                <w:color w:val="auto"/>
              </w:rPr>
            </w:pPr>
          </w:p>
        </w:tc>
      </w:tr>
      <w:tr>
        <w:trPr>
          <w:trHeight w:val="55"/>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18, 2018</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30, 2022</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31, 2027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(9,453)</w:t>
            </w:r>
          </w:p>
        </w:tc>
        <w:tc>
          <w:tcPr>
            <w:tcW w:w="0" w:type="dxa"/>
            <w:vAlign w:val="bottom"/>
          </w:tcPr>
          <w:p>
            <w:pPr>
              <w:spacing w:after="0"/>
              <w:rPr>
                <w:sz w:val="1"/>
                <w:szCs w:val="1"/>
                <w:color w:val="auto"/>
              </w:rPr>
            </w:pPr>
          </w:p>
        </w:tc>
      </w:tr>
      <w:tr>
        <w:trPr>
          <w:trHeight w:val="215"/>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1-month USD LIBOR Loan</w:t>
            </w:r>
          </w:p>
        </w:tc>
        <w:tc>
          <w:tcPr>
            <w:tcW w:w="1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color w:val="auto"/>
              </w:rPr>
              <w:t>100,000</w:t>
            </w: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18, 2018</w:t>
            </w: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30, 2022</w:t>
            </w: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31, 2027</w:t>
            </w:r>
          </w:p>
        </w:tc>
        <w:tc>
          <w:tcPr>
            <w:tcW w:w="740" w:type="dxa"/>
            <w:vAlign w:val="bottom"/>
          </w:tcPr>
          <w:p>
            <w:pPr>
              <w:jc w:val="right"/>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(9,855)</w:t>
            </w:r>
          </w:p>
        </w:tc>
        <w:tc>
          <w:tcPr>
            <w:tcW w:w="0" w:type="dxa"/>
            <w:vAlign w:val="bottom"/>
          </w:tcPr>
          <w:p>
            <w:pPr>
              <w:spacing w:after="0"/>
              <w:rPr>
                <w:sz w:val="1"/>
                <w:szCs w:val="1"/>
                <w:color w:val="auto"/>
              </w:rPr>
            </w:pPr>
          </w:p>
        </w:tc>
      </w:tr>
      <w:tr>
        <w:trPr>
          <w:trHeight w:val="55"/>
        </w:trPr>
        <w:tc>
          <w:tcPr>
            <w:tcW w:w="23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4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3"/>
                <w:szCs w:val="13"/>
                <w:color w:val="auto"/>
              </w:rPr>
              <w:t>Total interest rate derivatives designated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1,325,000</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(95,752)</w:t>
            </w:r>
          </w:p>
        </w:tc>
        <w:tc>
          <w:tcPr>
            <w:tcW w:w="0" w:type="dxa"/>
            <w:vAlign w:val="bottom"/>
          </w:tcPr>
          <w:p>
            <w:pPr>
              <w:spacing w:after="0"/>
              <w:rPr>
                <w:sz w:val="1"/>
                <w:szCs w:val="1"/>
                <w:color w:val="auto"/>
              </w:rPr>
            </w:pPr>
          </w:p>
        </w:tc>
      </w:tr>
      <w:tr>
        <w:trPr>
          <w:trHeight w:val="91"/>
        </w:trPr>
        <w:tc>
          <w:tcPr>
            <w:tcW w:w="242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as cash flow hedge</w:t>
            </w:r>
          </w:p>
        </w:tc>
        <w:tc>
          <w:tcPr>
            <w:tcW w:w="140" w:type="dxa"/>
            <w:vAlign w:val="bottom"/>
            <w:vMerge w:val="continue"/>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20" w:type="dxa"/>
            <w:vAlign w:val="bottom"/>
            <w:tcBorders>
              <w:bottom w:val="single" w:sz="8" w:color="CCEEFF"/>
            </w:tcBorders>
            <w:gridSpan w:val="2"/>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interest rate swaps as of December 31, 2019 (dollar amounts in thousands):</w:t>
      </w:r>
    </w:p>
    <w:p>
      <w:pPr>
        <w:sectPr>
          <w:pgSz w:w="11900" w:h="16838" w:orient="portrait"/>
          <w:cols w:equalWidth="0" w:num="1">
            <w:col w:w="11240"/>
          </w:cols>
          <w:pgMar w:left="320" w:top="121" w:right="339" w:bottom="1087"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1" w:right="339" w:bottom="1087"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81"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Arial" w:cs="Arial" w:eastAsia="Arial" w:hAnsi="Arial"/>
                <w:sz w:val="13"/>
                <w:szCs w:val="13"/>
                <w:b w:val="1"/>
                <w:bCs w:val="1"/>
                <w:color w:val="auto"/>
              </w:rPr>
              <w:t>Fixed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gridSpan w:val="2"/>
          </w:tcPr>
          <w:p>
            <w:pPr>
              <w:ind w:left="40"/>
              <w:spacing w:after="0"/>
              <w:rPr>
                <w:sz w:val="20"/>
                <w:szCs w:val="20"/>
                <w:color w:val="auto"/>
              </w:rPr>
            </w:pPr>
            <w:r>
              <w:rPr>
                <w:rFonts w:ascii="Arial" w:cs="Arial" w:eastAsia="Arial" w:hAnsi="Arial"/>
                <w:sz w:val="13"/>
                <w:szCs w:val="13"/>
                <w:b w:val="1"/>
                <w:bCs w:val="1"/>
                <w:color w:val="auto"/>
              </w:rPr>
              <w:t>Hedged Item</w:t>
            </w:r>
          </w:p>
        </w:tc>
        <w:tc>
          <w:tcPr>
            <w:tcW w:w="780" w:type="dxa"/>
            <w:vAlign w:val="bottom"/>
          </w:tcPr>
          <w:p>
            <w:pPr>
              <w:ind w:left="1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Designation Date</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Effective Date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Termination Date</w:t>
            </w: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Rate</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w w:val="98"/>
              </w:rPr>
              <w:t>Estimated Fair Value</w:t>
            </w:r>
          </w:p>
        </w:tc>
        <w:tc>
          <w:tcPr>
            <w:tcW w:w="0" w:type="dxa"/>
            <w:vAlign w:val="bottom"/>
          </w:tcPr>
          <w:p>
            <w:pPr>
              <w:spacing w:after="0"/>
              <w:rPr>
                <w:sz w:val="1"/>
                <w:szCs w:val="1"/>
                <w:color w:val="auto"/>
              </w:rPr>
            </w:pPr>
          </w:p>
        </w:tc>
      </w:tr>
      <w:tr>
        <w:trPr>
          <w:trHeight w:val="270"/>
        </w:trPr>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24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3-month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February 6, 2017</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2017</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2020</w:t>
            </w:r>
          </w:p>
        </w:tc>
        <w:tc>
          <w:tcPr>
            <w:tcW w:w="600" w:type="dxa"/>
            <w:vAlign w:val="bottom"/>
          </w:tcPr>
          <w:p>
            <w:pPr>
              <w:ind w:left="140"/>
              <w:spacing w:after="0"/>
              <w:rPr>
                <w:sz w:val="20"/>
                <w:szCs w:val="20"/>
                <w:color w:val="auto"/>
              </w:rPr>
            </w:pPr>
            <w:r>
              <w:rPr>
                <w:rFonts w:ascii="Arial" w:cs="Arial" w:eastAsia="Arial" w:hAnsi="Arial"/>
                <w:sz w:val="13"/>
                <w:szCs w:val="13"/>
                <w:color w:val="auto"/>
                <w:w w:val="99"/>
              </w:rPr>
              <w:t>1.834%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February 6, 2017</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2017</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2020</w:t>
            </w:r>
          </w:p>
        </w:tc>
        <w:tc>
          <w:tcPr>
            <w:tcW w:w="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1.652%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March 27, 2017</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31, 2017</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2021</w:t>
            </w:r>
          </w:p>
        </w:tc>
        <w:tc>
          <w:tcPr>
            <w:tcW w:w="600" w:type="dxa"/>
            <w:vAlign w:val="bottom"/>
          </w:tcPr>
          <w:p>
            <w:pPr>
              <w:ind w:left="140"/>
              <w:spacing w:after="0"/>
              <w:rPr>
                <w:sz w:val="20"/>
                <w:szCs w:val="20"/>
                <w:color w:val="auto"/>
              </w:rPr>
            </w:pPr>
            <w:r>
              <w:rPr>
                <w:rFonts w:ascii="Arial" w:cs="Arial" w:eastAsia="Arial" w:hAnsi="Arial"/>
                <w:sz w:val="13"/>
                <w:szCs w:val="13"/>
                <w:color w:val="auto"/>
                <w:w w:val="99"/>
              </w:rPr>
              <w:t>1.971%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31, 2022</w:t>
            </w:r>
          </w:p>
        </w:tc>
        <w:tc>
          <w:tcPr>
            <w:tcW w:w="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2.201%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26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January 1, 2018</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31, 2022</w:t>
            </w:r>
          </w:p>
        </w:tc>
        <w:tc>
          <w:tcPr>
            <w:tcW w:w="600" w:type="dxa"/>
            <w:vAlign w:val="bottom"/>
          </w:tcPr>
          <w:p>
            <w:pPr>
              <w:ind w:left="140"/>
              <w:spacing w:after="0"/>
              <w:rPr>
                <w:sz w:val="20"/>
                <w:szCs w:val="20"/>
                <w:color w:val="auto"/>
              </w:rPr>
            </w:pPr>
            <w:r>
              <w:rPr>
                <w:rFonts w:ascii="Arial" w:cs="Arial" w:eastAsia="Arial" w:hAnsi="Arial"/>
                <w:sz w:val="13"/>
                <w:szCs w:val="13"/>
                <w:color w:val="auto"/>
                <w:w w:val="99"/>
              </w:rPr>
              <w:t>2.201%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July 1, 2019</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2024</w:t>
            </w:r>
          </w:p>
        </w:tc>
        <w:tc>
          <w:tcPr>
            <w:tcW w:w="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2.423%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0" w:type="dxa"/>
            <w:vAlign w:val="bottom"/>
          </w:tcPr>
          <w:p>
            <w:pPr>
              <w:spacing w:after="0"/>
              <w:rPr>
                <w:sz w:val="1"/>
                <w:szCs w:val="1"/>
                <w:color w:val="auto"/>
              </w:rPr>
            </w:pPr>
          </w:p>
        </w:tc>
      </w:tr>
      <w:tr>
        <w:trPr>
          <w:trHeight w:val="26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July 1, 2019</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2024</w:t>
            </w:r>
          </w:p>
        </w:tc>
        <w:tc>
          <w:tcPr>
            <w:tcW w:w="600" w:type="dxa"/>
            <w:vAlign w:val="bottom"/>
          </w:tcPr>
          <w:p>
            <w:pPr>
              <w:ind w:left="140"/>
              <w:spacing w:after="0"/>
              <w:rPr>
                <w:sz w:val="20"/>
                <w:szCs w:val="20"/>
                <w:color w:val="auto"/>
              </w:rPr>
            </w:pPr>
            <w:r>
              <w:rPr>
                <w:rFonts w:ascii="Arial" w:cs="Arial" w:eastAsia="Arial" w:hAnsi="Arial"/>
                <w:sz w:val="13"/>
                <w:szCs w:val="13"/>
                <w:color w:val="auto"/>
                <w:w w:val="99"/>
              </w:rPr>
              <w:t>2.423%</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13, 2017</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January 1, 2018</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31, 2024</w:t>
            </w:r>
          </w:p>
        </w:tc>
        <w:tc>
          <w:tcPr>
            <w:tcW w:w="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2.313%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w:t>
            </w:r>
          </w:p>
        </w:tc>
        <w:tc>
          <w:tcPr>
            <w:tcW w:w="0" w:type="dxa"/>
            <w:vAlign w:val="bottom"/>
          </w:tcPr>
          <w:p>
            <w:pPr>
              <w:spacing w:after="0"/>
              <w:rPr>
                <w:sz w:val="1"/>
                <w:szCs w:val="1"/>
                <w:color w:val="auto"/>
              </w:rPr>
            </w:pPr>
          </w:p>
        </w:tc>
      </w:tr>
      <w:tr>
        <w:trPr>
          <w:trHeight w:val="26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July 1, 2020</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2025</w:t>
            </w:r>
          </w:p>
        </w:tc>
        <w:tc>
          <w:tcPr>
            <w:tcW w:w="600" w:type="dxa"/>
            <w:vAlign w:val="bottom"/>
          </w:tcPr>
          <w:p>
            <w:pPr>
              <w:ind w:left="140"/>
              <w:spacing w:after="0"/>
              <w:rPr>
                <w:sz w:val="20"/>
                <w:szCs w:val="20"/>
                <w:color w:val="auto"/>
              </w:rPr>
            </w:pPr>
            <w:r>
              <w:rPr>
                <w:rFonts w:ascii="Arial" w:cs="Arial" w:eastAsia="Arial" w:hAnsi="Arial"/>
                <w:sz w:val="13"/>
                <w:szCs w:val="13"/>
                <w:color w:val="auto"/>
                <w:w w:val="99"/>
              </w:rPr>
              <w:t>3.220%</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(5,750)</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July 1, 2020</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June 30, 2025</w:t>
            </w:r>
          </w:p>
        </w:tc>
        <w:tc>
          <w:tcPr>
            <w:tcW w:w="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3.199%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w:t>
            </w:r>
          </w:p>
        </w:tc>
        <w:tc>
          <w:tcPr>
            <w:tcW w:w="0" w:type="dxa"/>
            <w:vAlign w:val="bottom"/>
          </w:tcPr>
          <w:p>
            <w:pPr>
              <w:spacing w:after="0"/>
              <w:rPr>
                <w:sz w:val="1"/>
                <w:szCs w:val="1"/>
                <w:color w:val="auto"/>
              </w:rPr>
            </w:pPr>
          </w:p>
        </w:tc>
      </w:tr>
      <w:tr>
        <w:trPr>
          <w:trHeight w:val="264"/>
        </w:trPr>
        <w:tc>
          <w:tcPr>
            <w:tcW w:w="154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22"/>
                <w:szCs w:val="22"/>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October 10, 2018</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July 1, 2020</w:t>
            </w:r>
          </w:p>
        </w:tc>
        <w:tc>
          <w:tcPr>
            <w:tcW w:w="12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June 30, 2025</w:t>
            </w:r>
          </w:p>
        </w:tc>
        <w:tc>
          <w:tcPr>
            <w:tcW w:w="600" w:type="dxa"/>
            <w:vAlign w:val="bottom"/>
          </w:tcPr>
          <w:p>
            <w:pPr>
              <w:ind w:left="140"/>
              <w:spacing w:after="0"/>
              <w:rPr>
                <w:sz w:val="20"/>
                <w:szCs w:val="20"/>
                <w:color w:val="auto"/>
              </w:rPr>
            </w:pPr>
            <w:r>
              <w:rPr>
                <w:rFonts w:ascii="Arial" w:cs="Arial" w:eastAsia="Arial" w:hAnsi="Arial"/>
                <w:sz w:val="13"/>
                <w:szCs w:val="13"/>
                <w:color w:val="auto"/>
                <w:w w:val="99"/>
              </w:rPr>
              <w:t>3.209%</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(5,807)</w:t>
            </w:r>
          </w:p>
        </w:tc>
        <w:tc>
          <w:tcPr>
            <w:tcW w:w="0" w:type="dxa"/>
            <w:vAlign w:val="bottom"/>
          </w:tcPr>
          <w:p>
            <w:pPr>
              <w:spacing w:after="0"/>
              <w:rPr>
                <w:sz w:val="1"/>
                <w:szCs w:val="1"/>
                <w:color w:val="auto"/>
              </w:rPr>
            </w:pPr>
          </w:p>
        </w:tc>
      </w:tr>
      <w:tr>
        <w:trPr>
          <w:trHeight w:val="276"/>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18, 2018</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30, 2022</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December 31, 2027</w:t>
            </w:r>
          </w:p>
        </w:tc>
        <w:tc>
          <w:tcPr>
            <w:tcW w:w="6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2.885%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1-month USD LIBOR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2"/>
              </w:rPr>
              <w:t>December 18, 2018</w:t>
            </w: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2"/>
              </w:rPr>
              <w:t>December 30, 2022</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2"/>
              </w:rPr>
              <w:t>December 31, 2027</w:t>
            </w:r>
          </w:p>
        </w:tc>
        <w:tc>
          <w:tcPr>
            <w:tcW w:w="6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w w:val="99"/>
              </w:rPr>
              <w:t>2.867%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c>
          <w:tcPr>
            <w:tcW w:w="0" w:type="dxa"/>
            <w:vAlign w:val="bottom"/>
          </w:tcPr>
          <w:p>
            <w:pPr>
              <w:spacing w:after="0"/>
              <w:rPr>
                <w:sz w:val="1"/>
                <w:szCs w:val="1"/>
                <w:color w:val="auto"/>
              </w:rPr>
            </w:pPr>
          </w:p>
        </w:tc>
      </w:tr>
      <w:tr>
        <w:trPr>
          <w:trHeight w:val="151"/>
        </w:trPr>
        <w:tc>
          <w:tcPr>
            <w:tcW w:w="15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interest rate</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(45,145)</w:t>
            </w:r>
          </w:p>
        </w:tc>
        <w:tc>
          <w:tcPr>
            <w:tcW w:w="0" w:type="dxa"/>
            <w:vAlign w:val="bottom"/>
          </w:tcPr>
          <w:p>
            <w:pPr>
              <w:spacing w:after="0"/>
              <w:rPr>
                <w:sz w:val="1"/>
                <w:szCs w:val="1"/>
                <w:color w:val="auto"/>
              </w:rPr>
            </w:pPr>
          </w:p>
        </w:tc>
      </w:tr>
      <w:tr>
        <w:trPr>
          <w:trHeight w:val="148"/>
        </w:trPr>
        <w:tc>
          <w:tcPr>
            <w:tcW w:w="1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derivatives designated</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  1,325,000</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rPr>
              <w:t>as cash flow hedge</w:t>
            </w: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until the hedged item affects earnings. Once the related hedged item affects earnings, the Company reclassifies amounts recorded in AOCL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March 31, 2020 (dollar amounts in thousands):</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 (UNAUDITED) (continued)</w:t>
      </w:r>
    </w:p>
    <w:p>
      <w:pPr>
        <w:spacing w:after="0" w:line="200" w:lineRule="exact"/>
        <w:rPr>
          <w:sz w:val="20"/>
          <w:szCs w:val="20"/>
          <w:color w:val="auto"/>
        </w:rPr>
      </w:pPr>
    </w:p>
    <w:p>
      <w:pPr>
        <w:spacing w:after="0" w:line="243" w:lineRule="exact"/>
        <w:rPr>
          <w:sz w:val="20"/>
          <w:szCs w:val="20"/>
          <w:color w:val="auto"/>
        </w:rPr>
      </w:pPr>
    </w:p>
    <w:tbl>
      <w:tblPr>
        <w:tblLayout w:type="fixed"/>
        <w:tblInd w:w="4280" w:type="dxa"/>
        <w:tblCellMar>
          <w:top w:w="0" w:type="dxa"/>
          <w:left w:w="0" w:type="dxa"/>
          <w:bottom w:w="0" w:type="dxa"/>
          <w:right w:w="0" w:type="dxa"/>
        </w:tblCellMar>
      </w:tblPr>
      <w:tr>
        <w:trPr>
          <w:trHeight w:val="192"/>
        </w:trPr>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152"/>
        </w:trPr>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vMerge w:val="restart"/>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Termination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Fixed Rate</w:t>
            </w:r>
          </w:p>
        </w:tc>
        <w:tc>
          <w:tcPr>
            <w:tcW w:w="120" w:type="dxa"/>
            <w:vAlign w:val="bottom"/>
            <w:vMerge w:val="restart"/>
          </w:tcPr>
          <w:p>
            <w:pPr>
              <w:spacing w:after="0"/>
              <w:rPr>
                <w:sz w:val="13"/>
                <w:szCs w:val="13"/>
                <w:color w:val="auto"/>
              </w:rPr>
            </w:pPr>
          </w:p>
        </w:tc>
        <w:tc>
          <w:tcPr>
            <w:tcW w:w="168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1"/>
              </w:rPr>
              <w:t>Aggregate Notional</w:t>
            </w:r>
          </w:p>
        </w:tc>
        <w:tc>
          <w:tcPr>
            <w:tcW w:w="1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145415</wp:posOffset>
            </wp:positionV>
            <wp:extent cx="107188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880" cy="3429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5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w:t>
            </w:r>
          </w:p>
        </w:tc>
        <w:tc>
          <w:tcPr>
            <w:tcW w:w="111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32,355</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5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11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4.38%</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33,333</w:t>
            </w:r>
          </w:p>
        </w:tc>
      </w:tr>
      <w:tr>
        <w:trPr>
          <w:trHeight w:val="176"/>
        </w:trPr>
        <w:tc>
          <w:tcPr>
            <w:tcW w:w="4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111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5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w:t>
            </w:r>
          </w:p>
        </w:tc>
        <w:tc>
          <w:tcPr>
            <w:tcW w:w="111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48,533</w:t>
            </w: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5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11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4.46%</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r>
      <w:tr>
        <w:trPr>
          <w:trHeight w:val="175"/>
        </w:trPr>
        <w:tc>
          <w:tcPr>
            <w:tcW w:w="4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50" w:type="dxa"/>
            <w:vAlign w:val="bottom"/>
          </w:tcPr>
          <w:p>
            <w:pPr>
              <w:spacing w:after="0"/>
              <w:rPr>
                <w:sz w:val="15"/>
                <w:szCs w:val="15"/>
                <w:color w:val="auto"/>
              </w:rPr>
            </w:pPr>
          </w:p>
        </w:tc>
        <w:tc>
          <w:tcPr>
            <w:tcW w:w="111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5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w:t>
            </w:r>
          </w:p>
        </w:tc>
        <w:tc>
          <w:tcPr>
            <w:tcW w:w="111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145,597</w:t>
            </w:r>
          </w:p>
        </w:tc>
      </w:tr>
      <w:tr>
        <w:trPr>
          <w:trHeight w:val="243"/>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5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11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4.52%</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150,000</w:t>
            </w:r>
          </w:p>
        </w:tc>
      </w:tr>
      <w:tr>
        <w:trPr>
          <w:trHeight w:val="27"/>
        </w:trPr>
        <w:tc>
          <w:tcPr>
            <w:tcW w:w="4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50" w:type="dxa"/>
            <w:vAlign w:val="bottom"/>
            <w:shd w:val="clear" w:color="auto" w:fill="CCEEFF"/>
          </w:tcPr>
          <w:p>
            <w:pPr>
              <w:spacing w:after="0"/>
              <w:rPr>
                <w:sz w:val="2"/>
                <w:szCs w:val="2"/>
                <w:color w:val="auto"/>
              </w:rPr>
            </w:pPr>
          </w:p>
        </w:tc>
        <w:tc>
          <w:tcPr>
            <w:tcW w:w="111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2019 (dollar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340360</wp:posOffset>
            </wp:positionV>
            <wp:extent cx="3634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3840" w:type="dxa"/>
        <w:tblCellMar>
          <w:top w:w="0" w:type="dxa"/>
          <w:left w:w="0" w:type="dxa"/>
          <w:bottom w:w="0" w:type="dxa"/>
          <w:right w:w="0" w:type="dxa"/>
        </w:tblCellMar>
      </w:tblPr>
      <w:tr>
        <w:trPr>
          <w:trHeight w:val="161"/>
        </w:trPr>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Effective Date</w:t>
            </w: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Termination Date</w:t>
            </w: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Fixed Rate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 Notional</w:t>
            </w:r>
          </w:p>
        </w:tc>
        <w:tc>
          <w:tcPr>
            <w:tcW w:w="0" w:type="dxa"/>
            <w:vAlign w:val="bottom"/>
          </w:tcPr>
          <w:p>
            <w:pPr>
              <w:spacing w:after="0"/>
              <w:rPr>
                <w:sz w:val="1"/>
                <w:szCs w:val="1"/>
                <w:color w:val="auto"/>
              </w:rPr>
            </w:pPr>
          </w:p>
        </w:tc>
      </w:tr>
      <w:tr>
        <w:trPr>
          <w:trHeight w:val="105"/>
        </w:trPr>
        <w:tc>
          <w:tcPr>
            <w:tcW w:w="136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1321" w:hanging="1321"/>
        <w:spacing w:after="0"/>
        <w:tabs>
          <w:tab w:leader="none" w:pos="1321" w:val="left"/>
        </w:tabs>
        <w:numPr>
          <w:ilvl w:val="0"/>
          <w:numId w:val="5"/>
        </w:numPr>
        <w:rPr>
          <w:rFonts w:ascii="Arial" w:cs="Arial" w:eastAsia="Arial" w:hAnsi="Arial"/>
          <w:sz w:val="16"/>
          <w:szCs w:val="16"/>
          <w:color w:val="auto"/>
        </w:rPr>
      </w:pPr>
      <w:r>
        <w:rPr>
          <w:rFonts w:ascii="Arial" w:cs="Arial" w:eastAsia="Arial" w:hAnsi="Arial"/>
          <w:sz w:val="16"/>
          <w:szCs w:val="16"/>
          <w:color w:val="auto"/>
        </w:rPr>
        <w:t>(74)</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81"/>
        <w:spacing w:after="0"/>
        <w:rPr>
          <w:rFonts w:ascii="Arial" w:cs="Arial" w:eastAsia="Arial" w:hAnsi="Arial"/>
          <w:sz w:val="16"/>
          <w:szCs w:val="16"/>
          <w:color w:val="auto"/>
        </w:rPr>
      </w:pPr>
      <w:r>
        <w:rPr>
          <w:rFonts w:ascii="Arial" w:cs="Arial" w:eastAsia="Arial" w:hAnsi="Arial"/>
          <w:sz w:val="18"/>
          <w:szCs w:val="18"/>
          <w:color w:val="auto"/>
        </w:rPr>
        <w:t>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-224790</wp:posOffset>
            </wp:positionV>
            <wp:extent cx="107188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880" cy="3429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229235</wp:posOffset>
            </wp:positionV>
            <wp:extent cx="107188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3429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141"/>
        <w:spacing w:after="0"/>
        <w:rPr>
          <w:sz w:val="20"/>
          <w:szCs w:val="20"/>
          <w:color w:val="auto"/>
        </w:rPr>
      </w:pPr>
      <w:r>
        <w:rPr>
          <w:rFonts w:ascii="Arial" w:cs="Arial" w:eastAsia="Arial" w:hAnsi="Arial"/>
          <w:sz w:val="18"/>
          <w:szCs w:val="18"/>
          <w:color w:val="auto"/>
        </w:rPr>
        <w:t>3,416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117475</wp:posOffset>
            </wp:positionV>
            <wp:extent cx="1071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67" w:lineRule="exact"/>
        <w:rPr>
          <w:sz w:val="20"/>
          <w:szCs w:val="20"/>
          <w:color w:val="auto"/>
        </w:rPr>
      </w:pPr>
    </w:p>
    <w:p>
      <w:pPr>
        <w:ind w:left="1141" w:hanging="1141"/>
        <w:spacing w:after="0"/>
        <w:tabs>
          <w:tab w:leader="none" w:pos="1141" w:val="left"/>
        </w:tabs>
        <w:numPr>
          <w:ilvl w:val="0"/>
          <w:numId w:val="6"/>
        </w:numPr>
        <w:rPr>
          <w:rFonts w:ascii="Arial" w:cs="Arial" w:eastAsia="Arial" w:hAnsi="Arial"/>
          <w:sz w:val="18"/>
          <w:szCs w:val="18"/>
          <w:color w:val="auto"/>
        </w:rPr>
      </w:pPr>
      <w:r>
        <w:rPr>
          <w:rFonts w:ascii="Arial" w:cs="Arial" w:eastAsia="Arial" w:hAnsi="Arial"/>
          <w:sz w:val="18"/>
          <w:szCs w:val="18"/>
          <w:color w:val="auto"/>
        </w:rPr>
        <w:t>3,874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1071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1"/>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23495</wp:posOffset>
            </wp:positionV>
            <wp:extent cx="9944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5" w:lineRule="exact"/>
        <w:rPr>
          <w:sz w:val="20"/>
          <w:szCs w:val="20"/>
          <w:color w:val="auto"/>
        </w:rPr>
      </w:pPr>
    </w:p>
    <w:p>
      <w:pPr>
        <w:ind w:left="561"/>
        <w:spacing w:after="0"/>
        <w:rPr>
          <w:sz w:val="20"/>
          <w:szCs w:val="20"/>
          <w:color w:val="auto"/>
        </w:rPr>
      </w:pPr>
      <w:r>
        <w:rPr>
          <w:rFonts w:ascii="Arial" w:cs="Arial" w:eastAsia="Arial" w:hAnsi="Arial"/>
          <w:sz w:val="14"/>
          <w:szCs w:val="14"/>
          <w:b w:val="1"/>
          <w:bCs w:val="1"/>
          <w:color w:val="auto"/>
        </w:rPr>
        <w:t>Fair Value</w:t>
      </w:r>
    </w:p>
    <w:p>
      <w:pPr>
        <w:spacing w:after="0" w:line="4" w:lineRule="exact"/>
        <w:rPr>
          <w:sz w:val="20"/>
          <w:szCs w:val="20"/>
          <w:color w:val="auto"/>
        </w:rPr>
      </w:pPr>
    </w:p>
    <w:p>
      <w:pPr>
        <w:ind w:left="381"/>
        <w:spacing w:after="0"/>
        <w:rPr>
          <w:sz w:val="20"/>
          <w:szCs w:val="20"/>
          <w:color w:val="auto"/>
        </w:rPr>
      </w:pPr>
      <w:r>
        <w:rPr>
          <w:rFonts w:ascii="Arial" w:cs="Arial" w:eastAsia="Arial" w:hAnsi="Arial"/>
          <w:sz w:val="14"/>
          <w:szCs w:val="14"/>
          <w:b w:val="1"/>
          <w:bCs w:val="1"/>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13335</wp:posOffset>
            </wp:positionV>
            <wp:extent cx="9944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560" w:space="19"/>
            <w:col w:w="1661"/>
          </w:cols>
          <w:pgMar w:left="320" w:top="121"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6"/>
              </w:rPr>
              <w:t>October 2, 2017</w:t>
            </w:r>
          </w:p>
        </w:tc>
        <w:tc>
          <w:tcPr>
            <w:tcW w:w="13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1"/>
              </w:rPr>
              <w:t>October 2, 2020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32,355</w:t>
            </w:r>
          </w:p>
        </w:tc>
        <w:tc>
          <w:tcPr>
            <w:tcW w:w="62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28"/>
        </w:trPr>
        <w:tc>
          <w:tcPr>
            <w:tcW w:w="37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4.38%</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33,333</w:t>
            </w:r>
          </w:p>
        </w:tc>
        <w:tc>
          <w:tcPr>
            <w:tcW w:w="62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gridSpan w:val="2"/>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6"/>
              </w:rPr>
              <w:t>October 2, 2017</w:t>
            </w:r>
          </w:p>
        </w:tc>
        <w:tc>
          <w:tcPr>
            <w:tcW w:w="13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1"/>
              </w:rPr>
              <w:t>October 2, 2021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1.85%</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48,533</w:t>
            </w:r>
          </w:p>
        </w:tc>
        <w:tc>
          <w:tcPr>
            <w:tcW w:w="62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35"/>
        </w:trPr>
        <w:tc>
          <w:tcPr>
            <w:tcW w:w="37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4.46%</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6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gridSpan w:val="2"/>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6"/>
              </w:rPr>
              <w:t>October 2, 2017</w:t>
            </w:r>
          </w:p>
        </w:tc>
        <w:tc>
          <w:tcPr>
            <w:tcW w:w="130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1"/>
              </w:rPr>
              <w:t>October 2, 2022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1.95%</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145,598</w:t>
            </w:r>
          </w:p>
        </w:tc>
        <w:tc>
          <w:tcPr>
            <w:tcW w:w="62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35"/>
        </w:trPr>
        <w:tc>
          <w:tcPr>
            <w:tcW w:w="37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4.52%</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gridSpan w:val="2"/>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cross- currency swaps are carried on the consolidated balance sheet at fair value, and changes in the fair values are recorded as unrealized gains or losses in AOCL. For the three months ended March 31, 2020 and 2019, the Company recorded a loss of $1.7 million and a gain of $3.3 million, respectively, in other income(expense), net related to change in fair value related to the foreign currency rate translation to offset the gains or losses recognized on the intercompany loan.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2020 and 2019, the Company recorded gains of $5.9 million and $5.5 million, respectively, in AOCL related to change in fair value of the cross-currency swaps.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2020 and 2019, the Company recorded gains of $1.5 million and $1.9 million, respectively, in other income (expense), net included in the consolidated statements of operations related to the interest rate differential of the cross-currency swaps.</w:t>
      </w:r>
    </w:p>
    <w:p>
      <w:pPr>
        <w:spacing w:after="0" w:line="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estimated gain that is expected to be reclassified to other income (expense), net from AOCL as of March 31, 2020 within the next twelve months is $5.1 million. As of March 31, 2020, the Company does not expect any gains or losses will be reclassified into earnings as a result of the discontinuance of these cash flow hedges because the original forecasted transaction will not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the Company entered into cross-currency swap agreements designated as net investment hedges to partially offset the effects of foreign currency on foreign subsidiaries.</w:t>
      </w:r>
    </w:p>
    <w:p>
      <w:pPr>
        <w:spacing w:after="0" w:line="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March 31, 2020 and December 31, 2019, respectively (dollar amounts in thousands):</w:t>
      </w:r>
    </w:p>
    <w:p>
      <w:pPr>
        <w:sectPr>
          <w:pgSz w:w="11900" w:h="16838" w:orient="portrait"/>
          <w:cols w:equalWidth="0" w:num="1">
            <w:col w:w="11240"/>
          </w:cols>
          <w:pgMar w:left="320" w:top="121" w:right="339" w:bottom="1440" w:gutter="0" w:footer="0" w:header="0"/>
          <w:type w:val="continuous"/>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Effective Date</w:t>
            </w:r>
          </w:p>
        </w:tc>
        <w:tc>
          <w:tcPr>
            <w:tcW w:w="2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Termination Date</w:t>
            </w:r>
          </w:p>
        </w:tc>
        <w:tc>
          <w:tcPr>
            <w:tcW w:w="10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Fixed Rate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230"/>
              <w:spacing w:after="0" w:line="153" w:lineRule="exact"/>
              <w:rPr>
                <w:sz w:val="20"/>
                <w:szCs w:val="20"/>
                <w:color w:val="auto"/>
              </w:rPr>
            </w:pPr>
            <w:r>
              <w:rPr>
                <w:rFonts w:ascii="Arial" w:cs="Arial" w:eastAsia="Arial" w:hAnsi="Arial"/>
                <w:sz w:val="14"/>
                <w:szCs w:val="14"/>
                <w:b w:val="1"/>
                <w:bCs w:val="1"/>
                <w:color w:val="auto"/>
                <w:w w:val="92"/>
              </w:rPr>
              <w:t>Aggregate Notional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3, 2018</w:t>
            </w: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44,859</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60" w:type="dxa"/>
            <w:vAlign w:val="bottom"/>
            <w:gridSpan w:val="4"/>
            <w:vMerge w:val="continue"/>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52,000</w:t>
            </w:r>
          </w:p>
        </w:tc>
        <w:tc>
          <w:tcPr>
            <w:tcW w:w="180" w:type="dxa"/>
            <w:vAlign w:val="bottom"/>
            <w:gridSpan w:val="2"/>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3, 2018</w:t>
            </w: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51,760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60" w:type="dxa"/>
            <w:vAlign w:val="bottom"/>
            <w:gridSpan w:val="4"/>
            <w:vMerge w:val="continue"/>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60,000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3, 2018</w:t>
            </w: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38,820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60" w:type="dxa"/>
            <w:vAlign w:val="bottom"/>
            <w:gridSpan w:val="4"/>
            <w:vMerge w:val="continue"/>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GBP</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3, 2018</w:t>
            </w: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GBP</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w w:val="87"/>
              </w:rPr>
              <w:t>16,773</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60" w:type="dxa"/>
            <w:vAlign w:val="bottom"/>
            <w:gridSpan w:val="4"/>
            <w:vMerge w:val="continue"/>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167,500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October 3, 2018</w:t>
            </w:r>
          </w:p>
        </w:tc>
        <w:tc>
          <w:tcPr>
            <w:tcW w:w="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165,172</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108"/>
        </w:trPr>
        <w:tc>
          <w:tcPr>
            <w:tcW w:w="2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GBP</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360" w:type="dxa"/>
            <w:vAlign w:val="bottom"/>
            <w:gridSpan w:val="4"/>
            <w:vMerge w:val="continue"/>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GBP</w:t>
            </w:r>
          </w:p>
        </w:tc>
        <w:tc>
          <w:tcPr>
            <w:tcW w:w="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128,284</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7"/>
              </w:rPr>
              <w:t>25,362</w:t>
            </w:r>
          </w:p>
        </w:tc>
        <w:tc>
          <w:tcPr>
            <w:tcW w:w="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Effective Date</w:t>
            </w:r>
          </w:p>
        </w:tc>
        <w:tc>
          <w:tcPr>
            <w:tcW w:w="2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Fixed Rate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130"/>
              <w:spacing w:after="0" w:line="153" w:lineRule="exact"/>
              <w:rPr>
                <w:sz w:val="20"/>
                <w:szCs w:val="20"/>
                <w:color w:val="auto"/>
              </w:rPr>
            </w:pPr>
            <w:r>
              <w:rPr>
                <w:rFonts w:ascii="Arial" w:cs="Arial" w:eastAsia="Arial" w:hAnsi="Arial"/>
                <w:sz w:val="14"/>
                <w:szCs w:val="14"/>
                <w:b w:val="1"/>
                <w:bCs w:val="1"/>
                <w:color w:val="auto"/>
              </w:rPr>
              <w:t>Aggregate Notional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44,859</w:t>
            </w:r>
          </w:p>
        </w:tc>
        <w:tc>
          <w:tcPr>
            <w:tcW w:w="20" w:type="dxa"/>
            <w:vAlign w:val="bottom"/>
            <w:shd w:val="clear" w:color="auto" w:fill="CCEEFF"/>
          </w:tcPr>
          <w:p>
            <w:pPr>
              <w:spacing w:after="0"/>
              <w:rPr>
                <w:sz w:val="23"/>
                <w:szCs w:val="2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2,459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52,000</w:t>
            </w:r>
          </w:p>
        </w:tc>
        <w:tc>
          <w:tcPr>
            <w:tcW w:w="2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51,760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3,087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2.57%</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60,000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EUR</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38,820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2,032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2.19%</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GBP</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GBP</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128,284</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w w:val="95"/>
              </w:rPr>
              <w:t>(154)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U.S.$</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2.71%</w:t>
            </w:r>
          </w:p>
        </w:tc>
        <w:tc>
          <w:tcPr>
            <w:tcW w:w="100" w:type="dxa"/>
            <w:vAlign w:val="bottom"/>
            <w:shd w:val="clear" w:color="auto" w:fill="CCEEFF"/>
          </w:tcPr>
          <w:p>
            <w:pPr>
              <w:spacing w:after="0"/>
              <w:rPr>
                <w:sz w:val="9"/>
                <w:szCs w:val="9"/>
                <w:color w:val="auto"/>
              </w:rPr>
            </w:pPr>
          </w:p>
        </w:tc>
        <w:tc>
          <w:tcPr>
            <w:tcW w:w="820" w:type="dxa"/>
            <w:vAlign w:val="bottom"/>
            <w:gridSpan w:val="3"/>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167,500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 CHF</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3,</w:t>
            </w: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CHF</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165,172</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Receive GBP</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center"/>
              <w:ind w:left="70"/>
              <w:spacing w:after="0"/>
              <w:rPr>
                <w:sz w:val="20"/>
                <w:szCs w:val="20"/>
                <w:color w:val="auto"/>
              </w:rPr>
            </w:pPr>
            <w:r>
              <w:rPr>
                <w:rFonts w:ascii="Arial" w:cs="Arial" w:eastAsia="Arial" w:hAnsi="Arial"/>
                <w:sz w:val="18"/>
                <w:szCs w:val="18"/>
                <w:color w:val="auto"/>
                <w:w w:val="90"/>
              </w:rPr>
              <w:t>1.67%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GBP</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128,284</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3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8,645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AOCL. For the three months ended March 31, 2020 and 2019, the Company recorded gains of $16.7 million and $7.9 million in AOCL related to the change in fair value of the cross-currency swaps.</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three months ended March 31, 2020 and 2019, the Company recorded gains of $2.2 million and $2.3 million in interest income included in the consolidated statements of operations related to the interest rate differential of the cross-currency swaps.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gain that is expected to be reclassified to interest income from AOCL as of March 31, 2020 within the next twelve months is $8.2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low. Furthermore, none of the Company’s derivative transactions are subject to collateral or other security arrangements, and none contain provisions that depend upon the Company’s credit ratings from any credit rating agency.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for derivatives designated as hedging instruments 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December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1151"/>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76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44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22"/>
                <w:szCs w:val="22"/>
                <w:color w:val="auto"/>
              </w:rPr>
            </w:pPr>
          </w:p>
        </w:tc>
        <w:tc>
          <w:tcPr>
            <w:tcW w:w="150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gridSpan w:val="3"/>
          </w:tcPr>
          <w:p>
            <w:pPr>
              <w:jc w:val="right"/>
              <w:ind w:right="119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48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5,065</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5,032</w:t>
            </w: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8,164</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7,952</w:t>
            </w:r>
          </w:p>
        </w:tc>
      </w:tr>
      <w:tr>
        <w:trPr>
          <w:trHeight w:val="243"/>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48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26,307</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3,465</w:t>
            </w:r>
          </w:p>
        </w:tc>
      </w:tr>
      <w:tr>
        <w:trPr>
          <w:trHeight w:val="237"/>
        </w:trPr>
        <w:tc>
          <w:tcPr>
            <w:tcW w:w="77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39,536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16,461</w:t>
            </w:r>
          </w:p>
        </w:tc>
      </w:tr>
      <w:tr>
        <w:trPr>
          <w:trHeight w:val="67"/>
        </w:trPr>
        <w:tc>
          <w:tcPr>
            <w:tcW w:w="2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8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78"/>
        </w:trPr>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760" w:type="dxa"/>
            <w:vAlign w:val="bottom"/>
            <w:gridSpan w:val="5"/>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70"/>
        </w:trPr>
        <w:tc>
          <w:tcPr>
            <w:tcW w:w="280" w:type="dxa"/>
            <w:vAlign w:val="bottom"/>
            <w:shd w:val="clear" w:color="auto" w:fill="CCEEFF"/>
          </w:tcPr>
          <w:p>
            <w:pPr>
              <w:spacing w:after="0"/>
              <w:rPr>
                <w:sz w:val="23"/>
                <w:szCs w:val="23"/>
                <w:color w:val="auto"/>
              </w:rPr>
            </w:pPr>
          </w:p>
        </w:tc>
        <w:tc>
          <w:tcPr>
            <w:tcW w:w="7480" w:type="dxa"/>
            <w:vAlign w:val="bottom"/>
            <w:gridSpan w:val="4"/>
            <w:shd w:val="clear" w:color="auto" w:fill="CCEEFF"/>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19,793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6,635</w:t>
            </w: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7480" w:type="dxa"/>
            <w:vAlign w:val="bottom"/>
            <w:gridSpan w:val="4"/>
          </w:tcPr>
          <w:p>
            <w:pPr>
              <w:spacing w:after="0"/>
              <w:rPr>
                <w:sz w:val="20"/>
                <w:szCs w:val="20"/>
                <w:color w:val="auto"/>
              </w:rPr>
            </w:pPr>
            <w:r>
              <w:rPr>
                <w:rFonts w:ascii="Arial" w:cs="Arial" w:eastAsia="Arial" w:hAnsi="Arial"/>
                <w:sz w:val="16"/>
                <w:szCs w:val="16"/>
                <w:color w:val="auto"/>
              </w:rPr>
              <w:t>Cash Flow Hedges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70"/>
        </w:trPr>
        <w:tc>
          <w:tcPr>
            <w:tcW w:w="280" w:type="dxa"/>
            <w:vAlign w:val="bottom"/>
            <w:shd w:val="clear" w:color="auto" w:fill="CCEEFF"/>
          </w:tcPr>
          <w:p>
            <w:pPr>
              <w:spacing w:after="0"/>
              <w:rPr>
                <w:sz w:val="23"/>
                <w:szCs w:val="23"/>
                <w:color w:val="auto"/>
              </w:rPr>
            </w:pPr>
          </w:p>
        </w:tc>
        <w:tc>
          <w:tcPr>
            <w:tcW w:w="7480" w:type="dxa"/>
            <w:vAlign w:val="bottom"/>
            <w:gridSpan w:val="4"/>
            <w:shd w:val="clear" w:color="auto" w:fill="CCEEFF"/>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75,959</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38,522</w:t>
            </w: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1,117</w:t>
            </w:r>
          </w:p>
        </w:tc>
        <w:tc>
          <w:tcPr>
            <w:tcW w:w="28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5,440</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58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48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9,109</w:t>
            </w:r>
          </w:p>
        </w:tc>
        <w:tc>
          <w:tcPr>
            <w:tcW w:w="28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2,772</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106,052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53,470</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hanging="332"/>
        <w:spacing w:after="0" w:line="208"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At March 31, 2020 and December 31, 2019, the notional amount related to the Company’s interest rate swaps were $1.3 billion and $1.3 billion,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months ended March 31,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Amount of Gain</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6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1"/>
              </w:rPr>
              <w:t>Location in</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(Loss)</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Balance in AOCL</w:t>
            </w: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Reclassified from</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in AOCL</w:t>
            </w:r>
          </w:p>
        </w:tc>
        <w:tc>
          <w:tcPr>
            <w:tcW w:w="266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87"/>
              </w:rPr>
              <w:t>Statements of</w:t>
            </w:r>
          </w:p>
        </w:tc>
        <w:tc>
          <w:tcPr>
            <w:tcW w:w="0" w:type="dxa"/>
            <w:vAlign w:val="bottom"/>
          </w:tcPr>
          <w:p>
            <w:pPr>
              <w:spacing w:after="0"/>
              <w:rPr>
                <w:sz w:val="1"/>
                <w:szCs w:val="1"/>
                <w:color w:val="auto"/>
              </w:rPr>
            </w:pPr>
          </w:p>
        </w:tc>
      </w:tr>
      <w:tr>
        <w:trPr>
          <w:trHeight w:val="99"/>
        </w:trPr>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tcPr>
          <w:p>
            <w:pPr>
              <w:jc w:val="center"/>
              <w:ind w:right="240"/>
              <w:spacing w:after="0" w:line="99" w:lineRule="exact"/>
              <w:rPr>
                <w:sz w:val="20"/>
                <w:szCs w:val="20"/>
                <w:color w:val="auto"/>
              </w:rPr>
            </w:pPr>
            <w:r>
              <w:rPr>
                <w:rFonts w:ascii="Arial" w:cs="Arial" w:eastAsia="Arial" w:hAnsi="Arial"/>
                <w:sz w:val="11"/>
                <w:szCs w:val="11"/>
                <w:b w:val="1"/>
                <w:bCs w:val="1"/>
                <w:color w:val="auto"/>
              </w:rPr>
              <w:t>Beginning of</w:t>
            </w:r>
          </w:p>
        </w:tc>
        <w:tc>
          <w:tcPr>
            <w:tcW w:w="220" w:type="dxa"/>
            <w:vAlign w:val="bottom"/>
          </w:tcPr>
          <w:p>
            <w:pPr>
              <w:spacing w:after="0"/>
              <w:rPr>
                <w:sz w:val="8"/>
                <w:szCs w:val="8"/>
                <w:color w:val="auto"/>
              </w:rPr>
            </w:pPr>
          </w:p>
        </w:tc>
        <w:tc>
          <w:tcPr>
            <w:tcW w:w="1340" w:type="dxa"/>
            <w:vAlign w:val="bottom"/>
            <w:gridSpan w:val="2"/>
          </w:tcPr>
          <w:p>
            <w:pPr>
              <w:jc w:val="center"/>
              <w:ind w:right="320"/>
              <w:spacing w:after="0" w:line="99" w:lineRule="exact"/>
              <w:rPr>
                <w:sz w:val="20"/>
                <w:szCs w:val="20"/>
                <w:color w:val="auto"/>
              </w:rPr>
            </w:pPr>
            <w:r>
              <w:rPr>
                <w:rFonts w:ascii="Arial" w:cs="Arial" w:eastAsia="Arial" w:hAnsi="Arial"/>
                <w:sz w:val="11"/>
                <w:szCs w:val="11"/>
                <w:b w:val="1"/>
                <w:bCs w:val="1"/>
                <w:color w:val="auto"/>
              </w:rPr>
              <w:t>Recognized in</w:t>
            </w:r>
          </w:p>
        </w:tc>
        <w:tc>
          <w:tcPr>
            <w:tcW w:w="140" w:type="dxa"/>
            <w:vAlign w:val="bottom"/>
          </w:tcPr>
          <w:p>
            <w:pPr>
              <w:spacing w:after="0"/>
              <w:rPr>
                <w:sz w:val="8"/>
                <w:szCs w:val="8"/>
                <w:color w:val="auto"/>
              </w:rPr>
            </w:pPr>
          </w:p>
        </w:tc>
        <w:tc>
          <w:tcPr>
            <w:tcW w:w="1320" w:type="dxa"/>
            <w:vAlign w:val="bottom"/>
            <w:gridSpan w:val="2"/>
          </w:tcPr>
          <w:p>
            <w:pPr>
              <w:jc w:val="center"/>
              <w:ind w:right="240"/>
              <w:spacing w:after="0" w:line="99" w:lineRule="exact"/>
              <w:rPr>
                <w:sz w:val="20"/>
                <w:szCs w:val="20"/>
                <w:color w:val="auto"/>
              </w:rPr>
            </w:pPr>
            <w:r>
              <w:rPr>
                <w:rFonts w:ascii="Arial" w:cs="Arial" w:eastAsia="Arial" w:hAnsi="Arial"/>
                <w:sz w:val="11"/>
                <w:szCs w:val="11"/>
                <w:b w:val="1"/>
                <w:bCs w:val="1"/>
                <w:color w:val="auto"/>
              </w:rPr>
              <w:t>AOCL into</w:t>
            </w:r>
          </w:p>
        </w:tc>
        <w:tc>
          <w:tcPr>
            <w:tcW w:w="1140" w:type="dxa"/>
            <w:vAlign w:val="bottom"/>
            <w:gridSpan w:val="2"/>
            <w:vMerge w:val="continue"/>
          </w:tcPr>
          <w:p>
            <w:pPr>
              <w:spacing w:after="0"/>
              <w:rPr>
                <w:sz w:val="8"/>
                <w:szCs w:val="8"/>
                <w:color w:val="auto"/>
              </w:rPr>
            </w:pPr>
          </w:p>
        </w:tc>
        <w:tc>
          <w:tcPr>
            <w:tcW w:w="266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0"/>
              </w:rPr>
              <w:t>Operations</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AOCL</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2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3"/>
          </w:tcPr>
          <w:p>
            <w:pPr>
              <w:ind w:left="50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6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March 31, 2020</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700" w:type="dxa"/>
            <w:vAlign w:val="bottom"/>
            <w:gridSpan w:val="3"/>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(95,753)</w:t>
            </w:r>
          </w:p>
        </w:tc>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00" w:type="dxa"/>
            <w:vAlign w:val="bottom"/>
            <w:gridSpan w:val="3"/>
          </w:tcPr>
          <w:p>
            <w:pPr>
              <w:ind w:left="120"/>
              <w:spacing w:after="0"/>
              <w:rPr>
                <w:sz w:val="20"/>
                <w:szCs w:val="20"/>
                <w:color w:val="auto"/>
              </w:rPr>
            </w:pPr>
            <w:r>
              <w:rPr>
                <w:rFonts w:ascii="Arial" w:cs="Arial" w:eastAsia="Arial" w:hAnsi="Arial"/>
                <w:sz w:val="18"/>
                <w:szCs w:val="18"/>
                <w:color w:val="auto"/>
              </w:rPr>
              <w:t>Cross-currency swap</w:t>
            </w:r>
          </w:p>
        </w:tc>
        <w:tc>
          <w:tcPr>
            <w:tcW w:w="14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00" w:type="dxa"/>
            <w:vAlign w:val="bottom"/>
            <w:gridSpan w:val="2"/>
          </w:tcPr>
          <w:p>
            <w:pPr>
              <w:ind w:left="320"/>
              <w:spacing w:after="0"/>
              <w:rPr>
                <w:sz w:val="20"/>
                <w:szCs w:val="20"/>
                <w:color w:val="auto"/>
              </w:rPr>
            </w:pPr>
            <w:r>
              <w:rPr>
                <w:rFonts w:ascii="Arial" w:cs="Arial" w:eastAsia="Arial" w:hAnsi="Arial"/>
                <w:sz w:val="18"/>
                <w:szCs w:val="18"/>
                <w:color w:val="auto"/>
              </w:rPr>
              <w:t>6,266   Other income (expense), net</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Investment Hedges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6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00" w:type="dxa"/>
            <w:vAlign w:val="bottom"/>
            <w:gridSpan w:val="3"/>
          </w:tcPr>
          <w:p>
            <w:pPr>
              <w:ind w:left="120"/>
              <w:spacing w:after="0"/>
              <w:rPr>
                <w:sz w:val="20"/>
                <w:szCs w:val="20"/>
                <w:color w:val="auto"/>
              </w:rPr>
            </w:pPr>
            <w:r>
              <w:rPr>
                <w:rFonts w:ascii="Arial" w:cs="Arial" w:eastAsia="Arial" w:hAnsi="Arial"/>
                <w:sz w:val="18"/>
                <w:szCs w:val="18"/>
                <w:color w:val="auto"/>
              </w:rPr>
              <w:t>Cross-currency swap</w:t>
            </w:r>
          </w:p>
        </w:tc>
        <w:tc>
          <w:tcPr>
            <w:tcW w:w="14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18,897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26,946</w:t>
            </w:r>
          </w:p>
        </w:tc>
        <w:tc>
          <w:tcPr>
            <w:tcW w:w="26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(62,541)</w:t>
            </w:r>
          </w:p>
        </w:tc>
        <w:tc>
          <w:tcPr>
            <w:tcW w:w="2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gridSpan w:val="4"/>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6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6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00" w:type="dxa"/>
            <w:vAlign w:val="bottom"/>
            <w:gridSpan w:val="3"/>
          </w:tcPr>
          <w:p>
            <w:pPr>
              <w:ind w:left="120"/>
              <w:spacing w:after="0"/>
              <w:rPr>
                <w:sz w:val="20"/>
                <w:szCs w:val="20"/>
                <w:color w:val="auto"/>
              </w:rPr>
            </w:pPr>
            <w:r>
              <w:rPr>
                <w:rFonts w:ascii="Arial" w:cs="Arial" w:eastAsia="Arial" w:hAnsi="Arial"/>
                <w:sz w:val="18"/>
                <w:szCs w:val="18"/>
                <w:color w:val="auto"/>
              </w:rPr>
              <w:t>Interest rate swap</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(16,678)</w:t>
            </w:r>
          </w:p>
        </w:tc>
        <w:tc>
          <w:tcPr>
            <w:tcW w:w="26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Cross-currency swap</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43"/>
        </w:trPr>
        <w:tc>
          <w:tcPr>
            <w:tcW w:w="2860" w:type="dxa"/>
            <w:vAlign w:val="bottom"/>
            <w:gridSpan w:val="4"/>
          </w:tcPr>
          <w:p>
            <w:pPr>
              <w:ind w:left="40"/>
              <w:spacing w:after="0"/>
              <w:rPr>
                <w:sz w:val="20"/>
                <w:szCs w:val="20"/>
                <w:color w:val="auto"/>
              </w:rPr>
            </w:pPr>
            <w:r>
              <w:rPr>
                <w:rFonts w:ascii="Arial" w:cs="Arial" w:eastAsia="Arial" w:hAnsi="Arial"/>
                <w:sz w:val="18"/>
                <w:szCs w:val="18"/>
                <w:color w:val="auto"/>
              </w:rPr>
              <w:t>Net Investment Hedges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Cross-currency swap</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7,262</w:t>
            </w:r>
          </w:p>
        </w:tc>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(13,311)</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date of grant for directors and generally expire eight years from the grant date for employees, and from six to ten years for directors and certain executive officers.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2020, there were approximately $8.2 million of total unrecognized compensation costs related to unvested stock options. These costs are expected to be recognized over a weighted-average period of approximately three years. There were 348,587 stock options granted during the three months ended March 31, 2020. For the three months ended March 31, 2020, the weighted average grant date fair value for stock options was $13.03 per option.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Performance stock units are subject to graded vesting conditions based on revenue goals of the Company. The Company expenses the fair value of restricted stock awards on a straight-line basis over the requisite service period. As of March 31, 2020, there was approximately $37.3 million of total unrecognized compensation costs related to these unvested awards. The Company expects to recognize these costs over a weighted-average period of approximately two years. The Company granted 262,623 restricted stock awards and 180,875 performance stock awards during the three months ended March 31, 2020. For the three months ended March 31, 2020, the weighted average grant date fair value for restricted stock awards and performance stock units was $43.89 and $43.39 per award,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stock for the purpose of satisfying stock-based compensation obligations.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Austria, France, Japan, Germany and Switzerland.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periodic benefit costs for the Company’s defined benefit pension plans for the three months ended March 31, 2020 were $1.0 million. The components of the net periodic benefit costs other than the service cost component of $0.9 million for the three months ended March 31, 2020, are included in other income (expense), net in the consolidated statements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periodic benefit costs for the Company’s defined benefit pension plans for the three months ended March 31, 2019 was $0.5 million. The components of the net periodic benefit costs other than the service cost component of $0.7 million for the three months ended March 31, 2019, respectively, are included in other income (expense), net in the consolidated statements of operations.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fair values of plan assets were $31.3 million and $30.8 million as of March 31, 2020 and December 31, 2019, respectively. The net plan assets of the pension plans are invested in common trusts as of March 31, 2020 and December 31, 2019.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9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May 2019, the Company adopted the Integra LifeSciences Deferred Compensation Plan (the “Plan”). Under the Plan, certain employees of the Company may defer the payment and taxation of up to 75% of their base salary and up to 100% of bonus amounts and other eligible cash compensation.</w:t>
      </w:r>
    </w:p>
    <w:p>
      <w:pPr>
        <w:spacing w:after="0" w:line="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first quarter of 2020, employees participating in the Plan began to defer their compensation. 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 The fair value of these assets at March 31, 2020 was $1.2 million. Offsetting liabilities relating to the deferred compensation plan are included in Other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March 31, 2020.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4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Most facility leases include one or more options to renew. The exercise of lease renewal options is typically at the Company's sole discretion, therefore, the majority of renewals to extend the lease terms are not included in the ROU assets and lease liabilities as they are not reasonably certain of exercise. The Company regularly evaluates renewal options and when they are reasonably certain of exercise, the renewal period is included in the lease term.</w:t>
      </w:r>
    </w:p>
    <w:p>
      <w:pPr>
        <w:spacing w:after="0" w:line="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operating lease expense for the three months ended March 31, 2020 and March 31, 2019, was $4.8 million and $4.4 million respectively, which includes $0.1 million, in related party operating lease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March 31, 2020 were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280035</wp:posOffset>
            </wp:positionV>
            <wp:extent cx="1405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March 31, 2020</w:t>
            </w:r>
          </w:p>
        </w:tc>
      </w:tr>
      <w:tr>
        <w:trPr>
          <w:trHeight w:val="152"/>
        </w:trPr>
        <w:tc>
          <w:tcPr>
            <w:tcW w:w="9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00" w:type="dxa"/>
            <w:vAlign w:val="bottom"/>
            <w:shd w:val="clear" w:color="auto" w:fill="CCEEFF"/>
          </w:tcPr>
          <w:p>
            <w:pPr>
              <w:jc w:val="center"/>
              <w:ind w:right="35"/>
              <w:spacing w:after="0" w:line="153" w:lineRule="exact"/>
              <w:rPr>
                <w:sz w:val="20"/>
                <w:szCs w:val="20"/>
                <w:color w:val="auto"/>
              </w:rPr>
            </w:pPr>
            <w:r>
              <w:rPr>
                <w:rFonts w:ascii="Arial" w:cs="Arial" w:eastAsia="Arial" w:hAnsi="Arial"/>
                <w:sz w:val="14"/>
                <w:szCs w:val="14"/>
                <w:b w:val="1"/>
                <w:bCs w:val="1"/>
                <w:color w:val="auto"/>
                <w:w w:val="91"/>
              </w:rPr>
              <w:t>(In thousands, except lease term</w:t>
            </w:r>
          </w:p>
        </w:tc>
      </w:tr>
      <w:tr>
        <w:trPr>
          <w:trHeight w:val="192"/>
        </w:trPr>
        <w:tc>
          <w:tcPr>
            <w:tcW w:w="90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4"/>
                <w:szCs w:val="14"/>
                <w:b w:val="1"/>
                <w:bCs w:val="1"/>
                <w:color w:val="auto"/>
                <w:w w:val="92"/>
              </w:rPr>
              <w:t>and discount rate)</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ROU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95"/>
              <w:spacing w:after="0"/>
              <w:rPr>
                <w:sz w:val="20"/>
                <w:szCs w:val="20"/>
                <w:color w:val="auto"/>
              </w:rPr>
            </w:pPr>
            <w:r>
              <w:rPr>
                <w:rFonts w:ascii="Arial" w:cs="Arial" w:eastAsia="Arial" w:hAnsi="Arial"/>
                <w:sz w:val="18"/>
                <w:szCs w:val="18"/>
                <w:color w:val="auto"/>
              </w:rPr>
              <w:t>95,890</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95"/>
              <w:spacing w:after="0"/>
              <w:rPr>
                <w:sz w:val="20"/>
                <w:szCs w:val="20"/>
                <w:color w:val="auto"/>
              </w:rPr>
            </w:pPr>
            <w:r>
              <w:rPr>
                <w:rFonts w:ascii="Arial" w:cs="Arial" w:eastAsia="Arial" w:hAnsi="Arial"/>
                <w:sz w:val="18"/>
                <w:szCs w:val="18"/>
                <w:color w:val="auto"/>
              </w:rPr>
              <w:t>12,964</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lease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100,328</w:t>
            </w:r>
          </w:p>
        </w:tc>
      </w:tr>
      <w:tr>
        <w:trPr>
          <w:trHeight w:val="297"/>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113,292</w:t>
            </w:r>
          </w:p>
        </w:tc>
      </w:tr>
      <w:tr>
        <w:trPr>
          <w:trHeight w:val="311"/>
        </w:trPr>
        <w:tc>
          <w:tcPr>
            <w:tcW w:w="9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12.5</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120" w:type="dxa"/>
            <w:vAlign w:val="bottom"/>
          </w:tcPr>
          <w:p>
            <w:pPr>
              <w:spacing w:after="0"/>
              <w:rPr>
                <w:sz w:val="21"/>
                <w:szCs w:val="21"/>
                <w:color w:val="auto"/>
              </w:rPr>
            </w:pPr>
          </w:p>
        </w:tc>
        <w:tc>
          <w:tcPr>
            <w:tcW w:w="2100" w:type="dxa"/>
            <w:vAlign w:val="bottom"/>
          </w:tcPr>
          <w:p>
            <w:pPr>
              <w:jc w:val="right"/>
              <w:ind w:right="95"/>
              <w:spacing w:after="0"/>
              <w:rPr>
                <w:sz w:val="20"/>
                <w:szCs w:val="20"/>
                <w:color w:val="auto"/>
              </w:rPr>
            </w:pPr>
            <w:r>
              <w:rPr>
                <w:rFonts w:ascii="Arial" w:cs="Arial" w:eastAsia="Arial" w:hAnsi="Arial"/>
                <w:sz w:val="18"/>
                <w:szCs w:val="18"/>
                <w:color w:val="auto"/>
              </w:rPr>
              <w:t>1.7</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324"/>
        </w:trPr>
        <w:tc>
          <w:tcPr>
            <w:tcW w:w="9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for the three months ended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237490</wp:posOffset>
            </wp:positionV>
            <wp:extent cx="13544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March 31, 2020</w:t>
            </w:r>
          </w:p>
        </w:tc>
      </w:tr>
      <w:tr>
        <w:trPr>
          <w:trHeight w:val="256"/>
        </w:trPr>
        <w:tc>
          <w:tcPr>
            <w:tcW w:w="9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3,229</w:t>
            </w:r>
          </w:p>
        </w:tc>
      </w:tr>
      <w:tr>
        <w:trPr>
          <w:trHeight w:val="324"/>
        </w:trPr>
        <w:tc>
          <w:tcPr>
            <w:tcW w:w="9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5,808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March 31, 2020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13,314</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14,494</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11,658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11,954</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11,318</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91,026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92,455</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151,256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154,091</w:t>
            </w: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40,799</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113,292</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Current lease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12,964</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100,328</w:t>
            </w:r>
          </w:p>
        </w:tc>
      </w:tr>
      <w:tr>
        <w:trPr>
          <w:trHeight w:val="27"/>
        </w:trPr>
        <w:tc>
          <w:tcPr>
            <w:tcW w:w="6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2019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12,951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13,247</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11,386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11,682</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91,235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92,663</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152,485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155,393</w:t>
            </w: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45,636</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109,757</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Current lease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12,253</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97,504</w:t>
            </w:r>
          </w:p>
        </w:tc>
      </w:tr>
      <w:tr>
        <w:trPr>
          <w:trHeight w:val="27"/>
        </w:trPr>
        <w:tc>
          <w:tcPr>
            <w:tcW w:w="6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future minimum lease payments under capital leases at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and December 31, 2019, there were 4.3 million and 2.9 million shares of treasury stock outstanding with a cost of $202.5 million and $119.9 million, at a weighted average cost per share of $47.17 and $41.87, respectively.</w:t>
      </w:r>
    </w:p>
    <w:p>
      <w:pPr>
        <w:spacing w:after="0" w:line="6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w:t>
      </w:r>
    </w:p>
    <w:p>
      <w:pPr>
        <w:spacing w:after="0" w:line="146"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During the three months ended March 31, 2020, the Company repurchased 1.4 million shares of Integra’s common stock as part of our existing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w:t>
      </w:r>
    </w:p>
    <w:p>
      <w:pPr>
        <w:spacing w:after="0" w:line="2"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$92.4 million accelerated share repurchase ("ASR") to complete the remaining $100.0 million of share repurchase. The Company received 1.3 million shares at inception of the ASR, which represented approximately 80% of the expected total shares. The remaining 20% of the expected total shares is expected to settle during the second quarter of 2020, upon which additional shares of common stock may be delivered to the Company or, under certain circumstances, the Company may be required to make a cash payment or may elect to deliver shares of our common stock to the ASR counterparty. The total number of shares to be delivered or the amount of such payment, as well as the final average price per share, will be based on the volume-weighted average price, less a discount, of the Company's common stock during the term of the transaction.</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$125.0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63"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23495</wp:posOffset>
            </wp:positionV>
            <wp:extent cx="2023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274"/>
        </w:trPr>
        <w:tc>
          <w:tcPr>
            <w:tcW w:w="8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effective income tax rates for the three months ended March 31, 2020 and 2019 were 19.8% and (32.0)%, respectively. For the three months ended March 31, 2020, the primary drivers of the higher tax rate were lower book income in lower-taxed jurisdictions and a $3.3 million valuation allowance on certain foreign deferred tax assets as the Company determined that it is no longer more likely than not that these foreign deferred tax assets would be realized due to the adverse impact of the COVID-19 pandemic in certain jurisdictions. For the three months ended March 31, 2019, the primary drivers of the lower rate were a $0.7 million higher tax benefit related to equity compensation and a tax benefit of $10.8 million ($0.13 per share) related to a federal tax holiday in Switzerland, which was finalized during the quarter ended March 31, 2019. The Company received a Switzerland federal tax credit of $12.0 million CHF, which can be used over a seven-year period, ending in 2024.</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2020,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March 31, 2020. The company does not anticipate the need to repatriate earnings from foreign subsidiaries as a result of the impact of the COVID-19 pandemic.</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certain income tax provisions for corporations and individuals, among other provisions. The Company does not expect the CARES Act to have a significant impact on the tax provision for income.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2"/>
              </w:rPr>
              <w:t>(In thousands, except per share amounts)</w:t>
            </w:r>
          </w:p>
        </w:tc>
      </w:tr>
      <w:tr>
        <w:trPr>
          <w:trHeight w:val="215"/>
        </w:trPr>
        <w:tc>
          <w:tcPr>
            <w:tcW w:w="4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Basic net income per share: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32,756</w:t>
            </w:r>
          </w:p>
        </w:tc>
      </w:tr>
      <w:tr>
        <w:trPr>
          <w:trHeight w:val="243"/>
        </w:trPr>
        <w:tc>
          <w:tcPr>
            <w:tcW w:w="4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85,188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85,343</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Diluted net income per share:</w:t>
            </w:r>
          </w:p>
        </w:tc>
        <w:tc>
          <w:tcPr>
            <w:tcW w:w="5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32,756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85,188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85,343</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8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18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915</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86,258</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40" w:type="dxa"/>
            <w:vAlign w:val="bottom"/>
            <w:shd w:val="clear" w:color="auto" w:fill="CCEEFF"/>
          </w:tcPr>
          <w:p>
            <w:pPr>
              <w:spacing w:after="0"/>
              <w:rPr>
                <w:sz w:val="21"/>
                <w:szCs w:val="21"/>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7"/>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 of approximately 0.4 million shares at March 31, 2020, and 2019 that are issuable through exercise of dilutive securities were not included in the computation of diluted net income per share because their effect would have been anti-dilutive.</w:t>
      </w:r>
    </w:p>
    <w:p>
      <w:pPr>
        <w:sectPr>
          <w:pgSz w:w="11900" w:h="16838" w:orient="portrait"/>
          <w:cols w:equalWidth="0" w:num="1">
            <w:col w:w="11240"/>
          </w:cols>
          <w:pgMar w:left="320" w:top="121" w:right="3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Shares and Restricted Units that entitle the holders to approximately 0.5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0"/>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55"/>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32,756</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(7,009)</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Change in unrealized loss on derivatives, net of tax</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(4,236)</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Comprehensive income (loss),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21,520</w:t>
            </w:r>
          </w:p>
        </w:tc>
      </w:tr>
      <w:tr>
        <w:trPr>
          <w:trHeight w:val="27"/>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2019 and March 31, 2020 are presented in the table below, net of tax: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Gains and Losses</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Defined Benefit</w:t>
            </w:r>
          </w:p>
        </w:tc>
        <w:tc>
          <w:tcPr>
            <w:tcW w:w="3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on Derivatives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Currency Items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(76,401)</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(28,187)</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the Company reclassified a loss of $0.1 million from accumulated other comprehensive loss to other income (expense), net and $0.9 million from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internally manages two global reportable segments and reports the results of its businesses to its chief operating decision maker.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two reportable segments and their activities are described below.</w:t>
      </w:r>
    </w:p>
    <w:p>
      <w:pPr>
        <w:spacing w:after="0" w:line="211" w:lineRule="exact"/>
        <w:rPr>
          <w:sz w:val="20"/>
          <w:szCs w:val="20"/>
          <w:color w:val="auto"/>
        </w:rPr>
      </w:pPr>
    </w:p>
    <w:p>
      <w:pPr>
        <w:ind w:left="660" w:right="2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spacing w:after="0" w:line="18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months ended March 31, 2020 and 2019 are as follows:</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r>
      <w:tr>
        <w:trPr>
          <w:trHeight w:val="250"/>
        </w:trPr>
        <w:tc>
          <w:tcPr>
            <w:tcW w:w="7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00" w:type="dxa"/>
            <w:vAlign w:val="bottom"/>
            <w:gridSpan w:val="3"/>
          </w:tcPr>
          <w:p>
            <w:pPr>
              <w:jc w:val="right"/>
              <w:ind w:right="594"/>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0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231,440</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234,568</w:t>
            </w:r>
          </w:p>
        </w:tc>
      </w:tr>
      <w:tr>
        <w:trPr>
          <w:trHeight w:val="27"/>
        </w:trPr>
        <w:tc>
          <w:tcPr>
            <w:tcW w:w="7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0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122,884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125,122</w:t>
            </w:r>
          </w:p>
        </w:tc>
      </w:tr>
      <w:tr>
        <w:trPr>
          <w:trHeight w:val="236"/>
        </w:trPr>
        <w:tc>
          <w:tcPr>
            <w:tcW w:w="75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9"/>
              </w:rPr>
              <w:t>354,324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359,690</w:t>
            </w:r>
          </w:p>
        </w:tc>
      </w:tr>
      <w:tr>
        <w:trPr>
          <w:trHeight w:val="67"/>
        </w:trPr>
        <w:tc>
          <w:tcPr>
            <w:tcW w:w="754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0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87,235</w:t>
            </w:r>
          </w:p>
        </w:tc>
        <w:tc>
          <w:tcPr>
            <w:tcW w:w="10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91,380</w:t>
            </w:r>
          </w:p>
        </w:tc>
      </w:tr>
      <w:tr>
        <w:trPr>
          <w:trHeight w:val="27"/>
        </w:trPr>
        <w:tc>
          <w:tcPr>
            <w:tcW w:w="7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0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31,271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40,495</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0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9"/>
              </w:rPr>
              <w:t>118,506</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131,875</w:t>
            </w:r>
          </w:p>
        </w:tc>
      </w:tr>
      <w:tr>
        <w:trPr>
          <w:trHeight w:val="27"/>
        </w:trPr>
        <w:tc>
          <w:tcPr>
            <w:tcW w:w="7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0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(84,426)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(94,288)</w:t>
            </w:r>
          </w:p>
        </w:tc>
      </w:tr>
      <w:tr>
        <w:trPr>
          <w:trHeight w:val="27"/>
        </w:trPr>
        <w:tc>
          <w:tcPr>
            <w:tcW w:w="75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32,308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263"/>
        </w:trPr>
        <w:tc>
          <w:tcPr>
            <w:tcW w:w="75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246,852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256,726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Europe</w:t>
            </w:r>
          </w:p>
        </w:tc>
        <w:tc>
          <w:tcPr>
            <w:tcW w:w="10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45,896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48,640</w:t>
            </w:r>
          </w:p>
        </w:tc>
      </w:tr>
      <w:tr>
        <w:trPr>
          <w:trHeight w:val="27"/>
        </w:trPr>
        <w:tc>
          <w:tcPr>
            <w:tcW w:w="7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39,960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08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21,616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18,624</w:t>
            </w:r>
          </w:p>
        </w:tc>
      </w:tr>
      <w:tr>
        <w:trPr>
          <w:trHeight w:val="27"/>
        </w:trPr>
        <w:tc>
          <w:tcPr>
            <w:tcW w:w="75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354,324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359,690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three-month period ended March 31, 2020 and March 31, 2019 to reflect the change in estimates, additions, payments, transfers and the time value of money during the period.</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three months ended March 31, 2020 and March 31, 2019 is as follows (in thousands):</w:t>
      </w:r>
    </w:p>
    <w:p>
      <w:pPr>
        <w:sectPr>
          <w:pgSz w:w="11900" w:h="16838" w:orient="portrait"/>
          <w:cols w:equalWidth="0" w:num="1">
            <w:col w:w="11240"/>
          </w:cols>
          <w:pgMar w:left="320" w:top="121" w:right="3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Contingent Consideration Liability</w:t>
            </w:r>
          </w:p>
        </w:tc>
        <w:tc>
          <w:tcPr>
            <w:tcW w:w="220" w:type="dxa"/>
            <w:vAlign w:val="bottom"/>
          </w:tcPr>
          <w:p>
            <w:pPr>
              <w:spacing w:after="0"/>
              <w:rPr>
                <w:sz w:val="14"/>
                <w:szCs w:val="14"/>
                <w:color w:val="auto"/>
              </w:rPr>
            </w:pPr>
          </w:p>
        </w:tc>
        <w:tc>
          <w:tcPr>
            <w:tcW w:w="202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Contingent Consideration</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 Financial</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Pr>
          <w:p>
            <w:pPr>
              <w:spacing w:after="0"/>
              <w:rPr>
                <w:sz w:val="12"/>
                <w:szCs w:val="12"/>
                <w:color w:val="auto"/>
              </w:rPr>
            </w:pPr>
          </w:p>
        </w:tc>
        <w:tc>
          <w:tcPr>
            <w:tcW w:w="2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Related to Acquisition of Arkis (See</w:t>
            </w:r>
          </w:p>
        </w:tc>
        <w:tc>
          <w:tcPr>
            <w:tcW w:w="2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Note 2)</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8"/>
              </w:rPr>
              <w:t>Derma Sciences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Statements</w:t>
            </w:r>
          </w:p>
        </w:tc>
        <w:tc>
          <w:tcPr>
            <w:tcW w:w="0" w:type="dxa"/>
            <w:vAlign w:val="bottom"/>
          </w:tcPr>
          <w:p>
            <w:pPr>
              <w:spacing w:after="0"/>
              <w:rPr>
                <w:sz w:val="1"/>
                <w:szCs w:val="1"/>
                <w:color w:val="auto"/>
              </w:rPr>
            </w:pPr>
          </w:p>
        </w:tc>
      </w:tr>
      <w:tr>
        <w:trPr>
          <w:trHeight w:val="264"/>
        </w:trPr>
        <w:tc>
          <w:tcPr>
            <w:tcW w:w="4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5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Long-term</w:t>
            </w:r>
          </w:p>
        </w:tc>
        <w:tc>
          <w:tcPr>
            <w:tcW w:w="220" w:type="dxa"/>
            <w:vAlign w:val="bottom"/>
            <w:shd w:val="clear" w:color="auto" w:fill="CCEEFF"/>
          </w:tcPr>
          <w:p>
            <w:pPr>
              <w:spacing w:after="0"/>
              <w:rPr>
                <w:sz w:val="22"/>
                <w:szCs w:val="22"/>
                <w:color w:val="auto"/>
              </w:rPr>
            </w:pPr>
          </w:p>
        </w:tc>
        <w:tc>
          <w:tcPr>
            <w:tcW w:w="2020" w:type="dxa"/>
            <w:vAlign w:val="bottom"/>
            <w:shd w:val="clear" w:color="auto" w:fill="CCEEFF"/>
          </w:tcPr>
          <w:p>
            <w:pPr>
              <w:jc w:val="center"/>
              <w:ind w:right="158"/>
              <w:spacing w:after="0"/>
              <w:rPr>
                <w:sz w:val="20"/>
                <w:szCs w:val="20"/>
                <w:color w:val="auto"/>
              </w:rPr>
            </w:pPr>
            <w:r>
              <w:rPr>
                <w:rFonts w:ascii="Arial" w:cs="Arial" w:eastAsia="Arial" w:hAnsi="Arial"/>
                <w:sz w:val="14"/>
                <w:szCs w:val="14"/>
                <w:b w:val="1"/>
                <w:bCs w:val="1"/>
                <w:color w:val="auto"/>
                <w:w w:val="95"/>
              </w:rPr>
              <w:t>Long-term</w:t>
            </w: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Balance as of January 1,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14,210</w:t>
            </w:r>
          </w:p>
        </w:tc>
        <w:tc>
          <w:tcPr>
            <w:tcW w:w="220" w:type="dxa"/>
            <w:vAlign w:val="bottom"/>
          </w:tcPr>
          <w:p>
            <w:pPr>
              <w:spacing w:after="0"/>
              <w:rPr>
                <w:sz w:val="21"/>
                <w:szCs w:val="21"/>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230</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40"/>
              <w:spacing w:after="0"/>
              <w:rPr>
                <w:sz w:val="20"/>
                <w:szCs w:val="20"/>
                <w:color w:val="auto"/>
              </w:rPr>
            </w:pPr>
            <w:r>
              <w:rPr>
                <w:rFonts w:ascii="Arial" w:cs="Arial" w:eastAsia="Arial" w:hAnsi="Arial"/>
                <w:sz w:val="18"/>
                <w:szCs w:val="18"/>
                <w:color w:val="auto"/>
                <w:w w:val="94"/>
              </w:rPr>
              <w:t>Loss from change in fair value of contingent consideration</w:t>
            </w:r>
          </w:p>
        </w:tc>
        <w:tc>
          <w:tcPr>
            <w:tcW w:w="1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30"/>
        </w:trPr>
        <w:tc>
          <w:tcPr>
            <w:tcW w:w="44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(1,051)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9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13,159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230</w:t>
            </w:r>
          </w:p>
        </w:tc>
        <w:tc>
          <w:tcPr>
            <w:tcW w:w="1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480" w:type="dxa"/>
            <w:vAlign w:val="bottom"/>
          </w:tcPr>
          <w:p>
            <w:pPr>
              <w:spacing w:after="0"/>
              <w:rPr>
                <w:sz w:val="14"/>
                <w:szCs w:val="14"/>
                <w:color w:val="auto"/>
              </w:rPr>
            </w:pPr>
          </w:p>
        </w:tc>
        <w:tc>
          <w:tcPr>
            <w:tcW w:w="2780" w:type="dxa"/>
            <w:vAlign w:val="bottom"/>
          </w:tcPr>
          <w:p>
            <w:pPr>
              <w:jc w:val="center"/>
              <w:ind w:right="396"/>
              <w:spacing w:after="0"/>
              <w:rPr>
                <w:sz w:val="20"/>
                <w:szCs w:val="20"/>
                <w:color w:val="auto"/>
              </w:rPr>
            </w:pPr>
            <w:r>
              <w:rPr>
                <w:rFonts w:ascii="Arial" w:cs="Arial" w:eastAsia="Arial" w:hAnsi="Arial"/>
                <w:sz w:val="14"/>
                <w:szCs w:val="14"/>
                <w:b w:val="1"/>
                <w:bCs w:val="1"/>
                <w:color w:val="auto"/>
                <w:w w:val="91"/>
              </w:rPr>
              <w:t>Contingent Consideration</w:t>
            </w:r>
          </w:p>
        </w:tc>
        <w:tc>
          <w:tcPr>
            <w:tcW w:w="414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92"/>
        </w:trPr>
        <w:tc>
          <w:tcPr>
            <w:tcW w:w="3840" w:type="dxa"/>
            <w:vAlign w:val="bottom"/>
            <w:gridSpan w:val="2"/>
            <w:vMerge w:val="continue"/>
          </w:tcPr>
          <w:p>
            <w:pPr>
              <w:spacing w:after="0"/>
              <w:rPr>
                <w:sz w:val="16"/>
                <w:szCs w:val="16"/>
                <w:color w:val="auto"/>
              </w:rPr>
            </w:pPr>
          </w:p>
        </w:tc>
        <w:tc>
          <w:tcPr>
            <w:tcW w:w="3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Liability Related to Acquisition of Derma Sciences</w:t>
            </w: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2780" w:type="dxa"/>
            <w:vAlign w:val="bottom"/>
            <w:tcBorders>
              <w:top w:val="single" w:sz="8" w:color="auto"/>
              <w:bottom w:val="single" w:sz="8" w:color="auto"/>
            </w:tcBorders>
            <w:shd w:val="clear" w:color="auto" w:fill="CCEEFF"/>
          </w:tcPr>
          <w:p>
            <w:pPr>
              <w:jc w:val="center"/>
              <w:ind w:right="396"/>
              <w:spacing w:after="0"/>
              <w:rPr>
                <w:sz w:val="20"/>
                <w:szCs w:val="20"/>
                <w:color w:val="auto"/>
              </w:rPr>
            </w:pPr>
            <w:r>
              <w:rPr>
                <w:rFonts w:ascii="Arial" w:cs="Arial" w:eastAsia="Arial" w:hAnsi="Arial"/>
                <w:sz w:val="14"/>
                <w:szCs w:val="14"/>
                <w:b w:val="1"/>
                <w:bCs w:val="1"/>
                <w:color w:val="auto"/>
                <w:w w:val="95"/>
              </w:rPr>
              <w:t>Long-term</w:t>
            </w:r>
          </w:p>
        </w:tc>
        <w:tc>
          <w:tcPr>
            <w:tcW w:w="41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2019</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2780" w:type="dxa"/>
            <w:vAlign w:val="bottom"/>
          </w:tcPr>
          <w:p>
            <w:pPr>
              <w:jc w:val="right"/>
              <w:ind w:right="36"/>
              <w:spacing w:after="0"/>
              <w:rPr>
                <w:sz w:val="20"/>
                <w:szCs w:val="20"/>
                <w:color w:val="auto"/>
              </w:rPr>
            </w:pPr>
            <w:r>
              <w:rPr>
                <w:rFonts w:ascii="Arial" w:cs="Arial" w:eastAsia="Arial" w:hAnsi="Arial"/>
                <w:sz w:val="18"/>
                <w:szCs w:val="18"/>
                <w:color w:val="auto"/>
              </w:rPr>
              <w:t>230</w:t>
            </w: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48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Loss from change in fair value of contingent</w:t>
            </w:r>
          </w:p>
        </w:tc>
        <w:tc>
          <w:tcPr>
            <w:tcW w:w="4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consideration liabilities</w:t>
            </w:r>
          </w:p>
        </w:tc>
        <w:tc>
          <w:tcPr>
            <w:tcW w:w="480" w:type="dxa"/>
            <w:vAlign w:val="bottom"/>
          </w:tcPr>
          <w:p>
            <w:pPr>
              <w:spacing w:after="0"/>
              <w:rPr>
                <w:sz w:val="20"/>
                <w:szCs w:val="20"/>
                <w:color w:val="auto"/>
              </w:rPr>
            </w:pPr>
          </w:p>
        </w:tc>
        <w:tc>
          <w:tcPr>
            <w:tcW w:w="27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1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2019</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230</w:t>
            </w:r>
          </w:p>
        </w:tc>
        <w:tc>
          <w:tcPr>
            <w:tcW w:w="4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liability remains which relates to net sales of Medihoney products exceeding certain amounts defined in the agreement between the Company and Derma Sciences. The potential maximum undiscounted payment amounts to $3.0 million. The estimated fair value as of March 31, 2020 and March 31, 2019 was $0.2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2019 included in our Annual Report on Form 10-K.</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These forward-looking statements include, but are not limited to, statements related to the Company's expectations regarding the potential impacts of the COVID-19 pandemic on our business, financial condition, and results of operations. These statements should, therefore, be considered in light of various important factors, including, but not limited to, the following: The Company's ability to obtain accurate procedure volume in the midst of the COVID-19 pandemic; the risk that the COVID-19 pandemic could lead to further material delays and cancellations of, or reduced demand for, procedures; curtailed or delayed capital spending by hospitals; disruption to the Company's supply chain; closures of our facilities; delays in gathering clinical evidence; diversion of management and other resources to respond to the COVID-19 outbreak; the impact of global and regional economic and credit market conditions on healthcare spending; the risk that the COVID-19 virus disrupts local economies and causes economies in our key markets to enter prolonged recessions. The Company's actual results could differ materially from those anticipated in these forward-looking statements as a result of many factors, including but not limited to those set forth under the heading “Risk Factors” in our Annual Report on Form 10-K for the year ended December 31, 2019, and under the heading "Risk Factors" in this report. We undertake no obligation to publicly update or revise any forward-looking statements, whether as a result of new information, future events or otherwise.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Integra, headquartered in Princeton,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repair of nerves and tendons. The Company has expanded its base regenerative technology business to include surgical instruments, neurosurgical products, advanced wound care, collagen matrix products for hernia and plastic &amp; reconstructive surgery, and orthopedic hardware, through a combination of several global acquisitions and development of products internally to further meet the needs of its customers and impact patient care.</w:t>
      </w:r>
    </w:p>
    <w:p>
      <w:pPr>
        <w:spacing w:after="0" w:line="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manufacture and sell our products in two reportable business segments: Codman Specialty Surgical and Orthopedics and Tissue Technologies. Our Codman Specialty Surgical products comprise of specialty surgical implants and instrumentation for a broad range of specialties. This segment includes products and solutions for dural access and repair, instruments, advanced energy, cerebral spinal fluid ("CSF") management and neuro monitoring including market-leading product portfolios used in neurosurgery operation suites and critical care units. Our Orthopedics and Tissue Technologies product portfolios consist of differentiated regenerative technology products for soft tissue repair and tissue regeneration products, surgical reconstruction, and small bone fixation and joint replacement hardware products for both upper extremities and lower extremities. This business also includes private label sales of a broad set of our regenerative and wound care medical technologies.</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key manufacturing and research facilities located in California, New Jersey, Ohio, Massachusetts, Tennessee, Texas, Canada, France, Germany, Ireland, Switzerland and Puerto Rico. We also source most of our handheld surgical instruments, specialty metal and pyrocarbon implants, and dural sealant products through specialized third-party vendors.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w:t>
      </w:r>
    </w:p>
    <w:p>
      <w:pPr>
        <w:spacing w:after="0" w:line="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w:t>
      </w:r>
    </w:p>
    <w:p>
      <w:pPr>
        <w:spacing w:after="0" w:line="89"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To this end, the executive leadership team has established the following key priorities aligned to the following areas of focus:</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Strategic Acquisitions. </w:t>
      </w:r>
      <w:r>
        <w:rPr>
          <w:rFonts w:ascii="Arial" w:cs="Arial" w:eastAsia="Arial" w:hAnsi="Arial"/>
          <w:sz w:val="17"/>
          <w:szCs w:val="17"/>
          <w:color w:val="auto"/>
        </w:rPr>
        <w:t>An important part of the Company's strategy is pursuing strategic transactions and licensing agreements that increase relevant scale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clinical areas in which Integra competes. In 2019, we closed out of 45 transition service agreements, covering 90 countries, marking the successful completion of the integration of the Codman Neurosurgery acquisition, the most significant acquisition in the Company’s history. This acquisition expanded the Company's portfolio of neurosurgery products and established us as the world leader in neurosurgery. It has also enabled us to bring our entire product portfolio to a global market. In 2019, we acquired Arkis Biosciences, Inc. and Rebound Therapeutics Corporation, both of which align with Company’s strategy to acquire and develop innovative technologies that address unmet needs.</w:t>
      </w:r>
    </w:p>
    <w:p>
      <w:pPr>
        <w:spacing w:after="0" w:line="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Portfolio Optimization and New Product Introductions. </w:t>
      </w:r>
      <w:r>
        <w:rPr>
          <w:rFonts w:ascii="Arial" w:cs="Arial" w:eastAsia="Arial" w:hAnsi="Arial"/>
          <w:sz w:val="18"/>
          <w:szCs w:val="18"/>
          <w:color w:val="auto"/>
        </w:rPr>
        <w:t>We are investing in innovative product development to drive a multi-generational pipeline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key product franchises. Our product development efforts span across our key global franchises focused on potential for significant returns on investment. In 2019, we launched ten new products across our key product franchises. In addition to new product development, we are funding studies to gather clinical evidence to support launches, ensure market access and improve reimbursement for existing products. In 2019, we discontinued certain low-growth, low margin products. We continue to identify ways of optimizing our portfolio including identifying low-growth, low-margin products and product franchises for discontinuation.</w:t>
      </w:r>
    </w:p>
    <w:p>
      <w:pPr>
        <w:spacing w:after="0" w:line="11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 is a</w:t>
      </w:r>
      <w:r>
        <w:rPr>
          <w:rFonts w:ascii="Arial" w:cs="Arial" w:eastAsia="Arial" w:hAnsi="Arial"/>
          <w:sz w:val="18"/>
          <w:szCs w:val="18"/>
          <w:i w:val="1"/>
          <w:iCs w:val="1"/>
          <w:color w:val="auto"/>
        </w:rPr>
        <w:t xml:space="preserve"> </w:t>
      </w:r>
      <w:r>
        <w:rPr>
          <w:rFonts w:ascii="Arial" w:cs="Arial" w:eastAsia="Arial" w:hAnsi="Arial"/>
          <w:sz w:val="18"/>
          <w:szCs w:val="18"/>
          <w:color w:val="auto"/>
        </w:rPr>
        <w:t>core part of our strategy to create specialization and greater focus on reaching new and existing customers and addressing their needs. Internationally, we have increased our commercial resources significantly in many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We aspire to be ranked as a best-in-class provider and are committed to strengthen our relationships with all customers. We strive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consistently deliver outstanding customer service and continue to invest in technologies, systems and processes to improve the way our customers do business with us. Additionally, we expect to build on the success of our professional education programs to drive continued customer familiarity with our growing portfolio of medical technologies globally.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continue to invest in collecting clinical evidence to support the Company's existing products and new product launches, and to ensure that we obtain market access for broader and more cost-effective solutions.</w:t>
      </w:r>
    </w:p>
    <w:p>
      <w:pPr>
        <w:spacing w:after="0" w:line="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2019, within the Codman Specialty Surgical segment, we launched our new electrosurgery generator and irrigator system, an innovative customer-centric toolkit for our Certas™ Plus Programmable Valve along with additional shunt configurations. We launched DuraGen® in Japan. DuraGen is the first and only non-autologous collagen xenograft approved for use as a dural substitute in Japan. We are focused on the development of core clinical applications in our electromechanical technologies portfolio. Also, we updated our CUSA Clarity platform to incorporate new ultrasonic handpiece, surgical tips and integrated electrosurgical capabilities. We continue to work with several instrument partners to bring new surgical instrument platforms to the market. This enables us to add new instruments with minimal expense and invest in ongoing development, such as our next generation of LED technology with our DUO LED Surgical Headlight System.</w:t>
      </w:r>
    </w:p>
    <w:p>
      <w:pPr>
        <w:spacing w:after="0" w:line="11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2019, within our Orthopedic and Tissue Technologies segment, we launched the Panta® II TTC Arthrodesis Nail System in the U.S. The Panta II system is our new fusion nail used in ankle fixation. We also launched a Small Post Baseplate in our Reverse Shoulder System that accommodates smaller patients. We initiated the limited market release of enhancements to our Salto Talaris® Total Ankle System. We continue to work on advanced shoulder products and are developing a pyrocarbon shoulder hemiarthroplasty product to add to our orthopedic reconstruction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focus during this global crisis remains on supporting patients, providing customers with life-saving products, and protecting the well-being of its employees. Earlier in the first quarter of 2020, the Company implemented contingency plans to address the operational impact of COVID-19 and ensure ongoing operations. The rapid and evolving spread of the virus resulted in an unprecedented challenge to the global healthcare industry. In response to the challenge as the pandemic evolved in March 2020, the Company has expanded its contingency plans to enable its manufacturing and distribution sites around the world to continue operating at levels required to meet demand and to provide for the safety of its employees. In addition, the Company has initiated significant cost-savings measures in April, which include the following:</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executive management and director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cash compensation for all other employees through reduced commissions, reduction in hours, and/or furloughs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freeze, elimination of overtime, cessation of third-party services and temporary contractor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reduction in capital expenditures and discretionary spending including travel, events and marketing programs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remains confident that the markets in which it competes remain attractive over the long term. These comprehensive spending cuts were necessary to protect our financial strength in the face of near-term challenges. Yet, despite those challenges, the Company remains focused on managing the business for the long-term, including preserving full time jobs needed to support the expected rebound in surgical procedure volumes. The Company's adaptability and resiliency in the face of this unprecedented crisis is made possible in part by prior investments in technology infrastructure and operations as well as our talented and committed global workforce. And despite the current cost-reduction measures, we continue to prioritize and invest in our critical R&amp;D and clinical programs. Based on the ongoing impact from restrictions on surgical procedures and shelter-in-place policies, the Company expects revenue to decline in the second quarter of 2020. The Company cannot predict with certainty the extent to which the COVID-19 pandemic will impact procedures in the second quarter and beyond.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additional risk factors as it relates to COVID-19 can be found in Item 1A. Risk Factors.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On June 22, 2015, the FDA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minimally manipulated. The FDA has not changed its position that certain of the BioD acquired products are not eligible for marketing solely under Section 361.</w:t>
      </w:r>
    </w:p>
    <w:p>
      <w:pPr>
        <w:spacing w:after="0" w:line="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Company does not believe the uses for its amniotic membrane tissue-based products fall into the high-risk category. As of March 31, 2020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from BioD morselized amniotic membrane based products for the three months ended March 31, 2020 were less than 1.0% of consolidated revenues.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March 7, 2019, TEI Biosciences, Inc. a subsidiary of the Company received a Warning Letter (the “Warning Letter”), dated March 6, 2019, from the United States Food and Drug Administration.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has provided detailed responses to the FDA as to its corrective actions on a monthly basis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will not be granted until the violations have been corrected. Additionally, premarket approval applications for Class III devices to which the Quality System regulation violations are reasonably related will not be approved until the violations have been corrected. The TEI Boston facility manufactures extracellular bovine matrix (EBM) products. The Company does not expect to incur material incremental expense for remediation activities. The Company submitted its initial response to the FDA Warning Letter on March 28, 2019 and provides regular progress reports to the FDA. We cannot, however, give any assurances that the FDA will be satisfied with our response to the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of products manufactured in the TEI Boston facility for the three months ended March 31, 2020 were approximately 4.9% of consolidated revenues.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March 31, 2020 was $9.2 million, or $0.11 per diluted share, as compared to $32.8 million or $0.38 per diluted share for the three months ended March 31,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income for the three months ended March 31, 2020 was impacted by the COVID-19 pandemic which resulted in a decrease to revenue and additional expenses due to COVID-19 related charges. Further, the Company also had an increase in interest expense due to the issuance of the Convertible Senior Notes and valuation allowance on certain deferred tax assets as a result of the impact of the COVID-19 pandemic and lower book income in lower-taxed jurisdictions.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the spread of COVID-19, the Company experienced procedure growth trends consistent with those experienced in the fourth quarter of 2019, including strength in general surgery, growth across both divisions in the U.S., and strong performance in international markets. For the first two and a half months of the first quarter of 2020, revenue was trending at the higher end of the Company’s expectations. However, in March as a result of the speed and severity of the spread of COVID-19, Federal, state and several medical and professional associations began to recommend patients defer treatment of all non-urgent medical conditions. These recommendations included unprecedented shelter-in-place policies across the country, which in addition to limiting elective procedures, resulted in a much lower incidence of traumatic injuries, which are a meaningful part of our procedure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 As a result, in mid-March the Company began to experience a significant decline in surgical and medical intervention procedures as healthcare providers reallocated resources to address the increasing demands caused by COVID-19.</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first quarter performance reflects the early impact of the COVID-19 global pandemic and our initial response. By reacting swiftly in February and working with customers and distributors, we were largely able to mitigate the initial revenue impact of the social and economic shutdowns that took place in large parts of China. First quarter total revenues as of March 31, 2020, were $354 million, representing a decline of 1.5% from prior year revenues. The Company has estimated the revenue impact from the decline in surgical procedures to be approximately $20 to $25 million in the first quarter of 2020 compared to its original first quarter revenue expectations. Based on April trends and the ongoing impact from restrictions on surgical procedures and shelter-in-place policies, the Company expects a more substantial negative impact on second quarter performance. The Company believes it is important to remember that our underlying end-markets, especially neurosurgery and regenerative medicine, are not experiencing fundamental changes to the disease conditions. In many cases these conditions can only be deferred for a short period of time, after which an adverse clinical outcome can occur.</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Codman Specialty Surgical segment, the Company saw growth across all Neurosurgery products, led by notable outperformance in CSF management and advanced energy. The Instruments business declined double-digits in the first quarter of 2020 driven by COVID-19 related deferrals on small capital equipment and general surgical instruments. The Company had a solid start to the quarter with strong performance in its Neurosurgery products, including dural access and repair due to continued growth in Japan, and advanced purchases in several international indirect markets due to increased concerns over the spread of COVID-19. In the second half of March the segment was heavily impacted by COVID-19, as the Company saw steep declines in sales across all products, particularly in the U.S. markets. Overall global revenues declined by low single digits in the first quarter of 2020 mainly driven by declines in sales due to COVID-19. The impact of COVID-19 on this segment is approximately $10 to $13 million compared to its original first quarter revenue expectations.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Orthopedics and Tissue Technologies segment, the Company also saw early strength in our regenerative products, driven mostly by amniotics and Surgimend, as supply was increased following capacity expansion investments made last year. The Company's broader wound reconstruction portfolio saw strong customer demand in the first couple months of Q1 2020 however, during March the Company saw a decline in these products largely due to the impact of COVID-19 in areas such as non-emergent chronic wounds and plastic and reconstructive surgical procedures. Additionally, the Company’s private label business reported mid-single digit sales growth, with limited COVID-19 impact as first quarter orders were largely pre-scheduled and in line with expectations. Beginning in late March, the Company saw a significant slowing of its Orthopedics business as non-emergent surgeries began to get deferred resulting in a decrease of mid-single digits in these products for the first quarter of 2020. Overall global revenues declined by low single digits in the first quarter of 2020 resulting from the impact of COVID-19 on this segment of approximately $10 to 12 million compared to its original first quarter revenue expectations.</w:t>
      </w:r>
    </w:p>
    <w:p>
      <w:pPr>
        <w:spacing w:after="0" w:line="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depth and extent to which the COVID-19 pandemic will impact individual markets will vary based on the availability of testing capabilities, personal protective equipment, intensive care units and operating rooms, and medical staff as well as government interventions. As COVID-19 continues to spread, it is likely that surgical procedures will decline from those rates experienced in the first quarter of 2020. While some markets, e.g., China, appear to be recovering, it is possible that a recurrence of COVID-19 will negatively impact non-emergent surgical procedures. For both the Codman Specialty Surgical and Orthopedics and Tissue Technologies segments, the Company has assigned each of its core product families into one of three categories based on procedure severity, meaning whether a procedure is more urgent, moderately urgent or more deferrable. For example, where the Company has visibility, as in traumatic brain injuries which require cerebral spinal fluid management or neuro monitoring, or burns and acute wounds, it has classified these products as more urgent. The Company has classified products such as orthopedics and small capital equipment as more deferrable, as the Company has seen hospitals defer these related procedures and purchases in light of COVID-19 resource and near-term budget prioritization. A large percentage of the Company's products fall into the moderately urgent category including dural access &amp; repair and chronic wounds. The majority of these moderately urgent products involve procedures that cannot be deferred beyond 30 to 90 days without an adverse clinical outcome. The Company notes that there is some level of variability in these category assessments, as physicians will need to evaluate patients’ underlying medical conditions to determine procedure urgency. Moreover, the Company does not expect all markets to recover at the same pace. While we cannot reliably estimate the extent or length of the impact with certainty, we expect procedure volume to significantly decline or be delayed in the second quarter of 2020 and beyond as COVID-19 infections spread, causing additional strain on hospital resources, coupled with the recommended deferrals of less urgent procedures by governments and other authorities. The Company's revenue profile amidst COVID-19 is as follows: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151765</wp:posOffset>
            </wp:positionV>
            <wp:extent cx="5846445" cy="2537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644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markets and worldwide economies have also been significantly impacted by the COVID-19 pandemic, and it is possible that it could cause a local and/or global economic recession. Such economic recession could have a material adverse effect on the Company's long-term business as hospitals curtail and reduce capital and overall spending. The COVID-19 pandemic and local actions, such as “shelter-in-place” orders and restrictions on our ability to travel and access our customers or temporary closures of our facilities or the facilities of our suppliers and their contract manufacturers, could further significantly impact our sales and our ability to ship our products and supply our customers. Any of these events could negatively impact the number of surgical and medical intervention procedures performed and have a material adverse effect on our business, financial condition,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w:t>
            </w:r>
          </w:p>
        </w:tc>
        <w:tc>
          <w:tcPr>
            <w:tcW w:w="4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6,166</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2,896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 medical device regulation</w:t>
            </w:r>
          </w:p>
        </w:tc>
        <w:tc>
          <w:tcPr>
            <w:tcW w:w="3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2,187</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Litigation charges</w:t>
            </w: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3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3,185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COVID-19 pandemic related charges (1)</w:t>
            </w: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4,706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debt refinancing</w:t>
            </w:r>
          </w:p>
        </w:tc>
        <w:tc>
          <w:tcPr>
            <w:tcW w:w="3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2,740</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Convertible debt non-cash interest expense</w:t>
            </w: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2,529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24,755</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28,018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900" w:firstLine="8"/>
        <w:spacing w:after="0" w:line="52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Charges relates to business interruptions and cost associated from COVID-19 pandemic which impacted the Company's operations globally. The items reported above are reflected in the condensed consolidated statements of operations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1,675</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22,460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24,755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and gross margin on product revenues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0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8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60" w:type="dxa"/>
            <w:vAlign w:val="bottom"/>
          </w:tcPr>
          <w:p>
            <w:pPr>
              <w:spacing w:after="0"/>
              <w:rPr>
                <w:sz w:val="21"/>
                <w:szCs w:val="21"/>
                <w:color w:val="auto"/>
              </w:rPr>
            </w:pPr>
          </w:p>
        </w:tc>
        <w:tc>
          <w:tcPr>
            <w:tcW w:w="282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Codman Specialty Surgical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231,440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234,568</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360" w:type="dxa"/>
            <w:vAlign w:val="bottom"/>
          </w:tcPr>
          <w:p>
            <w:pPr>
              <w:spacing w:after="0"/>
              <w:rPr>
                <w:sz w:val="21"/>
                <w:szCs w:val="21"/>
                <w:color w:val="auto"/>
              </w:rPr>
            </w:pP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122,884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125,122</w:t>
            </w: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354,324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359,690</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180" w:type="dxa"/>
            <w:vAlign w:val="bottom"/>
          </w:tcPr>
          <w:p>
            <w:pPr>
              <w:jc w:val="right"/>
              <w:ind w:right="117"/>
              <w:spacing w:after="0"/>
              <w:rPr>
                <w:sz w:val="20"/>
                <w:szCs w:val="20"/>
                <w:color w:val="auto"/>
              </w:rPr>
            </w:pPr>
            <w:r>
              <w:rPr>
                <w:rFonts w:ascii="Arial" w:cs="Arial" w:eastAsia="Arial" w:hAnsi="Arial"/>
                <w:sz w:val="18"/>
                <w:szCs w:val="18"/>
                <w:color w:val="auto"/>
              </w:rPr>
              <w:t>133,476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128,912</w:t>
            </w: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220,848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230,778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Gross margin as a percentage of total revenues</w:t>
            </w:r>
          </w:p>
        </w:tc>
        <w:tc>
          <w:tcPr>
            <w:tcW w:w="3900" w:type="dxa"/>
            <w:vAlign w:val="bottom"/>
          </w:tcPr>
          <w:p>
            <w:pPr>
              <w:jc w:val="right"/>
              <w:ind w:right="490"/>
              <w:spacing w:after="0"/>
              <w:rPr>
                <w:sz w:val="20"/>
                <w:szCs w:val="20"/>
                <w:color w:val="auto"/>
              </w:rPr>
            </w:pPr>
            <w:r>
              <w:rPr>
                <w:rFonts w:ascii="Arial" w:cs="Arial" w:eastAsia="Arial" w:hAnsi="Arial"/>
                <w:sz w:val="18"/>
                <w:szCs w:val="18"/>
                <w:color w:val="auto"/>
              </w:rPr>
              <w:t>62.3%</w:t>
            </w: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as Compared to Three Months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March 31, 2020, total revenues decreased by $5.4 million to $354.3 million from $359.7 million for the same period in 2019. Domestic revenues decreased by $9.9 million, or (3.8)%, to $246.9 million and were 69.7% of total revenues for the three months ended March 31, 2020. International revenues increased by $4.5 million to $107.5 million for the three months ended March 31, 2020 compared to $103.0 million during the same period in the prior year. The net decrease of $5.4 million was a result of decline in both segments due to disruption from COVID-19 as well as an unfavorable impact of foreign exchange of $1.7 million and $3.5 million due to discontinued and divested products.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Codman Specialty Surgical revenues were $231.4 million, a decrease of $3.1 million, or (1.3)% from the prior-year period. The decrease primarily resulted from Instruments which decreased double-digits offset by single-digit growth in Dural Access and Repair and CUSA Clarity offset with an unfavorable impact of foreign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Orthopedics and Tissue Technologies revenues were $122.9 million, a decrease of $2.2 million, or (1.8)% from the prior-year period. Upper and Lower extremities sales decreased mid-single digits compared to the same period last year.</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Gross margin decreased to $220.8 million for the three-month period ended March 31, 2020, a decrease of $10 million from $230.8 million for the same period last year. Gross margin as a percentage of total revenue decreased to 62.3% for the first quarter of 2020 from 64.2% in the same period last year. This decrease primarily related to increase in inventory reserves for discontinued product lines and charges occurred because of COVID-19 pandemic.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2417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gridSpan w:val="2"/>
          </w:tcPr>
          <w:p>
            <w:pPr>
              <w:ind w:left="822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right"/>
              <w:ind w:right="694"/>
              <w:spacing w:after="0"/>
              <w:rPr>
                <w:sz w:val="20"/>
                <w:szCs w:val="20"/>
                <w:color w:val="auto"/>
              </w:rPr>
            </w:pPr>
            <w:r>
              <w:rPr>
                <w:rFonts w:ascii="Arial" w:cs="Arial" w:eastAsia="Arial" w:hAnsi="Arial"/>
                <w:sz w:val="14"/>
                <w:szCs w:val="14"/>
                <w:b w:val="1"/>
                <w:bCs w:val="1"/>
                <w:color w:val="auto"/>
              </w:rPr>
              <w:t>2019</w:t>
            </w:r>
          </w:p>
        </w:tc>
      </w:tr>
      <w:tr>
        <w:trPr>
          <w:trHeight w:val="249"/>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6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8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74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which consist of selling, general and administrative expenses, research and development expenses, in-process research and development expense and amortization expenses, decreased by $4.7 million, or (2.4)% to $193.7 million in the three months ended March 31, 2020, compared to $198.5 million in the same period in 2019.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2020 increased by $2.5 million as compared to the prior year primarily resulting from costs related to product development, including product development for the new acquisition completed in 2019. General and administrative costs decreased by $9.8 million as compared to the prior year primarily resulting from less acquisition and integration related charges compared to three month period ended March 31, 2019.</w:t>
      </w:r>
    </w:p>
    <w:p>
      <w:pPr>
        <w:spacing w:after="0" w:line="16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spending in the first quarter of 2020 reflected normal business activities into March as well as incurring certain costs associated with the impact of the COVID-19 pandemic, including doubtful account reserves, expedited freight, contract cancellation fees, personal protection equipment for our employees, and extra cleaning of our facilities. While certain spending will decrease in the second quarter of 2020 as a result of a reduction in revenue and activities limited by the COVID-19 pandemic, much of our spending will continue. We will continue to support our customers and invest in manufacturing and our supply chain to ensure supply for our customers. Certain costs will decline as the underlying activities are restricted by the COVID-19 pandemic, including travel and related expenses. The Company has eliminated spending that is ineffective due to the COVID-19 pandemic, such as surgeon and hospital events, and we are pausing hiring and outside professional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10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w w:val="95"/>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4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22"/>
                <w:szCs w:val="22"/>
                <w:color w:val="auto"/>
              </w:rPr>
            </w:pPr>
          </w:p>
        </w:tc>
      </w:tr>
      <w:tr>
        <w:trPr>
          <w:trHeight w:val="196"/>
        </w:trPr>
        <w:tc>
          <w:tcPr>
            <w:tcW w:w="37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Borders>
              <w:top w:val="single" w:sz="8" w:color="auto"/>
            </w:tcBorders>
          </w:tcPr>
          <w:p>
            <w:pPr>
              <w:spacing w:after="0"/>
              <w:rPr>
                <w:sz w:val="17"/>
                <w:szCs w:val="17"/>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74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2,570</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w w:val="95"/>
              </w:rPr>
              <w:t>(17,752)</w:t>
            </w: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(13,149)</w:t>
            </w:r>
          </w:p>
        </w:tc>
      </w:tr>
      <w:tr>
        <w:trPr>
          <w:trHeight w:val="27"/>
        </w:trPr>
        <w:tc>
          <w:tcPr>
            <w:tcW w:w="37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3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(479)</w:t>
            </w: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3,236</w:t>
            </w:r>
          </w:p>
        </w:tc>
      </w:tr>
      <w:tr>
        <w:trPr>
          <w:trHeight w:val="432"/>
        </w:trPr>
        <w:tc>
          <w:tcPr>
            <w:tcW w:w="3780" w:type="dxa"/>
            <w:vAlign w:val="bottom"/>
          </w:tcPr>
          <w:p>
            <w:pPr>
              <w:spacing w:after="0"/>
              <w:rPr>
                <w:sz w:val="24"/>
                <w:szCs w:val="24"/>
                <w:color w:val="auto"/>
              </w:rPr>
            </w:pPr>
          </w:p>
        </w:tc>
        <w:tc>
          <w:tcPr>
            <w:tcW w:w="3660" w:type="dxa"/>
            <w:vAlign w:val="bottom"/>
          </w:tcPr>
          <w:p>
            <w:pPr>
              <w:jc w:val="right"/>
              <w:ind w:right="1636"/>
              <w:spacing w:after="0"/>
              <w:rPr>
                <w:sz w:val="20"/>
                <w:szCs w:val="20"/>
                <w:color w:val="auto"/>
              </w:rPr>
            </w:pPr>
            <w:r>
              <w:rPr>
                <w:rFonts w:ascii="Arial" w:cs="Arial" w:eastAsia="Arial" w:hAnsi="Arial"/>
                <w:sz w:val="18"/>
                <w:szCs w:val="18"/>
                <w:color w:val="auto"/>
              </w:rPr>
              <w:t>36</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for the three months ended March 31, 2020 increased by $4.6 million as compared to the same period last year primarily due to increased interest expense, including non-cash interest expense, due to the issuance of the Convertible Senior Notes and expenses associated with Amended and Restated Senior Credit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for the three months ended March 31, 2020, decreased by $3.7 million as compared to the same period last year primarily due to unfavorable impact of foreign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22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5"/>
              </w:rPr>
              <w:t>Three Months Ended March 31,</w:t>
            </w:r>
          </w:p>
        </w:tc>
        <w:tc>
          <w:tcPr>
            <w:tcW w:w="780" w:type="dxa"/>
            <w:vAlign w:val="bottom"/>
            <w:tcBorders>
              <w:bottom w:val="single" w:sz="8" w:color="auto"/>
            </w:tcBorders>
          </w:tcPr>
          <w:p>
            <w:pPr>
              <w:spacing w:after="0"/>
              <w:rPr>
                <w:sz w:val="16"/>
                <w:szCs w:val="16"/>
                <w:color w:val="auto"/>
              </w:rPr>
            </w:pPr>
          </w:p>
        </w:tc>
      </w:tr>
      <w:tr>
        <w:trPr>
          <w:trHeight w:val="263"/>
        </w:trPr>
        <w:tc>
          <w:tcPr>
            <w:tcW w:w="72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r>
      <w:tr>
        <w:trPr>
          <w:trHeight w:val="196"/>
        </w:trPr>
        <w:tc>
          <w:tcPr>
            <w:tcW w:w="7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17"/>
                <w:szCs w:val="17"/>
                <w:color w:val="auto"/>
              </w:rPr>
            </w:pPr>
          </w:p>
        </w:tc>
      </w:tr>
      <w:tr>
        <w:trPr>
          <w:trHeight w:val="256"/>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94"/>
              </w:rPr>
              <w:t>11,442</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4"/>
              </w:rPr>
              <w:t>24,823</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40" w:type="dxa"/>
            <w:vAlign w:val="bottom"/>
          </w:tcPr>
          <w:p>
            <w:pPr>
              <w:spacing w:after="0"/>
              <w:rPr>
                <w:sz w:val="21"/>
                <w:szCs w:val="21"/>
                <w:color w:val="auto"/>
              </w:rPr>
            </w:pPr>
          </w:p>
        </w:tc>
        <w:tc>
          <w:tcPr>
            <w:tcW w:w="820" w:type="dxa"/>
            <w:vAlign w:val="bottom"/>
          </w:tcPr>
          <w:p>
            <w:pPr>
              <w:jc w:val="right"/>
              <w:ind w:right="195"/>
              <w:spacing w:after="0"/>
              <w:rPr>
                <w:sz w:val="20"/>
                <w:szCs w:val="20"/>
                <w:color w:val="auto"/>
              </w:rPr>
            </w:pPr>
            <w:r>
              <w:rPr>
                <w:rFonts w:ascii="Arial" w:cs="Arial" w:eastAsia="Arial" w:hAnsi="Arial"/>
                <w:sz w:val="18"/>
                <w:szCs w:val="18"/>
                <w:color w:val="auto"/>
              </w:rPr>
              <w:t>2,262</w:t>
            </w:r>
          </w:p>
        </w:tc>
        <w:tc>
          <w:tcPr>
            <w:tcW w:w="12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(7,933)</w:t>
            </w:r>
          </w:p>
        </w:tc>
      </w:tr>
      <w:tr>
        <w:trPr>
          <w:trHeight w:val="27"/>
        </w:trPr>
        <w:tc>
          <w:tcPr>
            <w:tcW w:w="7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19.8%</w:t>
            </w:r>
          </w:p>
        </w:tc>
        <w:tc>
          <w:tcPr>
            <w:tcW w:w="1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7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three months ended March 31, 2020 and 2019 were 19.8% and (32.0)%, respectively.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the primary drivers of the higher tax rate were lower book income in lower-taxed jurisdictions and a $3.3 million valuation allowance on certain foreign deferred tax assets as the Company determined that it is no longer more likely than not that these foreign deferred tax assets would be realized due to the adverse impact of the COVID-19 pandemic in certain jurisdictions.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2019, the primary drivers of the lower rate were a tax benefit of $10.8 million related to federal tax holiday in Switzerland and $0.7 million higher tax benefit related to equity compensation. The Company received a Switzerland federal tax credit of 12 million CHF, which can be used over a seven-year period, ending in 2024.</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certain income tax provisions for corporations and individuals, among other provisions. The Company does not expect the CARES Act to have a significant impact on the tax provision for income.</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expects its effective income tax rate for the full year to be approximately (14.6)% driven primarily by the projection of a full year pretax loss from the impact of the COVID-19 on the Company's U.S. GAAP financial results. This estimate could be revised in the future as additional information is presented to the Company.</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246,852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256,726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45,896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48,640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39,960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21,616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18,624</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354,324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359,690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generates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the Company's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revenues decreased to $246.9 million for the three months ended March 31, 2020 compared to the same period last year. European sales decreased by $2.7 million for the three months ended March 31, 2020 compared to the same period last year. Decrease in Domestic and European revenues was primarily due to adverse effects of the COVID-19 pandemic. Sales to customers in Asia Pacific and the Rest of the World for the three months ended March 31, 2020 increased by $7.3 million compared to the same period last year primarily driven by increases including Dural Access and Repair due to continued growth in Japan, and growth in international sales due partially to advanced purchases in several indirect markets due to increased concerns over the spread of COVID-19 in overseas countries.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cash and cash equivalents totaling approximately $357.7 million and $198.9 million at March 31, 2020 and December 31, 2019 respectively, which are valued based on Level 1 measurements in the fair value hierarchy. At March 31, 2020, our non-U.S. subsidiaries held approximately $152.2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 The Company does not anticipate the need to repatriate earnings from foreign subsidiaries as a result of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96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4"/>
              </w:rPr>
              <w:t>Three Months Ended March 31,</w:t>
            </w:r>
          </w:p>
        </w:tc>
        <w:tc>
          <w:tcPr>
            <w:tcW w:w="700" w:type="dxa"/>
            <w:vAlign w:val="bottom"/>
            <w:tcBorders>
              <w:bottom w:val="single" w:sz="8" w:color="auto"/>
            </w:tcBorders>
          </w:tcPr>
          <w:p>
            <w:pPr>
              <w:spacing w:after="0"/>
              <w:rPr>
                <w:sz w:val="16"/>
                <w:szCs w:val="16"/>
                <w:color w:val="auto"/>
              </w:rPr>
            </w:pPr>
          </w:p>
        </w:tc>
      </w:tr>
      <w:tr>
        <w:trPr>
          <w:trHeight w:val="263"/>
        </w:trPr>
        <w:tc>
          <w:tcPr>
            <w:tcW w:w="74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r>
      <w:tr>
        <w:trPr>
          <w:trHeight w:val="196"/>
        </w:trPr>
        <w:tc>
          <w:tcPr>
            <w:tcW w:w="7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0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7"/>
                <w:szCs w:val="17"/>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20,814</w:t>
            </w:r>
          </w:p>
        </w:tc>
        <w:tc>
          <w:tcPr>
            <w:tcW w:w="11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29,484</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(21,485)</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(15,806)</w:t>
            </w:r>
          </w:p>
        </w:tc>
      </w:tr>
      <w:tr>
        <w:trPr>
          <w:trHeight w:val="27"/>
        </w:trPr>
        <w:tc>
          <w:tcPr>
            <w:tcW w:w="7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89"/>
              </w:rPr>
              <w:t>162,005</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5,393</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(2,533)</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cash flows for the three months ended March 31, 2020 decreased compared to the same period in 2019. Net income after non-cash adjustments decreased for the three months ended March 31, 2020 by approximately $5.8 million compared to the same period in 2019 primarily due to adverse effects of the COVID-19 pandemic. The changes in assets and liabilities, net of business acquisitions, decreased cash flows from operating activities by $32.4 million for the three months ended March 31, 2020 compared to an increase of $29.5 million for the same period in 2019. The decrease in 2020 is primarily driven by increased investment in inventories related to new product launches and legal entity manufacturing changes associated with the Codman Neurosurgery acquisition integration. In addition, decreases were also driven by reduced payables offset by decreases in accounts receivable due to progress in collection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we paid $16.5 million for capital expenditures, most of which were directed to our Mansfield, Massachusetts facility, our new Princeton, New Jersey facility and commercial expansion and $5.0 million payment related to the first developmental milestone for Rebound.</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the Company paid $16.1 million for capital expenditures, most of which were directed to our Mansfield, Massachusetts facility, and commercial expansion.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cash from financing activities in the three months ended March 31, 2020 were $515.3 million proceeds from the issuance of Convertible Senior Notes including the call and warrant transactions, $113.2 million borrowing under our Senior Credit Facility and Securitization Facility and $2.3 million in proceeds from the exercise of stock options. These were offset by repayments of $344.2 million on the revolving portion of our Senior Credit Facility and Securitization Facility, $20.3 million debt issuance costs related to the Amended and Restated Credit Agreement, $100 million purchases of treasury stock and $4.3 million cash taxes paid in net equity settlement.</w:t>
      </w:r>
    </w:p>
    <w:p>
      <w:pPr>
        <w:spacing w:after="0" w:line="5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principal sources of cash from financing activities in the three months ended March 31, 2019 were $67.2 million from borrowings under our Senior Credit Facility and Securitization Facility. These were offset by repayments of $57.4 million on the revolving portion of our Senior Credit Facility and Securitization Facility and $6.2 million cash taxes paid in net equity settlement.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Senior Notes, Securitization and Related Hedging Activities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See Note 6 </w:t>
      </w:r>
      <w:r>
        <w:rPr>
          <w:rFonts w:ascii="Arial" w:cs="Arial" w:eastAsia="Arial" w:hAnsi="Arial"/>
          <w:sz w:val="17"/>
          <w:szCs w:val="17"/>
          <w:i w:val="1"/>
          <w:iCs w:val="1"/>
          <w:color w:val="auto"/>
        </w:rPr>
        <w:t>- Debt</w:t>
      </w:r>
      <w:r>
        <w:rPr>
          <w:rFonts w:ascii="Arial" w:cs="Arial" w:eastAsia="Arial" w:hAnsi="Arial"/>
          <w:sz w:val="17"/>
          <w:szCs w:val="17"/>
          <w:color w:val="auto"/>
        </w:rPr>
        <w:t xml:space="preserve"> to the current period’s condensed consolidated financial statements for a discussion of our Amended and Restated Senior Credit Agreement, Convertible Senior Notes and Securitization Facility and Note 7 -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for discussion of our hedging activities.</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result of the COVID-19 pandemic, we expect to continue to experience materially lower sales for as long as the deferral of surgeries continues. We are forecasting that for the next twelve months, sales and earnings will be sufficient to remain in compliance with our financial covenants under the terms of the February 2020 Amendment to the Senior Credit Facility. We have undertaken steps to reduce our spending and expenses in light of our expectation that our revenues will be depressed over the next several months. While we expect that we will be well positioned when surgeries begin to return to their pre-pandemic levels, we are unable to predict with certainty how long the COVID-19 pandemic will last, or how severe its economic impact will be. Even after the COVID-19 pandemic and government responses thereto have subsided, residual economic and other effects may have an impact on the demand for post-pandemic surgery levels that are difficult to predict. If the downturn is more severe and prolonged than we currently expect, we may need to take further steps to reduce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w:t>
      </w:r>
    </w:p>
    <w:p>
      <w:pPr>
        <w:spacing w:after="0" w:line="146"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auto"/>
        </w:rPr>
        <w:t>During the three months ended March 31, 2020, the Company repurchased 1.4 million shares of Integra’s common stock as a part of our existing share repurchase authorization. The Company utilized $100.0 million of net proceeds from the offering of the Convertible Senior Notes to execute the share repurchase transactions. This included $7.6 million from certain purchasers of the convertible notes in conjunction with the closing of the offering. On February 5, 2020, the Company entered into a</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$92.4 million accelerated share repurchase ("ASR") to complete the remaining $100.0 million of share repurchase. The Company received 1.3 million shares through an accelerated share repurchase ("ASR"), which represented approximately 80% of the expected total shares. The remaining 20% of the expected total shares is expected to settle during the second quarter of 2020, upon which additional shares of common stock may be delivered to the Company or, under certain circumstances, the Company may be required to make a cash payment or may elect to deliver shares of our common stock to the ASR counterparty. The total number of shares to be delivered or the amount of such payment, as well as the final average price per share, will be based on the volume-weighted average price, less a discount, of our common stock during the term of the transaction.</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has $125.0 million remaining under the share repurchase of its Common Stock.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 Further, as part of our actions to manage the impacts of COVID-19 on our business, we will significantly reduce our capital expenditures for 2020.</w:t>
      </w:r>
    </w:p>
    <w:p>
      <w:pPr>
        <w:spacing w:after="0" w:line="5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a result of the COVID-19 pandemic, the Company expects to experience reduced cash flow from operations as a result of decreased revenues and earnings. Moreover, we are focused on ensuring that we have adequate inventory on hand given the potential disruption of the COVID-19 pandemic to our suppliers and their supply chain and, accordingly, may continue to maintain these higher levels of inventory during the second quarter of 2020 and beyond.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financing arrangements during the three months ended March 31, 2020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Company is obligated to pay the following amounts under various agreements: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Remaining 2020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2021-2022</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2023-2024</w:t>
            </w:r>
          </w:p>
        </w:tc>
        <w:tc>
          <w:tcPr>
            <w:tcW w:w="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669.4</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Facility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Convertible Debt (4)</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575.0</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Employment Agreements (3)</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1,952.4</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188.6</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1,489.5</w:t>
            </w: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840" w:right="40" w:hanging="307"/>
        <w:spacing w:after="0" w:line="263"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21" w:lineRule="exact"/>
        <w:rPr>
          <w:rFonts w:ascii="Arial" w:cs="Arial" w:eastAsia="Arial" w:hAnsi="Arial"/>
          <w:sz w:val="18"/>
          <w:szCs w:val="18"/>
          <w:color w:val="auto"/>
        </w:rPr>
      </w:pPr>
    </w:p>
    <w:p>
      <w:pPr>
        <w:ind w:left="840" w:right="40" w:hanging="307"/>
        <w:spacing w:after="0" w:line="298" w:lineRule="auto"/>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ind w:left="840" w:hanging="307"/>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63" w:lineRule="exact"/>
        <w:rPr>
          <w:rFonts w:ascii="Arial" w:cs="Arial" w:eastAsia="Arial" w:hAnsi="Arial"/>
          <w:sz w:val="18"/>
          <w:szCs w:val="18"/>
          <w:color w:val="auto"/>
        </w:rPr>
      </w:pPr>
    </w:p>
    <w:p>
      <w:pPr>
        <w:ind w:left="840" w:right="100" w:hanging="307"/>
        <w:spacing w:after="0" w:line="259"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On February 4, 2020, the Company issued $575.0 million aggregate principal amount of its of 0.5% Convertible Senior Notes due 2025 (the "2025 Notes"). The 2025 Notes will mature on August 15, 2025 and bear interest at a rate of 0.5% per annum payable semi-annually in arrears, unless earlier converted, repurchased or redeemed in accordance with the terms of the Notes. See Note 6, </w:t>
      </w:r>
      <w:r>
        <w:rPr>
          <w:rFonts w:ascii="Arial" w:cs="Arial" w:eastAsia="Arial" w:hAnsi="Arial"/>
          <w:sz w:val="18"/>
          <w:szCs w:val="18"/>
          <w:i w:val="1"/>
          <w:iCs w:val="1"/>
          <w:color w:val="auto"/>
        </w:rPr>
        <w:t>Debt</w:t>
      </w:r>
      <w:r>
        <w:rPr>
          <w:rFonts w:ascii="Arial" w:cs="Arial" w:eastAsia="Arial" w:hAnsi="Arial"/>
          <w:sz w:val="18"/>
          <w:szCs w:val="18"/>
          <w:color w:val="auto"/>
        </w:rPr>
        <w:t>, for the details on the 2025 Notes.</w:t>
      </w:r>
    </w:p>
    <w:p>
      <w:pPr>
        <w:spacing w:after="0" w:line="3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has excluded its contingent consideration obligation related to a prior and current year acquisitions from the contractual obligations table above; this liability had a total estimated fair value of $13.4 million at March 31, 2020. This liability has been excluded because the amount to be paid and the potential payment date is not fixed.</w:t>
      </w:r>
    </w:p>
    <w:p>
      <w:pPr>
        <w:spacing w:after="0" w:line="15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excluded its option to acquire Integrated Shoulder Collaboration Inc., which becomes mandatory upon achievement of a certain sales threshold, for an amount not to exceed $80.0 million. This liability has been excluded because the amount to be paid and the potential payment date is not fixed.</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excluded its future pension contribution obligations and deferred compensation obligations from the table above. This has been excluded because the future amounts to be paid and the potential payment dates are not fixed.</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has excluded the liability for uncertain tax benefits from the contractual obligations table above, including interest and penalties, totaling $0.8 million at March 31, 2020. This liability for uncertain tax benefits has been excluded because we cannot make a reliable estimate of the period in which the uncertain tax benefits may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critical accounting estimates included in the Company's Annual Report on Form 10-K for the fiscal year ended December 31, 2019 have not materially 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xml:space="preserve"> for further information.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March 31, 2020 would increase interest income by approximately $3.6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Debt</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use interest rate derivative instruments to manage our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cash flow exposure to changes in interest rates. These interest rate swaps fix the interest rate on a portion of our expected LIBOR-indexed floating-rate borrowings.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notional amount of interest rate swaps in effect as of March 31, 2020 was $900 million. Based on our outstanding borrowings at March 31, 2020, a 100 basis points change in interest rates would have impacted interest expense on the unhedged portion of the debt by $2.3 million on an annualized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required by Exchange Act Rule 13a-15(b), the Company has carried out an evaluation, under the supervision and with the participation of our management, including our principal executive officer and principal financial officer, of the effectiveness of the design and operation of our disclosure controls and procedures as of March 31, 2020. Based upon this evaluation, our principal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officer and principal financial officer concluded that our disclosure controls and procedures were effective as of March 31, 2020 to provide such reasonable assurance.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March 31, 2020 that have materially affected, or are reasonably likely to materially affect, our internal control over financial reporting.</w:t>
      </w:r>
    </w:p>
    <w:p>
      <w:pPr>
        <w:spacing w:after="0" w:line="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legal proceedings can be found in Note 16. Commitment and Contingencies.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risk factors are in addition to the risks described in the Company’s Form 10-K under Item 1A, “Risk Factors” for its fiscal year ended December 31, 2019 and in its subsequent periodic reports filed with the Securities and Exchange Commission pursuant to the Securities Exchange Act of 1934, as amended. The risk factors described below may have the effect of heightening many of the risks contained in the Company’s Form 10-K and other periodic reports.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effects of the COVID-19 pandemic have significantly impacted global economic conditions and have affected our operations, supply chain, distribution, sales force, as well as the financial stability of hospitals and other customers, and could cause a reduction in all operative procedures, which could materially adversely affect our business, results of operations, financial condition, and stock price.</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11, 2020, the World Health Organization (“WHO”) characterized the Novel Coronavirus Disease 2019 (“COVID-19”) as a pandemic. On March 13, 2020, the President of the United States declared a national emergency in response to the COVID-19 pandemic. In an effort to control the spread of COVID-19, governments around the world, including in the U.S., have implemented measures including quarantines, “shelter in place” orders, “stay at home” orders, travel restrictions, business operation restrictions, school closures, and other similar types of measures. The impact of the pandemic, while still evolving, has caused significant economic and financial uncertainty in the U.S. and around the world, generating concerns the effects will lead to a global recession or depression. Governments around the world are attempting to mitigate the economic impact by passing fiscal stimulus measures to assist monetarily with the impacts of COVID-19. Furthermore, variance in actions by governments around the world, economic or otherwise, could result in disparate impact on businesses, including our business, and lead to impactful geopolitical instability.</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unable to assess with certainty the extent to which COVID-19 impacts our future results. Those impacts will depend on future developments that are highly unpredictable and uncertain, such as the severity of the pandemic and global actions in response thereto. Our existing insurance coverage will not provide protection for all of the COVID-19-related disruption that has or may arise during this time. Our management team is focused on mitigating adverse effects of the pandemic, thereby shifting their focus from other priorities. Should these conditions worsen, or endure for an extended period of time, the Company may face operational and other risks that the Company faced prior to the pandemic but are elevated due to the disruption of the pandemic. We continue to assess our business operations and the impact COVID-19 may have on our financial results, but there are no assurances that such analysis will enable us to avoid or precisely forecast the impact or consequences of COVID-19, including business downturns and/or a recession. A recession or depression could materially affect our business, including but not limited to our future access to capital, and negatively impact the value of our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manufacture products may be materially adversely impacted by the coronavirus.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Similar to many other employers in the U.S., the Company is requiring many employees to work remotely. We have continued to operate certain manufacturing facilities to date in compliance with federal, state and local orders regarding COVID-19. The health of the Company’s workforce is our top concern. Accordingly, the Company’s management team may have to enact further precautionary measures to minimize any impact to our employees. Should our ability to manufacture as a result of COVID-19 be impacted it may not be possible for us to manufacture relevant products at required levels or at all. We may not be able to obtain necessary products or components from our suppliers and vendors due to the additional constraints. A reduction or interruption in any of our manufacturing processes could have a material adverse effect on our business, results of operations, financial condition and cash flows which include, without limitation, the Company’s liquidity or access to, or cost of, credit. The Company is unable to quantify the full extent of the impact nor is it able to predict the ultimate consequences. Moreover, continuation of manufacturing operations may be dependent upon adequate access to personal protective equipment (“PPE”). In the event that access to PPE is constrained, manufacturing operations maybe impacted.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may be materially adversely impacted by the coronavirus</w:t>
      </w:r>
      <w:r>
        <w:rPr>
          <w:rFonts w:ascii="Arial" w:cs="Arial" w:eastAsia="Arial" w:hAnsi="Arial"/>
          <w:sz w:val="18"/>
          <w:szCs w:val="18"/>
          <w:color w:val="auto"/>
        </w:rPr>
        <w:t>.</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March 2020, the Centers for Medicare and Medicaid Services (“CMS”) recommended the postponement of elective procedures until further notice to preserve PPE. The American College of Surgeons (the “ACS”), following CMS, called for hospitals to “minimize, postpone or cancel” elective procedures until the COVID-19 outbreak slows down. On April 16, 2020, the President of the United States announced a plan that would allow elective surgeries to resume. On April 17, 2020, the ACS released a guide for health care facilities preparing to resume elective surgery once the COVID-19 disease was under control in their respective areas. The postponement from March of elective surgeries may negatively impact the demand for and sales of our products. A major component of our sales force function is the ability to meet with health care providers in person to discuss our products. Moreover, continuation of sales maybe dependent upon adequate access to PPE in order to gain access to health care providers. In the event that access to PPE is constrained, sales may be impacted. The current “shelter in place” and social distancing mandates may negatively affect demand by limiting the ability of our sales force to maintain their contacts with health care personnel for an unknown period of time. Additionally, variance on a state-by-state basis of the resumption of elective surgeries may further impact our business. There is also a risk that our international distributors may not remain financially viable due to COVID-19 and that our customers will not be able to purchase our products or pay for such products on a timely basis, or at all. As a result, we are uncertain as to whether our sales force, distributors, and customers will be able to increase or maintain current levels of sales or pricing, which could materially adversely impact our business.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regulations and any adverse regulatory action may adversely affect our financial condition and business operations.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The process of obtaining marketing approval or clearance from the FDA and comparable foreign regulatory agencies for new products, or for enhancements or modifications to existing products, could</w:t>
      </w:r>
    </w:p>
    <w:p>
      <w:pPr>
        <w:spacing w:after="0" w:line="138"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171"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the expenditure of substantial financial and other resources;</w:t>
      </w:r>
    </w:p>
    <w:p>
      <w:pPr>
        <w:spacing w:after="0" w:line="171"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171"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 to failed clinical trials or weakened clinical evidence</w:t>
      </w:r>
    </w:p>
    <w:p>
      <w:pPr>
        <w:spacing w:after="0" w:line="171"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171" w:lineRule="exact"/>
        <w:rPr>
          <w:rFonts w:ascii="Arial" w:cs="Arial" w:eastAsia="Arial" w:hAnsi="Arial"/>
          <w:sz w:val="18"/>
          <w:szCs w:val="18"/>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and foreign regulations. For example, we are required to comply with the FDA's Quality System Regulation,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or equivalent foreign agency were to conclude that we are not in compliance with applicable laws or regulations, or that any of our medical devices are ineffective or pose an unreasonable health risk, the FDA or equivalent foreign agency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Governments are expected to continue to scrutinize the industry closely with inspections, and possibly enforcement actions, by the FDA or equivalent foreign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and could have a material, adverse effect on our financial condition and results of operations. In addition, negative publicity and product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liability claims resulting from any adverse regulatory action could have a material, adverse effect on our financial condition and results of operations.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have taken measures to enhance our Quality System, we cannot assure that future inspections by the FDA and the standards they apply will not result in warning letters for any facility in the future. We are also subject to inspections of our Quality System by regulatory agencies outside the U.S. which could result in the issuance of nonconformance or significant requirements to our Quality System.</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Reauthorization Act of 2017 (“FDARA”), which includes the reauthorization of the Medical Device User Fee Amendments of 2012, as well as other medical device provisions, went into effect October 1, 2017. This includes performance goals and user fees paid to the FDA by medical device companies when they register and list with the FDA and when they submit an application to market a device in the U.S. Under FDARA, this user fee program has been reauthorized through fiscal year 2022. Under the Medical Device User Fee Amendments, or MDUFA III, there are additional requirements regarding the FDA Establishment Registration and Listing of Medical Devices. All U.S. and foreign manufacturers must register and list medical devices for sale in the U.S. All of our facilities comply with these requirements. That said, we also source products from foreign contract manufacturers and we continue to monitor their compliance with these regulations.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 and our business could be adversely affected.</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extensive complex regulatory requirements by domestic and foreign government agencies and any failure to comply with our ongoing responsibilities under their applicable laws and regulations could result in a material adverse impact on our business.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w:t>
      </w:r>
      <w:r>
        <w:rPr>
          <w:rFonts w:ascii="Arial" w:cs="Arial" w:eastAsia="Arial" w:hAnsi="Arial"/>
          <w:sz w:val="18"/>
          <w:szCs w:val="18"/>
          <w:color w:val="222222"/>
        </w:rPr>
        <w:t>United States Federal Food, Drug, and Cosmetic Act (“</w:t>
      </w:r>
      <w:r>
        <w:rPr>
          <w:rFonts w:ascii="Arial" w:cs="Arial" w:eastAsia="Arial" w:hAnsi="Arial"/>
          <w:sz w:val="18"/>
          <w:szCs w:val="18"/>
          <w:color w:val="auto"/>
        </w:rPr>
        <w:t>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Foreign governmental regulations have become more stringent and we may become subject to even more rigorous regulation by foreign governmental authorities in the future, which could have a material, adverse effect on our business, financial condition and results of operations. Penalties for a company's noncompliance with foreign governmental regulation could be severe, including revocation or suspension of a company's business license and criminal sanctions. For example, we are subject to Good Manufacturing Practice regulations for Pharmaceuticals in the EU for certain of our products. These regulations also mandate that manufacturers of medical devices (or those that are considered pharmaceuticals) adhere to certain quality assurance requirements pertaining to, among other things, validation of manufacturing processes, controls for purchasing product components, and documentation practices. There may be additional regulations if such products are considered pharmaceuticals outside the U.S.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European Medical Device Regulation (“EU MDR”) passed in the European Parliament on April 5, 2017 and went into effect on May 25, 2017, replacing the Medical Device Directive. The EU MDR is an extensive reform of the rules that govern the medical device industry in Europe. Under this regulation, manufacturers will have three (3) years to comply with a broad set of new rules for almost every kind of medical device. The EU MDR will require changes in the clinical evidence required for medical devices, post-market clinical follow-up evidence, annual reporting of safety information for Class III products, and bi-annual reporting for Class II products, Unique Device Identification (“UDI”) for all products, submission of core data elements to a European UDI database prior to placement of a device on the market, reclassification of medical devices, and multiple other labeling changes. The European Parliament has recently announced changes to the timing of implementation for Class I Reusable from May 26, 2020 to May 26, 2024 and the EUDAMED Database from May 26, 2020 to May 26,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Under the EU MDR rules, medical device companies will have to, among other things, do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significantly more clinical evidence to bring new products to market and even to keep existing products on the market;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changes to product labeling, register every CE Marked product and make certain product data available tin the EUDAMED database which will be available to the public;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product portfolio assessments to determine the impact of the EU MDR on the Company's margins.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Overall, medical device companies can expect longer lead times to obtain product registrations (CE Mark Certification) in the EU and a substantially costlier pathway to compliance in the EU. We are not yet able to determine the costs of complying with these regulations, how the EU will interpret and enforce them, what the timeliness for approvals of products will be and the overall</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 of the EU MDR on the marketplace. Given the significant additional pre-market and post-market requirements imposed by the EU MDR, the overall impact of these new rules could have a material, adverse effect on the Company’s revenues and expenses.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23, 2020, the European Parliament delayed the implementation date of the EU MDR from May 26, 2020 to May 26, 2021 due to COVID-19. We are unable to determine at this time the ultimate impact of the COVID-19 pandemic on the Company’s product registrations or development, including whether the FDA and/or comparable foreign agencies will be impacted by the pandemic in ways that will cause delays in clinical trials, quality inspections and/or regulatory approvals. Such delays could result in a material adverse impact on the Company’s business operations.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neuromonitors and stereotactic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led to disruption and volatility in global financial markets, decreasing economic activity. Many companies have reported experiencing reduced liquidity and uncertainty in their ability to raise capital. If these conditions result in a prolonged economic downturn, the impact to our customers could have a material adverse effect on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leverage and debt service obligations could adversely affect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our total consolidated external debt was approximately $1.3 billion. We may also incur additional indebtedness in the future. Our substantial indebtedness could have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it more difficult for us to satisfy our financial obligations;</w:t>
      </w:r>
    </w:p>
    <w:p>
      <w:pPr>
        <w:spacing w:after="0" w:line="171"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regulatory and industry conditions, and placing us at a disadvantage compared to our competitors that are less leveraged;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limiting our ability to compete and our flexibility in planning for, or reacting to, changes in our business and the industry in which we operate;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our ability to borrow additional funds for working capital, capital expenditures, acquisitions and general corporate or other purposes.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our ability to comply with, renegotiate or extend the Company’s debt obligations will depend on our operating and financial performance, which in turn is subject to prevailing economic conditions and financial, business and other factors beyond our control. Any disruptions in our operations, the financial markets, or the overall economy, including as a result of COVID-19, may adversely affect the availability and cost of credit to us and/or our ability to comply with our existing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our common stock under the repurchase program can be found in Note 11. Treasury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48">
        <w:r>
          <w:rPr>
            <w:rFonts w:ascii="Arial" w:cs="Arial" w:eastAsia="Arial" w:hAnsi="Arial"/>
            <w:sz w:val="18"/>
            <w:szCs w:val="18"/>
            <w:color w:val="auto"/>
          </w:rPr>
          <w:t>48.</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620"/>
              <w:spacing w:after="0"/>
              <w:rPr>
                <w:sz w:val="20"/>
                <w:szCs w:val="20"/>
                <w:color w:val="auto"/>
              </w:rPr>
            </w:pPr>
            <w:r>
              <w:rPr>
                <w:rFonts w:ascii="Arial" w:cs="Arial" w:eastAsia="Arial" w:hAnsi="Arial"/>
                <w:sz w:val="18"/>
                <w:szCs w:val="18"/>
                <w:color w:val="auto"/>
              </w:rPr>
              <w:t>May 7,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1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1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620"/>
              <w:spacing w:after="0"/>
              <w:rPr>
                <w:sz w:val="20"/>
                <w:szCs w:val="20"/>
                <w:color w:val="auto"/>
              </w:rPr>
            </w:pPr>
            <w:r>
              <w:rPr>
                <w:rFonts w:ascii="Arial" w:cs="Arial" w:eastAsia="Arial" w:hAnsi="Arial"/>
                <w:sz w:val="18"/>
                <w:szCs w:val="18"/>
                <w:color w:val="auto"/>
              </w:rPr>
              <w:t>May 7,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Carrie L. Anderson</w:t>
            </w:r>
          </w:p>
        </w:tc>
      </w:tr>
      <w:tr>
        <w:trPr>
          <w:trHeight w:val="27"/>
        </w:trPr>
        <w:tc>
          <w:tcPr>
            <w:tcW w:w="1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70"/>
        </w:trPr>
        <w:tc>
          <w:tcPr>
            <w:tcW w:w="1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270"/>
        </w:trPr>
        <w:tc>
          <w:tcPr>
            <w:tcW w:w="1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620"/>
              <w:spacing w:after="0"/>
              <w:rPr>
                <w:sz w:val="20"/>
                <w:szCs w:val="20"/>
                <w:color w:val="auto"/>
              </w:rPr>
            </w:pPr>
            <w:r>
              <w:rPr>
                <w:rFonts w:ascii="Arial" w:cs="Arial" w:eastAsia="Arial" w:hAnsi="Arial"/>
                <w:sz w:val="18"/>
                <w:szCs w:val="18"/>
                <w:color w:val="auto"/>
              </w:rPr>
              <w:t>May 7, 2020</w:t>
            </w:r>
          </w:p>
        </w:tc>
        <w:tc>
          <w:tcPr>
            <w:tcW w:w="166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 Jeffrey A. Mosebrook</w:t>
            </w:r>
          </w:p>
        </w:tc>
      </w:tr>
      <w:tr>
        <w:trPr>
          <w:trHeight w:val="27"/>
        </w:trPr>
        <w:tc>
          <w:tcPr>
            <w:tcW w:w="1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70"/>
        </w:trPr>
        <w:tc>
          <w:tcPr>
            <w:tcW w:w="1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Corporate Controller</w:t>
            </w:r>
          </w:p>
        </w:tc>
      </w:tr>
      <w:tr>
        <w:trPr>
          <w:trHeight w:val="270"/>
        </w:trPr>
        <w:tc>
          <w:tcPr>
            <w:tcW w:w="1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675"/>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gridSpan w:val="3"/>
          </w:tcPr>
          <w:p>
            <w:pPr>
              <w:spacing w:after="0"/>
              <w:rPr>
                <w:rFonts w:ascii="Arial" w:cs="Arial" w:eastAsia="Arial" w:hAnsi="Arial"/>
                <w:sz w:val="18"/>
                <w:szCs w:val="18"/>
                <w:u w:val="single" w:color="auto"/>
                <w:color w:val="0000EE"/>
                <w:w w:val="97"/>
              </w:rPr>
            </w:pPr>
            <w:hyperlink w:anchor="page2">
              <w:r>
                <w:rPr>
                  <w:rFonts w:ascii="Arial" w:cs="Arial" w:eastAsia="Arial" w:hAnsi="Arial"/>
                  <w:sz w:val="18"/>
                  <w:szCs w:val="18"/>
                  <w:u w:val="single" w:color="auto"/>
                  <w:color w:val="0000EE"/>
                  <w:w w:val="97"/>
                </w:rPr>
                <w:t>Table of Contents</w:t>
              </w:r>
            </w:hyperlink>
          </w:p>
        </w:tc>
        <w:tc>
          <w:tcPr>
            <w:tcW w:w="9680" w:type="dxa"/>
            <w:vAlign w:val="bottom"/>
          </w:tcPr>
          <w:p>
            <w:pPr>
              <w:spacing w:after="0"/>
              <w:rPr>
                <w:sz w:val="20"/>
                <w:szCs w:val="20"/>
                <w:color w:val="auto"/>
              </w:rPr>
            </w:pPr>
          </w:p>
        </w:tc>
      </w:tr>
      <w:tr>
        <w:trPr>
          <w:trHeight w:val="769"/>
        </w:trPr>
        <w:tc>
          <w:tcPr>
            <w:tcW w:w="66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Exhibits</w:t>
            </w:r>
          </w:p>
        </w:tc>
        <w:tc>
          <w:tcPr>
            <w:tcW w:w="140" w:type="dxa"/>
            <w:vAlign w:val="bottom"/>
          </w:tcPr>
          <w:p>
            <w:pPr>
              <w:spacing w:after="0"/>
              <w:rPr>
                <w:sz w:val="24"/>
                <w:szCs w:val="24"/>
                <w:color w:val="auto"/>
              </w:rPr>
            </w:pPr>
          </w:p>
        </w:tc>
        <w:tc>
          <w:tcPr>
            <w:tcW w:w="9680" w:type="dxa"/>
            <w:vAlign w:val="bottom"/>
          </w:tcPr>
          <w:p>
            <w:pPr>
              <w:spacing w:after="0"/>
              <w:rPr>
                <w:sz w:val="24"/>
                <w:szCs w:val="24"/>
                <w:color w:val="auto"/>
              </w:rPr>
            </w:pPr>
          </w:p>
        </w:tc>
      </w:tr>
      <w:tr>
        <w:trPr>
          <w:trHeight w:val="615"/>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Principal Executive Officer Pursuant to Section 302 of the Sarbanes-Oxley Act of 2002</w:t>
              </w:r>
            </w:hyperlink>
          </w:p>
        </w:tc>
      </w:tr>
      <w:tr>
        <w:trPr>
          <w:trHeight w:val="54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of Principal Financial Officer Pursuant to Section 302 of the Sarbanes-Oxley Act of 2002</w:t>
              </w:r>
            </w:hyperlink>
          </w:p>
        </w:tc>
      </w:tr>
      <w:tr>
        <w:trPr>
          <w:trHeight w:val="54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Principal Executive Officer Pursuant to Section 906 of the Sarbanes-Oxley Act of 2002</w:t>
              </w:r>
            </w:hyperlink>
          </w:p>
        </w:tc>
      </w:tr>
      <w:tr>
        <w:trPr>
          <w:trHeight w:val="54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680" w:type="dxa"/>
            <w:vAlign w:val="bottom"/>
          </w:tcPr>
          <w:p>
            <w:pPr>
              <w:ind w:left="1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Principal Financial Officer Pursuant to Section 906 of the Sarbanes-Oxley Act of 2002</w:t>
              </w:r>
            </w:hyperlink>
          </w:p>
        </w:tc>
      </w:tr>
      <w:tr>
        <w:trPr>
          <w:trHeight w:val="526"/>
        </w:trPr>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9680" w:type="dxa"/>
            <w:vAlign w:val="bottom"/>
          </w:tcPr>
          <w:p>
            <w:pPr>
              <w:ind w:left="1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within the Inline XBRL document.</w:t>
            </w:r>
          </w:p>
        </w:tc>
      </w:tr>
      <w:tr>
        <w:trPr>
          <w:trHeight w:val="540"/>
        </w:trPr>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*†101.SCH</w:t>
            </w:r>
          </w:p>
        </w:tc>
        <w:tc>
          <w:tcPr>
            <w:tcW w:w="968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*†101.CAL</w:t>
            </w:r>
          </w:p>
        </w:tc>
        <w:tc>
          <w:tcPr>
            <w:tcW w:w="968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*†101.DEF</w:t>
            </w:r>
          </w:p>
        </w:tc>
        <w:tc>
          <w:tcPr>
            <w:tcW w:w="9680" w:type="dxa"/>
            <w:vAlign w:val="bottom"/>
          </w:tcPr>
          <w:p>
            <w:pPr>
              <w:ind w:left="12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*†101.LAB</w:t>
            </w:r>
          </w:p>
        </w:tc>
        <w:tc>
          <w:tcPr>
            <w:tcW w:w="9680" w:type="dxa"/>
            <w:vAlign w:val="bottom"/>
          </w:tcPr>
          <w:p>
            <w:pPr>
              <w:ind w:left="12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*†101.PRE</w:t>
            </w:r>
          </w:p>
        </w:tc>
        <w:tc>
          <w:tcPr>
            <w:tcW w:w="968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jc w:val="right"/>
        <w:ind w:left="500" w:hanging="492"/>
        <w:spacing w:after="0" w:line="287" w:lineRule="auto"/>
        <w:tabs>
          <w:tab w:leader="none" w:pos="1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March 31, 2020 filed on May 7, 2020 formatted in XBRL (Extensible Business Reporting Language): (i) the Condensed Consolidated Statements of Operations and Comprehensive Income, (ii) the Condensed Consolidated Balance Sheets, (iii) Parenthetical Data to the Condensed Consolidated Balance Sheets,</w:t>
      </w:r>
    </w:p>
    <w:p>
      <w:pPr>
        <w:spacing w:after="0" w:line="2" w:lineRule="exact"/>
        <w:rPr>
          <w:rFonts w:ascii="Arial" w:cs="Arial" w:eastAsia="Arial" w:hAnsi="Arial"/>
          <w:sz w:val="16"/>
          <w:szCs w:val="16"/>
          <w:color w:val="auto"/>
        </w:rPr>
      </w:pPr>
    </w:p>
    <w:p>
      <w:pPr>
        <w:ind w:left="500" w:hanging="6"/>
        <w:spacing w:after="0" w:line="260" w:lineRule="auto"/>
        <w:tabs>
          <w:tab w:leader="none" w:pos="856"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900"/>
        <w:spacing w:after="0"/>
        <w:tabs>
          <w:tab w:leader="none" w:pos="614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9317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Carrie L. Anderson,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540"/>
        <w:spacing w:after="0"/>
        <w:tabs>
          <w:tab w:leader="none" w:pos="134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9229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240"/>
          </w:cols>
          <w:pgMar w:left="320" w:top="121"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00" w:val="left"/>
          <w:tab w:leader="none" w:pos="6040" w:val="left"/>
        </w:tabs>
        <w:rPr>
          <w:sz w:val="20"/>
          <w:szCs w:val="20"/>
          <w:color w:val="auto"/>
        </w:rPr>
      </w:pPr>
      <w:r>
        <w:rPr>
          <w:rFonts w:ascii="Arial" w:cs="Arial" w:eastAsia="Arial" w:hAnsi="Arial"/>
          <w:sz w:val="18"/>
          <w:szCs w:val="18"/>
          <w:color w:val="auto"/>
        </w:rPr>
        <w:t>Date:</w:t>
        <w:tab/>
        <w:t>May 7, 2020</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2931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Carrie L. Anderson,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2020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00"/>
        <w:spacing w:after="0"/>
        <w:tabs>
          <w:tab w:leader="none" w:pos="13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6"/>
          <w:szCs w:val="16"/>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2880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Carrie L. Anderson</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Roman"/>
      <w:start w:val="1"/>
    </w:lvl>
    <w:lvl w:ilvl="1">
      <w:lvlJc w:val="left"/>
      <w:lvlText w:val="%2."/>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
      <w:numFmt w:val="bullet"/>
      <w:start w:val="1"/>
    </w:lvl>
    <w:lvl w:ilvl="2">
      <w:lvlJc w:val="left"/>
      <w:lvlText w:val="(%3)"/>
      <w:numFmt w:val="lowerRoman"/>
      <w:start w:val="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2020-05-07T15:55:59Z</dcterms:created>
  <dcterms:modified xsi:type="dcterms:W3CDTF">2020-05-07T15:55:59Z</dcterms:modified>
</cp:coreProperties>
</file>