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17"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80" w:hanging="443"/>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99"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680" w:hanging="443"/>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352" w:lineRule="exact"/>
        <w:rPr>
          <w:sz w:val="24"/>
          <w:szCs w:val="24"/>
          <w:color w:val="auto"/>
        </w:rPr>
      </w:pPr>
    </w:p>
    <w:p>
      <w:pPr>
        <w:ind w:left="394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34" w:lineRule="exact"/>
        <w:rPr>
          <w:sz w:val="24"/>
          <w:szCs w:val="24"/>
          <w:color w:val="auto"/>
        </w:rPr>
      </w:pPr>
    </w:p>
    <w:tbl>
      <w:tblPr>
        <w:tblLayout w:type="fixed"/>
        <w:tblInd w:w="440" w:type="dxa"/>
        <w:tblCellMar>
          <w:top w:w="0" w:type="dxa"/>
          <w:left w:w="0" w:type="dxa"/>
          <w:bottom w:w="0" w:type="dxa"/>
          <w:right w:w="0" w:type="dxa"/>
        </w:tblCellMar>
      </w:tblPr>
      <w:tr>
        <w:trPr>
          <w:trHeight w:val="225"/>
        </w:trPr>
        <w:tc>
          <w:tcPr>
            <w:tcW w:w="2740" w:type="dxa"/>
            <w:vAlign w:val="bottom"/>
          </w:tcPr>
          <w:p>
            <w:pPr>
              <w:jc w:val="center"/>
              <w:ind w:left="1859"/>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tcPr>
          <w:p>
            <w:pPr>
              <w:spacing w:after="0"/>
              <w:rPr>
                <w:sz w:val="19"/>
                <w:szCs w:val="19"/>
                <w:color w:val="auto"/>
              </w:rPr>
            </w:pPr>
          </w:p>
        </w:tc>
        <w:tc>
          <w:tcPr>
            <w:tcW w:w="4740" w:type="dxa"/>
            <w:vAlign w:val="bottom"/>
          </w:tcPr>
          <w:p>
            <w:pPr>
              <w:jc w:val="right"/>
              <w:ind w:right="1620"/>
              <w:spacing w:after="0"/>
              <w:rPr>
                <w:sz w:val="20"/>
                <w:szCs w:val="20"/>
                <w:color w:val="auto"/>
              </w:rPr>
            </w:pPr>
            <w:r>
              <w:rPr>
                <w:rFonts w:ascii="Arial" w:cs="Arial" w:eastAsia="Arial" w:hAnsi="Arial"/>
                <w:sz w:val="18"/>
                <w:szCs w:val="18"/>
                <w:b w:val="1"/>
                <w:bCs w:val="1"/>
                <w:color w:val="auto"/>
              </w:rPr>
              <w:t>51-0317849</w:t>
            </w:r>
          </w:p>
        </w:tc>
        <w:tc>
          <w:tcPr>
            <w:tcW w:w="0" w:type="dxa"/>
            <w:vAlign w:val="bottom"/>
          </w:tcPr>
          <w:p>
            <w:pPr>
              <w:spacing w:after="0"/>
              <w:rPr>
                <w:sz w:val="1"/>
                <w:szCs w:val="1"/>
                <w:color w:val="auto"/>
              </w:rPr>
            </w:pPr>
          </w:p>
        </w:tc>
      </w:tr>
      <w:tr>
        <w:trPr>
          <w:trHeight w:val="144"/>
        </w:trPr>
        <w:tc>
          <w:tcPr>
            <w:tcW w:w="5480" w:type="dxa"/>
            <w:vAlign w:val="bottom"/>
            <w:gridSpan w:val="2"/>
          </w:tcPr>
          <w:p>
            <w:pPr>
              <w:jc w:val="center"/>
              <w:ind w:right="699"/>
              <w:spacing w:after="0" w:line="145" w:lineRule="exact"/>
              <w:rPr>
                <w:sz w:val="20"/>
                <w:szCs w:val="20"/>
                <w:color w:val="auto"/>
              </w:rPr>
            </w:pPr>
            <w:r>
              <w:rPr>
                <w:rFonts w:ascii="Arial" w:cs="Arial" w:eastAsia="Arial" w:hAnsi="Arial"/>
                <w:sz w:val="14"/>
                <w:szCs w:val="14"/>
                <w:b w:val="1"/>
                <w:bCs w:val="1"/>
                <w:color w:val="auto"/>
              </w:rPr>
              <w:t>(STATE OR OTHER JURISDICTION OF</w:t>
            </w:r>
          </w:p>
        </w:tc>
        <w:tc>
          <w:tcPr>
            <w:tcW w:w="4740" w:type="dxa"/>
            <w:vAlign w:val="bottom"/>
          </w:tcPr>
          <w:p>
            <w:pPr>
              <w:jc w:val="center"/>
              <w:ind w:left="400"/>
              <w:spacing w:after="0" w:line="145"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5480" w:type="dxa"/>
            <w:vAlign w:val="bottom"/>
            <w:gridSpan w:val="2"/>
          </w:tcPr>
          <w:p>
            <w:pPr>
              <w:jc w:val="center"/>
              <w:ind w:right="719"/>
              <w:spacing w:after="0"/>
              <w:rPr>
                <w:sz w:val="20"/>
                <w:szCs w:val="20"/>
                <w:color w:val="auto"/>
              </w:rPr>
            </w:pPr>
            <w:r>
              <w:rPr>
                <w:rFonts w:ascii="Arial" w:cs="Arial" w:eastAsia="Arial" w:hAnsi="Arial"/>
                <w:sz w:val="14"/>
                <w:szCs w:val="14"/>
                <w:b w:val="1"/>
                <w:bCs w:val="1"/>
                <w:color w:val="auto"/>
              </w:rPr>
              <w:t>INCORPORATION OR ORGANIZATION)</w:t>
            </w:r>
          </w:p>
        </w:tc>
        <w:tc>
          <w:tcPr>
            <w:tcW w:w="4740" w:type="dxa"/>
            <w:vAlign w:val="bottom"/>
          </w:tcPr>
          <w:p>
            <w:pPr>
              <w:jc w:val="center"/>
              <w:ind w:left="380"/>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497"/>
        </w:trPr>
        <w:tc>
          <w:tcPr>
            <w:tcW w:w="5480" w:type="dxa"/>
            <w:vAlign w:val="bottom"/>
            <w:gridSpan w:val="2"/>
          </w:tcPr>
          <w:p>
            <w:pPr>
              <w:jc w:val="center"/>
              <w:ind w:right="719"/>
              <w:spacing w:after="0"/>
              <w:rPr>
                <w:sz w:val="20"/>
                <w:szCs w:val="20"/>
                <w:color w:val="auto"/>
              </w:rPr>
            </w:pPr>
            <w:r>
              <w:rPr>
                <w:rFonts w:ascii="Arial" w:cs="Arial" w:eastAsia="Arial" w:hAnsi="Arial"/>
                <w:sz w:val="18"/>
                <w:szCs w:val="18"/>
                <w:b w:val="1"/>
                <w:bCs w:val="1"/>
                <w:color w:val="auto"/>
                <w:w w:val="89"/>
              </w:rPr>
              <w:t>1100 Campus Road</w:t>
            </w:r>
          </w:p>
        </w:tc>
        <w:tc>
          <w:tcPr>
            <w:tcW w:w="4740" w:type="dxa"/>
            <w:vAlign w:val="bottom"/>
          </w:tcPr>
          <w:p>
            <w:pPr>
              <w:jc w:val="right"/>
              <w:ind w:right="1820"/>
              <w:spacing w:after="0"/>
              <w:rPr>
                <w:sz w:val="20"/>
                <w:szCs w:val="20"/>
                <w:color w:val="auto"/>
              </w:rPr>
            </w:pPr>
            <w:r>
              <w:rPr>
                <w:rFonts w:ascii="Arial" w:cs="Arial" w:eastAsia="Arial" w:hAnsi="Arial"/>
                <w:sz w:val="18"/>
                <w:szCs w:val="18"/>
                <w:b w:val="1"/>
                <w:bCs w:val="1"/>
                <w:color w:val="auto"/>
              </w:rPr>
              <w:t>08540</w:t>
            </w:r>
          </w:p>
        </w:tc>
        <w:tc>
          <w:tcPr>
            <w:tcW w:w="0" w:type="dxa"/>
            <w:vAlign w:val="bottom"/>
          </w:tcPr>
          <w:p>
            <w:pPr>
              <w:spacing w:after="0"/>
              <w:rPr>
                <w:sz w:val="1"/>
                <w:szCs w:val="1"/>
                <w:color w:val="auto"/>
              </w:rPr>
            </w:pPr>
          </w:p>
        </w:tc>
      </w:tr>
      <w:tr>
        <w:trPr>
          <w:trHeight w:val="225"/>
        </w:trPr>
        <w:tc>
          <w:tcPr>
            <w:tcW w:w="5480" w:type="dxa"/>
            <w:vAlign w:val="bottom"/>
            <w:gridSpan w:val="2"/>
          </w:tcPr>
          <w:p>
            <w:pPr>
              <w:ind w:left="1480"/>
              <w:spacing w:after="0"/>
              <w:rPr>
                <w:sz w:val="20"/>
                <w:szCs w:val="20"/>
                <w:color w:val="auto"/>
              </w:rPr>
            </w:pPr>
            <w:r>
              <w:rPr>
                <w:rFonts w:ascii="Arial" w:cs="Arial" w:eastAsia="Arial" w:hAnsi="Arial"/>
                <w:sz w:val="18"/>
                <w:szCs w:val="18"/>
                <w:b w:val="1"/>
                <w:bCs w:val="1"/>
                <w:color w:val="auto"/>
              </w:rPr>
              <w:t>Princeton ,  New Jersey</w:t>
            </w:r>
          </w:p>
        </w:tc>
        <w:tc>
          <w:tcPr>
            <w:tcW w:w="4740" w:type="dxa"/>
            <w:vAlign w:val="bottom"/>
            <w:vMerge w:val="restart"/>
          </w:tcPr>
          <w:p>
            <w:pPr>
              <w:jc w:val="center"/>
              <w:ind w:left="400"/>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78"/>
        </w:trPr>
        <w:tc>
          <w:tcPr>
            <w:tcW w:w="5480" w:type="dxa"/>
            <w:vAlign w:val="bottom"/>
            <w:gridSpan w:val="2"/>
            <w:vMerge w:val="restart"/>
          </w:tcPr>
          <w:p>
            <w:pPr>
              <w:jc w:val="center"/>
              <w:ind w:right="699"/>
              <w:spacing w:after="0"/>
              <w:rPr>
                <w:sz w:val="20"/>
                <w:szCs w:val="20"/>
                <w:color w:val="auto"/>
              </w:rPr>
            </w:pPr>
            <w:r>
              <w:rPr>
                <w:rFonts w:ascii="Arial" w:cs="Arial" w:eastAsia="Arial" w:hAnsi="Arial"/>
                <w:sz w:val="14"/>
                <w:szCs w:val="14"/>
                <w:b w:val="1"/>
                <w:bCs w:val="1"/>
                <w:color w:val="auto"/>
              </w:rPr>
              <w:t>(ADDRESS OF PRINCIPAL EXECUTIVE OFFICES)</w:t>
            </w:r>
          </w:p>
        </w:tc>
        <w:tc>
          <w:tcPr>
            <w:tcW w:w="4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5480" w:type="dxa"/>
            <w:vAlign w:val="bottom"/>
            <w:gridSpan w:val="2"/>
            <w:vMerge w:val="continue"/>
          </w:tcPr>
          <w:p>
            <w:pPr>
              <w:spacing w:after="0"/>
              <w:rPr>
                <w:sz w:val="9"/>
                <w:szCs w:val="9"/>
                <w:color w:val="auto"/>
              </w:rPr>
            </w:pPr>
          </w:p>
        </w:tc>
        <w:tc>
          <w:tcPr>
            <w:tcW w:w="4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2"/>
        </w:trPr>
        <w:tc>
          <w:tcPr>
            <w:tcW w:w="2740" w:type="dxa"/>
            <w:vAlign w:val="bottom"/>
          </w:tcPr>
          <w:p>
            <w:pPr>
              <w:spacing w:after="0"/>
              <w:rPr>
                <w:sz w:val="24"/>
                <w:szCs w:val="24"/>
                <w:color w:val="auto"/>
              </w:rPr>
            </w:pPr>
          </w:p>
        </w:tc>
        <w:tc>
          <w:tcPr>
            <w:tcW w:w="7480" w:type="dxa"/>
            <w:vAlign w:val="bottom"/>
            <w:gridSpan w:val="2"/>
          </w:tcPr>
          <w:p>
            <w:pPr>
              <w:jc w:val="center"/>
              <w:ind w:right="2500"/>
              <w:spacing w:after="0"/>
              <w:rPr>
                <w:sz w:val="20"/>
                <w:szCs w:val="20"/>
                <w:color w:val="auto"/>
              </w:rPr>
            </w:pPr>
            <w:r>
              <w:rPr>
                <w:rFonts w:ascii="Arial" w:cs="Arial" w:eastAsia="Arial" w:hAnsi="Arial"/>
                <w:sz w:val="16"/>
                <w:szCs w:val="16"/>
                <w:b w:val="1"/>
                <w:bCs w:val="1"/>
                <w:color w:val="auto"/>
                <w:w w:val="91"/>
              </w:rPr>
              <w:t>Registrant's Telephone Number, Including Area Code: (609) 275-0500</w:t>
            </w:r>
          </w:p>
        </w:tc>
        <w:tc>
          <w:tcPr>
            <w:tcW w:w="0" w:type="dxa"/>
            <w:vAlign w:val="bottom"/>
          </w:tcPr>
          <w:p>
            <w:pPr>
              <w:spacing w:after="0"/>
              <w:rPr>
                <w:sz w:val="1"/>
                <w:szCs w:val="1"/>
                <w:color w:val="auto"/>
              </w:rPr>
            </w:pPr>
          </w:p>
        </w:tc>
      </w:tr>
      <w:tr>
        <w:trPr>
          <w:trHeight w:val="297"/>
        </w:trPr>
        <w:tc>
          <w:tcPr>
            <w:tcW w:w="10220" w:type="dxa"/>
            <w:vAlign w:val="bottom"/>
            <w:gridSpan w:val="3"/>
          </w:tcPr>
          <w:p>
            <w:pPr>
              <w:jc w:val="center"/>
              <w:ind w:left="59"/>
              <w:spacing w:after="0"/>
              <w:rPr>
                <w:sz w:val="20"/>
                <w:szCs w:val="20"/>
                <w:color w:val="auto"/>
              </w:rPr>
            </w:pPr>
            <w:r>
              <w:rPr>
                <w:rFonts w:ascii="Arial" w:cs="Arial" w:eastAsia="Arial" w:hAnsi="Arial"/>
                <w:sz w:val="16"/>
                <w:szCs w:val="16"/>
                <w:b w:val="1"/>
                <w:bCs w:val="1"/>
                <w:color w:val="auto"/>
                <w:w w:val="92"/>
              </w:rPr>
              <w:t>Former Name, Former Address and Former Fiscal Year, if Changed Since Last Report:</w:t>
            </w: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4"/>
                <w:szCs w:val="24"/>
                <w:color w:val="auto"/>
              </w:rPr>
            </w:pPr>
          </w:p>
        </w:tc>
        <w:tc>
          <w:tcPr>
            <w:tcW w:w="7480" w:type="dxa"/>
            <w:vAlign w:val="bottom"/>
            <w:gridSpan w:val="2"/>
          </w:tcPr>
          <w:p>
            <w:pPr>
              <w:jc w:val="center"/>
              <w:ind w:right="252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0" w:type="dxa"/>
            <w:vAlign w:val="bottom"/>
          </w:tcPr>
          <w:p>
            <w:pPr>
              <w:spacing w:after="0"/>
              <w:rPr>
                <w:sz w:val="1"/>
                <w:szCs w:val="1"/>
                <w:color w:val="auto"/>
              </w:rPr>
            </w:pPr>
          </w:p>
        </w:tc>
      </w:tr>
      <w:tr>
        <w:trPr>
          <w:trHeight w:val="338"/>
        </w:trPr>
        <w:tc>
          <w:tcPr>
            <w:tcW w:w="2740" w:type="dxa"/>
            <w:vAlign w:val="bottom"/>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740" w:type="dxa"/>
            <w:vAlign w:val="bottom"/>
          </w:tcPr>
          <w:p>
            <w:pPr>
              <w:jc w:val="center"/>
              <w:ind w:left="219"/>
              <w:spacing w:after="0"/>
              <w:rPr>
                <w:sz w:val="20"/>
                <w:szCs w:val="20"/>
                <w:color w:val="auto"/>
              </w:rPr>
            </w:pPr>
            <w:r>
              <w:rPr>
                <w:rFonts w:ascii="Arial" w:cs="Arial" w:eastAsia="Arial" w:hAnsi="Arial"/>
                <w:sz w:val="16"/>
                <w:szCs w:val="16"/>
                <w:b w:val="1"/>
                <w:bCs w:val="1"/>
                <w:color w:val="auto"/>
              </w:rPr>
              <w:t>TRADING SYMBOL</w:t>
            </w:r>
          </w:p>
        </w:tc>
        <w:tc>
          <w:tcPr>
            <w:tcW w:w="4740" w:type="dxa"/>
            <w:vAlign w:val="bottom"/>
          </w:tcPr>
          <w:p>
            <w:pPr>
              <w:jc w:val="center"/>
              <w:ind w:left="380"/>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6"/>
        </w:trPr>
        <w:tc>
          <w:tcPr>
            <w:tcW w:w="2740" w:type="dxa"/>
            <w:vAlign w:val="bottom"/>
          </w:tcPr>
          <w:p>
            <w:pPr>
              <w:jc w:val="center"/>
              <w:spacing w:after="0"/>
              <w:rPr>
                <w:sz w:val="20"/>
                <w:szCs w:val="20"/>
                <w:color w:val="auto"/>
              </w:rPr>
            </w:pPr>
            <w:r>
              <w:rPr>
                <w:rFonts w:ascii="Arial" w:cs="Arial" w:eastAsia="Arial" w:hAnsi="Arial"/>
                <w:sz w:val="16"/>
                <w:szCs w:val="16"/>
                <w:color w:val="auto"/>
                <w:w w:val="90"/>
              </w:rPr>
              <w:t>Common Stock, Par Value $.01 Per Share</w:t>
            </w:r>
          </w:p>
        </w:tc>
        <w:tc>
          <w:tcPr>
            <w:tcW w:w="2740" w:type="dxa"/>
            <w:vAlign w:val="bottom"/>
          </w:tcPr>
          <w:p>
            <w:pPr>
              <w:jc w:val="center"/>
              <w:ind w:left="219"/>
              <w:spacing w:after="0"/>
              <w:rPr>
                <w:sz w:val="20"/>
                <w:szCs w:val="20"/>
                <w:color w:val="auto"/>
              </w:rPr>
            </w:pPr>
            <w:r>
              <w:rPr>
                <w:rFonts w:ascii="Arial" w:cs="Arial" w:eastAsia="Arial" w:hAnsi="Arial"/>
                <w:sz w:val="16"/>
                <w:szCs w:val="16"/>
                <w:color w:val="auto"/>
                <w:w w:val="98"/>
              </w:rPr>
              <w:t>IART</w:t>
            </w:r>
          </w:p>
        </w:tc>
        <w:tc>
          <w:tcPr>
            <w:tcW w:w="4740" w:type="dxa"/>
            <w:vAlign w:val="bottom"/>
          </w:tcPr>
          <w:p>
            <w:pPr>
              <w:jc w:val="center"/>
              <w:ind w:left="380"/>
              <w:spacing w:after="0"/>
              <w:rPr>
                <w:sz w:val="20"/>
                <w:szCs w:val="20"/>
                <w:color w:val="auto"/>
              </w:rPr>
            </w:pPr>
            <w:r>
              <w:rPr>
                <w:rFonts w:ascii="Arial" w:cs="Arial" w:eastAsia="Arial" w:hAnsi="Arial"/>
                <w:sz w:val="16"/>
                <w:szCs w:val="16"/>
                <w:color w:val="auto"/>
                <w:w w:val="92"/>
              </w:rPr>
              <w:t>Nasdaq Global Select Market</w:t>
            </w:r>
          </w:p>
        </w:tc>
        <w:tc>
          <w:tcPr>
            <w:tcW w:w="0" w:type="dxa"/>
            <w:vAlign w:val="bottom"/>
          </w:tcPr>
          <w:p>
            <w:pPr>
              <w:spacing w:after="0"/>
              <w:rPr>
                <w:sz w:val="1"/>
                <w:szCs w:val="1"/>
                <w:color w:val="auto"/>
              </w:rPr>
            </w:pPr>
          </w:p>
        </w:tc>
      </w:tr>
    </w:tbl>
    <w:p>
      <w:pPr>
        <w:spacing w:after="0" w:line="293"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20"/>
        <w:spacing w:after="0" w:line="184" w:lineRule="exact"/>
        <w:tabs>
          <w:tab w:leader="none" w:pos="7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40"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8" w:lineRule="exact"/>
        <w:rPr>
          <w:sz w:val="24"/>
          <w:szCs w:val="24"/>
          <w:color w:val="auto"/>
        </w:rPr>
      </w:pPr>
    </w:p>
    <w:p>
      <w:pPr>
        <w:jc w:val="both"/>
        <w:ind w:right="26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4"/>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5"/>
        </w:trPr>
        <w:tc>
          <w:tcPr>
            <w:tcW w:w="22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302" w:lineRule="exact"/>
        <w:rPr>
          <w:sz w:val="20"/>
          <w:szCs w:val="20"/>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0"/>
          <w:szCs w:val="20"/>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43"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April 27, 2021 was 84,549,309.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7566025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210"/>
        </w:trPr>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5"/>
              </w:rPr>
              <w:t>Number</w:t>
            </w:r>
          </w:p>
        </w:tc>
      </w:tr>
      <w:tr>
        <w:trPr>
          <w:trHeight w:val="161"/>
        </w:trPr>
        <w:tc>
          <w:tcPr>
            <w:tcW w:w="2600" w:type="dxa"/>
            <w:vAlign w:val="bottom"/>
            <w:tcBorders>
              <w:bottom w:val="single" w:sz="8" w:color="0000FF"/>
            </w:tcBorders>
            <w:gridSpan w:val="11"/>
          </w:tcPr>
          <w:p>
            <w:pPr>
              <w:spacing w:after="0" w:line="161" w:lineRule="exact"/>
              <w:rPr>
                <w:rFonts w:ascii="Arial" w:cs="Arial" w:eastAsia="Arial" w:hAnsi="Arial"/>
                <w:sz w:val="16"/>
                <w:szCs w:val="16"/>
                <w:color w:val="0000FF"/>
                <w:w w:val="99"/>
              </w:rPr>
            </w:pPr>
            <w:hyperlink w:anchor="page3">
              <w:r>
                <w:rPr>
                  <w:rFonts w:ascii="Arial" w:cs="Arial" w:eastAsia="Arial" w:hAnsi="Arial"/>
                  <w:sz w:val="16"/>
                  <w:szCs w:val="16"/>
                  <w:color w:val="0000FF"/>
                  <w:w w:val="99"/>
                </w:rPr>
                <w:t>PART I. FINANCIAL INFORMATION</w:t>
              </w:r>
            </w:hyperlink>
          </w:p>
        </w:tc>
        <w:tc>
          <w:tcPr>
            <w:tcW w:w="7360" w:type="dxa"/>
            <w:vAlign w:val="bottom"/>
            <w:gridSpan w:val="8"/>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860" w:type="dxa"/>
            <w:vAlign w:val="bottom"/>
            <w:tcBorders>
              <w:bottom w:val="single" w:sz="8" w:color="0000FF"/>
            </w:tcBorders>
            <w:gridSpan w:val="8"/>
          </w:tcPr>
          <w:p>
            <w:pPr>
              <w:spacing w:after="0"/>
              <w:rPr>
                <w:rFonts w:ascii="Arial" w:cs="Arial" w:eastAsia="Arial" w:hAnsi="Arial"/>
                <w:sz w:val="16"/>
                <w:szCs w:val="16"/>
                <w:color w:val="0000FF"/>
                <w:w w:val="90"/>
              </w:rPr>
            </w:pPr>
            <w:hyperlink w:anchor="page4">
              <w:r>
                <w:rPr>
                  <w:rFonts w:ascii="Arial" w:cs="Arial" w:eastAsia="Arial" w:hAnsi="Arial"/>
                  <w:sz w:val="16"/>
                  <w:szCs w:val="16"/>
                  <w:color w:val="0000FF"/>
                  <w:w w:val="90"/>
                </w:rPr>
                <w:t>Item 1. Financial Statements</w:t>
              </w:r>
            </w:hyperlink>
          </w:p>
        </w:tc>
        <w:tc>
          <w:tcPr>
            <w:tcW w:w="8100" w:type="dxa"/>
            <w:vAlign w:val="bottom"/>
            <w:gridSpan w:val="11"/>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4</w:t>
              </w:r>
            </w:hyperlink>
          </w:p>
        </w:tc>
        <w:tc>
          <w:tcPr>
            <w:tcW w:w="20" w:type="dxa"/>
            <w:vAlign w:val="bottom"/>
          </w:tcPr>
          <w:p>
            <w:pPr>
              <w:spacing w:after="0"/>
              <w:rPr>
                <w:sz w:val="21"/>
                <w:szCs w:val="21"/>
                <w:color w:val="auto"/>
              </w:rPr>
            </w:pPr>
          </w:p>
        </w:tc>
      </w:tr>
      <w:tr>
        <w:trPr>
          <w:trHeight w:val="250"/>
        </w:trPr>
        <w:tc>
          <w:tcPr>
            <w:tcW w:w="9820" w:type="dxa"/>
            <w:vAlign w:val="bottom"/>
            <w:tcBorders>
              <w:bottom w:val="single" w:sz="8" w:color="0000FF"/>
            </w:tcBorders>
            <w:gridSpan w:val="18"/>
          </w:tcPr>
          <w:p>
            <w:pPr>
              <w:spacing w:after="0"/>
              <w:rPr>
                <w:rFonts w:ascii="Arial" w:cs="Arial" w:eastAsia="Arial" w:hAnsi="Arial"/>
                <w:sz w:val="16"/>
                <w:szCs w:val="16"/>
                <w:color w:val="0000FF"/>
                <w:w w:val="90"/>
              </w:rPr>
            </w:pPr>
            <w:hyperlink w:anchor="page4">
              <w:r>
                <w:rPr>
                  <w:rFonts w:ascii="Arial" w:cs="Arial" w:eastAsia="Arial" w:hAnsi="Arial"/>
                  <w:sz w:val="16"/>
                  <w:szCs w:val="16"/>
                  <w:color w:val="0000FF"/>
                  <w:w w:val="90"/>
                </w:rPr>
                <w:t>Condensed Consolidated Statements of Operations and Comprehensive Income/Loss for the three months ended March 31, 2021 and 2020 (Unaudited)</w:t>
              </w:r>
            </w:hyperlink>
          </w:p>
        </w:tc>
        <w:tc>
          <w:tcPr>
            <w:tcW w:w="14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4</w:t>
              </w:r>
            </w:hyperlink>
          </w:p>
        </w:tc>
        <w:tc>
          <w:tcPr>
            <w:tcW w:w="20" w:type="dxa"/>
            <w:vAlign w:val="bottom"/>
          </w:tcPr>
          <w:p>
            <w:pPr>
              <w:spacing w:after="0"/>
              <w:rPr>
                <w:sz w:val="21"/>
                <w:szCs w:val="21"/>
                <w:color w:val="auto"/>
              </w:rPr>
            </w:pPr>
          </w:p>
        </w:tc>
      </w:tr>
      <w:tr>
        <w:trPr>
          <w:trHeight w:val="250"/>
        </w:trPr>
        <w:tc>
          <w:tcPr>
            <w:tcW w:w="9960" w:type="dxa"/>
            <w:vAlign w:val="bottom"/>
            <w:gridSpan w:val="19"/>
          </w:tcPr>
          <w:p>
            <w:pPr>
              <w:spacing w:after="0"/>
              <w:rPr>
                <w:sz w:val="20"/>
                <w:szCs w:val="20"/>
                <w:color w:val="auto"/>
              </w:rPr>
            </w:pPr>
            <w:r>
              <w:rPr>
                <w:rFonts w:ascii="Arial" w:cs="Arial" w:eastAsia="Arial" w:hAnsi="Arial"/>
                <w:sz w:val="16"/>
                <w:szCs w:val="16"/>
                <w:color w:val="0000FF"/>
              </w:rPr>
              <w:t>Condensed Consolidated Balance Sheets as of March 31, 2021 and December 31, 2020 (Unaudited)</w:t>
            </w:r>
          </w:p>
        </w:tc>
        <w:tc>
          <w:tcPr>
            <w:tcW w:w="124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c>
          <w:tcPr>
            <w:tcW w:w="20" w:type="dxa"/>
            <w:vAlign w:val="bottom"/>
          </w:tcPr>
          <w:p>
            <w:pPr>
              <w:spacing w:after="0"/>
              <w:rPr>
                <w:sz w:val="21"/>
                <w:szCs w:val="2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60" w:type="dxa"/>
            <w:vAlign w:val="bottom"/>
            <w:tcBorders>
              <w:bottom w:val="single" w:sz="8" w:color="0000FF"/>
            </w:tcBorders>
            <w:gridSpan w:val="16"/>
          </w:tcPr>
          <w:p>
            <w:pPr>
              <w:spacing w:after="0"/>
              <w:rPr>
                <w:rFonts w:ascii="Arial" w:cs="Arial" w:eastAsia="Arial" w:hAnsi="Arial"/>
                <w:sz w:val="16"/>
                <w:szCs w:val="16"/>
                <w:color w:val="0000FF"/>
                <w:w w:val="90"/>
              </w:rPr>
            </w:pPr>
            <w:hyperlink w:anchor="page5">
              <w:r>
                <w:rPr>
                  <w:rFonts w:ascii="Arial" w:cs="Arial" w:eastAsia="Arial" w:hAnsi="Arial"/>
                  <w:sz w:val="16"/>
                  <w:szCs w:val="16"/>
                  <w:color w:val="0000FF"/>
                  <w:w w:val="90"/>
                </w:rPr>
                <w:t>Condensed Consolidated Statements of Cash Flows for the three months ended March 31, 2021 and 2020 (Unaudited)</w:t>
              </w:r>
            </w:hyperlink>
          </w:p>
        </w:tc>
        <w:tc>
          <w:tcPr>
            <w:tcW w:w="2300" w:type="dxa"/>
            <w:vAlign w:val="bottom"/>
            <w:gridSpan w:val="3"/>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20" w:type="dxa"/>
            <w:vAlign w:val="bottom"/>
          </w:tcPr>
          <w:p>
            <w:pPr>
              <w:spacing w:after="0"/>
              <w:rPr>
                <w:sz w:val="21"/>
                <w:szCs w:val="21"/>
                <w:color w:val="auto"/>
              </w:rPr>
            </w:pPr>
          </w:p>
        </w:tc>
      </w:tr>
      <w:tr>
        <w:trPr>
          <w:trHeight w:val="250"/>
        </w:trPr>
        <w:tc>
          <w:tcPr>
            <w:tcW w:w="9020" w:type="dxa"/>
            <w:vAlign w:val="bottom"/>
            <w:tcBorders>
              <w:bottom w:val="single" w:sz="8" w:color="0000FF"/>
            </w:tcBorders>
            <w:gridSpan w:val="17"/>
          </w:tcPr>
          <w:p>
            <w:pPr>
              <w:spacing w:after="0"/>
              <w:rPr>
                <w:rFonts w:ascii="Arial" w:cs="Arial" w:eastAsia="Arial" w:hAnsi="Arial"/>
                <w:sz w:val="16"/>
                <w:szCs w:val="16"/>
                <w:color w:val="0000FF"/>
                <w:w w:val="90"/>
              </w:rPr>
            </w:pPr>
            <w:hyperlink w:anchor="page6">
              <w:r>
                <w:rPr>
                  <w:rFonts w:ascii="Arial" w:cs="Arial" w:eastAsia="Arial" w:hAnsi="Arial"/>
                  <w:sz w:val="16"/>
                  <w:szCs w:val="16"/>
                  <w:color w:val="0000FF"/>
                  <w:w w:val="90"/>
                </w:rPr>
                <w:t>Condensed Consolidated Statements of Changes in Shareholder's Equity for the three months ended March 31, 2021 and 2020 (Unaudited)</w:t>
              </w:r>
            </w:hyperlink>
          </w:p>
        </w:tc>
        <w:tc>
          <w:tcPr>
            <w:tcW w:w="940" w:type="dxa"/>
            <w:vAlign w:val="bottom"/>
            <w:gridSpan w:val="2"/>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20" w:type="dxa"/>
            <w:vAlign w:val="bottom"/>
          </w:tcPr>
          <w:p>
            <w:pPr>
              <w:spacing w:after="0"/>
              <w:rPr>
                <w:sz w:val="21"/>
                <w:szCs w:val="21"/>
                <w:color w:val="auto"/>
              </w:rPr>
            </w:pPr>
          </w:p>
        </w:tc>
      </w:tr>
      <w:tr>
        <w:trPr>
          <w:trHeight w:val="250"/>
        </w:trPr>
        <w:tc>
          <w:tcPr>
            <w:tcW w:w="4320" w:type="dxa"/>
            <w:vAlign w:val="bottom"/>
            <w:tcBorders>
              <w:bottom w:val="single" w:sz="8" w:color="0000FF"/>
            </w:tcBorders>
            <w:gridSpan w:val="12"/>
          </w:tcPr>
          <w:p>
            <w:pPr>
              <w:spacing w:after="0"/>
              <w:rPr>
                <w:rFonts w:ascii="Arial" w:cs="Arial" w:eastAsia="Arial" w:hAnsi="Arial"/>
                <w:sz w:val="16"/>
                <w:szCs w:val="16"/>
                <w:color w:val="0000FF"/>
                <w:w w:val="90"/>
              </w:rPr>
            </w:pPr>
            <w:hyperlink w:anchor="page7">
              <w:r>
                <w:rPr>
                  <w:rFonts w:ascii="Arial" w:cs="Arial" w:eastAsia="Arial" w:hAnsi="Arial"/>
                  <w:sz w:val="16"/>
                  <w:szCs w:val="16"/>
                  <w:color w:val="0000FF"/>
                  <w:w w:val="90"/>
                </w:rPr>
                <w:t>Notes to Unaudited Condensed Consolidated Financial Statements</w:t>
              </w:r>
            </w:hyperlink>
          </w:p>
        </w:tc>
        <w:tc>
          <w:tcPr>
            <w:tcW w:w="5640" w:type="dxa"/>
            <w:vAlign w:val="bottom"/>
            <w:gridSpan w:val="7"/>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8</w:t>
              </w:r>
            </w:hyperlink>
          </w:p>
        </w:tc>
        <w:tc>
          <w:tcPr>
            <w:tcW w:w="20" w:type="dxa"/>
            <w:vAlign w:val="bottom"/>
          </w:tcPr>
          <w:p>
            <w:pPr>
              <w:spacing w:after="0"/>
              <w:rPr>
                <w:sz w:val="21"/>
                <w:szCs w:val="21"/>
                <w:color w:val="auto"/>
              </w:rPr>
            </w:pPr>
          </w:p>
        </w:tc>
      </w:tr>
      <w:tr>
        <w:trPr>
          <w:trHeight w:val="250"/>
        </w:trPr>
        <w:tc>
          <w:tcPr>
            <w:tcW w:w="6320" w:type="dxa"/>
            <w:vAlign w:val="bottom"/>
            <w:tcBorders>
              <w:bottom w:val="single" w:sz="8" w:color="0000FF"/>
            </w:tcBorders>
            <w:gridSpan w:val="14"/>
          </w:tcPr>
          <w:p>
            <w:pPr>
              <w:spacing w:after="0"/>
              <w:rPr>
                <w:rFonts w:ascii="Arial" w:cs="Arial" w:eastAsia="Arial" w:hAnsi="Arial"/>
                <w:sz w:val="16"/>
                <w:szCs w:val="16"/>
                <w:color w:val="0000FF"/>
                <w:w w:val="92"/>
              </w:rPr>
            </w:pPr>
            <w:hyperlink w:anchor="page31">
              <w:r>
                <w:rPr>
                  <w:rFonts w:ascii="Arial" w:cs="Arial" w:eastAsia="Arial" w:hAnsi="Arial"/>
                  <w:sz w:val="16"/>
                  <w:szCs w:val="16"/>
                  <w:color w:val="0000FF"/>
                  <w:w w:val="92"/>
                </w:rPr>
                <w:t>Item 2. Management’s Discussion and Analysis of Financial Condition and Results of Operations</w:t>
              </w:r>
            </w:hyperlink>
          </w:p>
        </w:tc>
        <w:tc>
          <w:tcPr>
            <w:tcW w:w="3640" w:type="dxa"/>
            <w:vAlign w:val="bottom"/>
            <w:gridSpan w:val="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31">
              <w:r>
                <w:rPr>
                  <w:rFonts w:ascii="Arial" w:cs="Arial" w:eastAsia="Arial" w:hAnsi="Arial"/>
                  <w:sz w:val="16"/>
                  <w:szCs w:val="16"/>
                  <w:color w:val="0000FF"/>
                  <w:w w:val="78"/>
                </w:rPr>
                <w:t>32</w:t>
              </w:r>
            </w:hyperlink>
          </w:p>
        </w:tc>
        <w:tc>
          <w:tcPr>
            <w:tcW w:w="20" w:type="dxa"/>
            <w:vAlign w:val="bottom"/>
          </w:tcPr>
          <w:p>
            <w:pPr>
              <w:spacing w:after="0"/>
              <w:rPr>
                <w:sz w:val="21"/>
                <w:szCs w:val="21"/>
                <w:color w:val="auto"/>
              </w:rPr>
            </w:pPr>
          </w:p>
        </w:tc>
      </w:tr>
      <w:tr>
        <w:trPr>
          <w:trHeight w:val="250"/>
        </w:trPr>
        <w:tc>
          <w:tcPr>
            <w:tcW w:w="9960" w:type="dxa"/>
            <w:vAlign w:val="bottom"/>
            <w:gridSpan w:val="19"/>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Item 3. Quantitative and Qualitative Disclosures About Market Risk</w:t>
              </w:r>
            </w:hyperlink>
          </w:p>
        </w:tc>
        <w:tc>
          <w:tcPr>
            <w:tcW w:w="1240" w:type="dxa"/>
            <w:vAlign w:val="bottom"/>
            <w:gridSpan w:val="3"/>
          </w:tcPr>
          <w:p>
            <w:pPr>
              <w:jc w:val="right"/>
              <w:spacing w:after="0"/>
              <w:rPr>
                <w:rFonts w:ascii="Arial" w:cs="Arial" w:eastAsia="Arial" w:hAnsi="Arial"/>
                <w:sz w:val="16"/>
                <w:szCs w:val="16"/>
                <w:color w:val="0000FF"/>
              </w:rPr>
            </w:pPr>
            <w:hyperlink w:anchor="page43">
              <w:r>
                <w:rPr>
                  <w:rFonts w:ascii="Arial" w:cs="Arial" w:eastAsia="Arial" w:hAnsi="Arial"/>
                  <w:sz w:val="16"/>
                  <w:szCs w:val="16"/>
                  <w:color w:val="0000FF"/>
                </w:rPr>
                <w:t>43</w:t>
              </w:r>
            </w:hyperlink>
          </w:p>
        </w:tc>
        <w:tc>
          <w:tcPr>
            <w:tcW w:w="20" w:type="dxa"/>
            <w:vAlign w:val="bottom"/>
          </w:tcPr>
          <w:p>
            <w:pPr>
              <w:spacing w:after="0"/>
              <w:rPr>
                <w:sz w:val="21"/>
                <w:szCs w:val="21"/>
                <w:color w:val="auto"/>
              </w:rPr>
            </w:pPr>
          </w:p>
        </w:tc>
      </w:tr>
      <w:tr>
        <w:trPr>
          <w:trHeight w:val="250"/>
        </w:trPr>
        <w:tc>
          <w:tcPr>
            <w:tcW w:w="2100" w:type="dxa"/>
            <w:vAlign w:val="bottom"/>
            <w:tcBorders>
              <w:top w:val="single" w:sz="8" w:color="0000FF"/>
              <w:bottom w:val="single" w:sz="8" w:color="0000FF"/>
            </w:tcBorders>
            <w:gridSpan w:val="9"/>
          </w:tcPr>
          <w:p>
            <w:pPr>
              <w:spacing w:after="0"/>
              <w:rPr>
                <w:rFonts w:ascii="Arial" w:cs="Arial" w:eastAsia="Arial" w:hAnsi="Arial"/>
                <w:sz w:val="16"/>
                <w:szCs w:val="16"/>
                <w:color w:val="0000FF"/>
                <w:w w:val="90"/>
              </w:rPr>
            </w:pPr>
            <w:hyperlink w:anchor="page44">
              <w:r>
                <w:rPr>
                  <w:rFonts w:ascii="Arial" w:cs="Arial" w:eastAsia="Arial" w:hAnsi="Arial"/>
                  <w:sz w:val="16"/>
                  <w:szCs w:val="16"/>
                  <w:color w:val="0000FF"/>
                  <w:w w:val="90"/>
                </w:rPr>
                <w:t>Item 4. Controls and Procedures</w:t>
              </w:r>
            </w:hyperlink>
          </w:p>
        </w:tc>
        <w:tc>
          <w:tcPr>
            <w:tcW w:w="2320" w:type="dxa"/>
            <w:vAlign w:val="bottom"/>
            <w:tcBorders>
              <w:top w:val="single" w:sz="8" w:color="0000FF"/>
            </w:tcBorders>
            <w:gridSpan w:val="4"/>
          </w:tcPr>
          <w:p>
            <w:pPr>
              <w:spacing w:after="0"/>
              <w:rPr>
                <w:sz w:val="21"/>
                <w:szCs w:val="21"/>
                <w:color w:val="auto"/>
              </w:rPr>
            </w:pPr>
          </w:p>
        </w:tc>
        <w:tc>
          <w:tcPr>
            <w:tcW w:w="55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44">
              <w:r>
                <w:rPr>
                  <w:rFonts w:ascii="Arial" w:cs="Arial" w:eastAsia="Arial" w:hAnsi="Arial"/>
                  <w:sz w:val="16"/>
                  <w:szCs w:val="16"/>
                  <w:color w:val="0000FF"/>
                  <w:w w:val="78"/>
                </w:rPr>
                <w:t>44</w:t>
              </w:r>
            </w:hyperlink>
          </w:p>
        </w:tc>
        <w:tc>
          <w:tcPr>
            <w:tcW w:w="20" w:type="dxa"/>
            <w:vAlign w:val="bottom"/>
          </w:tcPr>
          <w:p>
            <w:pPr>
              <w:spacing w:after="0"/>
              <w:rPr>
                <w:sz w:val="21"/>
                <w:szCs w:val="21"/>
                <w:color w:val="auto"/>
              </w:rPr>
            </w:pPr>
          </w:p>
        </w:tc>
      </w:tr>
      <w:tr>
        <w:trPr>
          <w:trHeight w:val="250"/>
        </w:trPr>
        <w:tc>
          <w:tcPr>
            <w:tcW w:w="9960" w:type="dxa"/>
            <w:vAlign w:val="bottom"/>
            <w:gridSpan w:val="19"/>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PART II. OTHER INFORMATION</w:t>
              </w:r>
            </w:hyperlink>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320" w:type="dxa"/>
            <w:vAlign w:val="bottom"/>
            <w:tcBorders>
              <w:top w:val="single" w:sz="8" w:color="0000FF"/>
            </w:tcBorders>
            <w:gridSpan w:val="10"/>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Item 1. Legal Proceedings</w:t>
              </w:r>
            </w:hyperlink>
          </w:p>
        </w:tc>
        <w:tc>
          <w:tcPr>
            <w:tcW w:w="7640" w:type="dxa"/>
            <w:vAlign w:val="bottom"/>
            <w:gridSpan w:val="9"/>
          </w:tcPr>
          <w:p>
            <w:pPr>
              <w:spacing w:after="0"/>
              <w:rPr>
                <w:sz w:val="21"/>
                <w:szCs w:val="21"/>
                <w:color w:val="auto"/>
              </w:rPr>
            </w:pPr>
          </w:p>
        </w:tc>
        <w:tc>
          <w:tcPr>
            <w:tcW w:w="1240" w:type="dxa"/>
            <w:vAlign w:val="bottom"/>
            <w:gridSpan w:val="3"/>
          </w:tcPr>
          <w:p>
            <w:pPr>
              <w:jc w:val="right"/>
              <w:spacing w:after="0"/>
              <w:rPr>
                <w:rFonts w:ascii="Arial" w:cs="Arial" w:eastAsia="Arial" w:hAnsi="Arial"/>
                <w:sz w:val="16"/>
                <w:szCs w:val="16"/>
                <w:color w:val="0000FF"/>
              </w:rPr>
            </w:pPr>
            <w:hyperlink w:anchor="page44">
              <w:r>
                <w:rPr>
                  <w:rFonts w:ascii="Arial" w:cs="Arial" w:eastAsia="Arial" w:hAnsi="Arial"/>
                  <w:sz w:val="16"/>
                  <w:szCs w:val="16"/>
                  <w:color w:val="0000FF"/>
                </w:rPr>
                <w:t>44</w:t>
              </w:r>
            </w:hyperlink>
          </w:p>
        </w:tc>
        <w:tc>
          <w:tcPr>
            <w:tcW w:w="20" w:type="dxa"/>
            <w:vAlign w:val="bottom"/>
          </w:tcPr>
          <w:p>
            <w:pPr>
              <w:spacing w:after="0"/>
              <w:rPr>
                <w:sz w:val="21"/>
                <w:szCs w:val="21"/>
                <w:color w:val="auto"/>
              </w:rPr>
            </w:pPr>
          </w:p>
        </w:tc>
      </w:tr>
      <w:tr>
        <w:trPr>
          <w:trHeight w:val="250"/>
        </w:trPr>
        <w:tc>
          <w:tcPr>
            <w:tcW w:w="1440" w:type="dxa"/>
            <w:vAlign w:val="bottom"/>
            <w:tcBorders>
              <w:top w:val="single" w:sz="8" w:color="0000FF"/>
              <w:bottom w:val="single" w:sz="8" w:color="0000FF"/>
            </w:tcBorders>
            <w:gridSpan w:val="5"/>
          </w:tcPr>
          <w:p>
            <w:pPr>
              <w:spacing w:after="0"/>
              <w:rPr>
                <w:rFonts w:ascii="Arial" w:cs="Arial" w:eastAsia="Arial" w:hAnsi="Arial"/>
                <w:sz w:val="16"/>
                <w:szCs w:val="16"/>
                <w:color w:val="0000FF"/>
                <w:w w:val="92"/>
              </w:rPr>
            </w:pPr>
            <w:hyperlink w:anchor="page44">
              <w:r>
                <w:rPr>
                  <w:rFonts w:ascii="Arial" w:cs="Arial" w:eastAsia="Arial" w:hAnsi="Arial"/>
                  <w:sz w:val="16"/>
                  <w:szCs w:val="16"/>
                  <w:color w:val="0000FF"/>
                  <w:w w:val="92"/>
                </w:rPr>
                <w:t>Item 1A. Risk Factors</w:t>
              </w:r>
            </w:hyperlink>
          </w:p>
        </w:tc>
        <w:tc>
          <w:tcPr>
            <w:tcW w:w="260" w:type="dxa"/>
            <w:vAlign w:val="bottom"/>
            <w:tcBorders>
              <w:top w:val="single" w:sz="8" w:color="0000FF"/>
            </w:tcBorders>
            <w:gridSpan w:val="2"/>
          </w:tcPr>
          <w:p>
            <w:pPr>
              <w:spacing w:after="0"/>
              <w:rPr>
                <w:sz w:val="21"/>
                <w:szCs w:val="21"/>
                <w:color w:val="auto"/>
              </w:rPr>
            </w:pPr>
          </w:p>
        </w:tc>
        <w:tc>
          <w:tcPr>
            <w:tcW w:w="8260" w:type="dxa"/>
            <w:vAlign w:val="bottom"/>
            <w:gridSpan w:val="12"/>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44">
              <w:r>
                <w:rPr>
                  <w:rFonts w:ascii="Arial" w:cs="Arial" w:eastAsia="Arial" w:hAnsi="Arial"/>
                  <w:sz w:val="16"/>
                  <w:szCs w:val="16"/>
                  <w:color w:val="0000FF"/>
                  <w:w w:val="78"/>
                </w:rPr>
                <w:t>44</w:t>
              </w:r>
            </w:hyperlink>
          </w:p>
        </w:tc>
        <w:tc>
          <w:tcPr>
            <w:tcW w:w="20" w:type="dxa"/>
            <w:vAlign w:val="bottom"/>
          </w:tcPr>
          <w:p>
            <w:pPr>
              <w:spacing w:after="0"/>
              <w:rPr>
                <w:sz w:val="21"/>
                <w:szCs w:val="21"/>
                <w:color w:val="auto"/>
              </w:rPr>
            </w:pPr>
          </w:p>
        </w:tc>
      </w:tr>
      <w:tr>
        <w:trPr>
          <w:trHeight w:val="250"/>
        </w:trPr>
        <w:tc>
          <w:tcPr>
            <w:tcW w:w="4420" w:type="dxa"/>
            <w:vAlign w:val="bottom"/>
            <w:tcBorders>
              <w:bottom w:val="single" w:sz="8" w:color="0000FF"/>
            </w:tcBorders>
            <w:gridSpan w:val="13"/>
          </w:tcPr>
          <w:p>
            <w:pPr>
              <w:spacing w:after="0"/>
              <w:rPr>
                <w:rFonts w:ascii="Arial" w:cs="Arial" w:eastAsia="Arial" w:hAnsi="Arial"/>
                <w:sz w:val="16"/>
                <w:szCs w:val="16"/>
                <w:color w:val="0000FF"/>
                <w:w w:val="90"/>
              </w:rPr>
            </w:pPr>
            <w:hyperlink w:anchor="page44">
              <w:r>
                <w:rPr>
                  <w:rFonts w:ascii="Arial" w:cs="Arial" w:eastAsia="Arial" w:hAnsi="Arial"/>
                  <w:sz w:val="16"/>
                  <w:szCs w:val="16"/>
                  <w:color w:val="0000FF"/>
                  <w:w w:val="90"/>
                </w:rPr>
                <w:t>Item 2. Unregistered Sales of Equity Securities and Use of Proceeds</w:t>
              </w:r>
            </w:hyperlink>
          </w:p>
        </w:tc>
        <w:tc>
          <w:tcPr>
            <w:tcW w:w="55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4">
              <w:r>
                <w:rPr>
                  <w:rFonts w:ascii="Arial" w:cs="Arial" w:eastAsia="Arial" w:hAnsi="Arial"/>
                  <w:sz w:val="16"/>
                  <w:szCs w:val="16"/>
                  <w:color w:val="0000FF"/>
                  <w:w w:val="78"/>
                </w:rPr>
                <w:t>44</w:t>
              </w:r>
            </w:hyperlink>
          </w:p>
        </w:tc>
        <w:tc>
          <w:tcPr>
            <w:tcW w:w="20" w:type="dxa"/>
            <w:vAlign w:val="bottom"/>
          </w:tcPr>
          <w:p>
            <w:pPr>
              <w:spacing w:after="0"/>
              <w:rPr>
                <w:sz w:val="21"/>
                <w:szCs w:val="21"/>
                <w:color w:val="auto"/>
              </w:rPr>
            </w:pPr>
          </w:p>
        </w:tc>
      </w:tr>
      <w:tr>
        <w:trPr>
          <w:trHeight w:val="250"/>
        </w:trPr>
        <w:tc>
          <w:tcPr>
            <w:tcW w:w="2100" w:type="dxa"/>
            <w:vAlign w:val="bottom"/>
            <w:tcBorders>
              <w:bottom w:val="single" w:sz="8" w:color="0000FF"/>
            </w:tcBorders>
            <w:gridSpan w:val="9"/>
          </w:tcPr>
          <w:p>
            <w:pPr>
              <w:spacing w:after="0"/>
              <w:rPr>
                <w:rFonts w:ascii="Arial" w:cs="Arial" w:eastAsia="Arial" w:hAnsi="Arial"/>
                <w:sz w:val="16"/>
                <w:szCs w:val="16"/>
                <w:color w:val="0000FF"/>
                <w:w w:val="92"/>
              </w:rPr>
            </w:pPr>
            <w:hyperlink w:anchor="page45">
              <w:r>
                <w:rPr>
                  <w:rFonts w:ascii="Arial" w:cs="Arial" w:eastAsia="Arial" w:hAnsi="Arial"/>
                  <w:sz w:val="16"/>
                  <w:szCs w:val="16"/>
                  <w:color w:val="0000FF"/>
                  <w:w w:val="92"/>
                </w:rPr>
                <w:t>Item 4. Mine Safety Disclosures</w:t>
              </w:r>
            </w:hyperlink>
          </w:p>
        </w:tc>
        <w:tc>
          <w:tcPr>
            <w:tcW w:w="7860" w:type="dxa"/>
            <w:vAlign w:val="bottom"/>
            <w:gridSpan w:val="10"/>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5">
              <w:r>
                <w:rPr>
                  <w:rFonts w:ascii="Arial" w:cs="Arial" w:eastAsia="Arial" w:hAnsi="Arial"/>
                  <w:sz w:val="16"/>
                  <w:szCs w:val="16"/>
                  <w:color w:val="0000FF"/>
                  <w:w w:val="78"/>
                </w:rPr>
                <w:t>45</w:t>
              </w:r>
            </w:hyperlink>
          </w:p>
        </w:tc>
        <w:tc>
          <w:tcPr>
            <w:tcW w:w="20" w:type="dxa"/>
            <w:vAlign w:val="bottom"/>
          </w:tcPr>
          <w:p>
            <w:pPr>
              <w:spacing w:after="0"/>
              <w:rPr>
                <w:sz w:val="21"/>
                <w:szCs w:val="21"/>
                <w:color w:val="auto"/>
              </w:rPr>
            </w:pPr>
          </w:p>
        </w:tc>
      </w:tr>
      <w:tr>
        <w:trPr>
          <w:trHeight w:val="250"/>
        </w:trPr>
        <w:tc>
          <w:tcPr>
            <w:tcW w:w="9960" w:type="dxa"/>
            <w:vAlign w:val="bottom"/>
            <w:gridSpan w:val="19"/>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Item 5. Other Information</w:t>
              </w:r>
            </w:hyperlink>
          </w:p>
        </w:tc>
        <w:tc>
          <w:tcPr>
            <w:tcW w:w="1240" w:type="dxa"/>
            <w:vAlign w:val="bottom"/>
            <w:gridSpan w:val="3"/>
          </w:tcPr>
          <w:p>
            <w:pPr>
              <w:jc w:val="right"/>
              <w:spacing w:after="0"/>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20" w:type="dxa"/>
            <w:vAlign w:val="bottom"/>
          </w:tcPr>
          <w:p>
            <w:pPr>
              <w:spacing w:after="0"/>
              <w:rPr>
                <w:sz w:val="21"/>
                <w:szCs w:val="21"/>
                <w:color w:val="auto"/>
              </w:rPr>
            </w:pPr>
          </w:p>
        </w:tc>
      </w:tr>
      <w:tr>
        <w:trPr>
          <w:trHeight w:val="304"/>
        </w:trPr>
        <w:tc>
          <w:tcPr>
            <w:tcW w:w="1680" w:type="dxa"/>
            <w:vAlign w:val="bottom"/>
            <w:tcBorders>
              <w:top w:val="single" w:sz="8" w:color="0000FF"/>
            </w:tcBorders>
            <w:gridSpan w:val="6"/>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Item 6. Exhibits</w:t>
              </w:r>
            </w:hyperlink>
          </w:p>
        </w:tc>
        <w:tc>
          <w:tcPr>
            <w:tcW w:w="8280" w:type="dxa"/>
            <w:vAlign w:val="bottom"/>
            <w:gridSpan w:val="13"/>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45">
              <w:r>
                <w:rPr>
                  <w:rFonts w:ascii="Arial" w:cs="Arial" w:eastAsia="Arial" w:hAnsi="Arial"/>
                  <w:sz w:val="16"/>
                  <w:szCs w:val="16"/>
                  <w:color w:val="0000FF"/>
                  <w:w w:val="78"/>
                </w:rPr>
                <w:t>45</w:t>
              </w:r>
            </w:hyperlink>
          </w:p>
        </w:tc>
        <w:tc>
          <w:tcPr>
            <w:tcW w:w="20" w:type="dxa"/>
            <w:vAlign w:val="bottom"/>
          </w:tcPr>
          <w:p>
            <w:pPr>
              <w:spacing w:after="0"/>
              <w:rPr>
                <w:sz w:val="24"/>
                <w:szCs w:val="24"/>
                <w:color w:val="auto"/>
              </w:rPr>
            </w:pPr>
          </w:p>
        </w:tc>
      </w:tr>
      <w:tr>
        <w:trPr>
          <w:trHeight w:val="250"/>
        </w:trPr>
        <w:tc>
          <w:tcPr>
            <w:tcW w:w="100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94"/>
              </w:rPr>
            </w:pPr>
            <w:hyperlink w:anchor="page45">
              <w:r>
                <w:rPr>
                  <w:rFonts w:ascii="Arial" w:cs="Arial" w:eastAsia="Arial" w:hAnsi="Arial"/>
                  <w:sz w:val="16"/>
                  <w:szCs w:val="16"/>
                  <w:color w:val="0000FF"/>
                  <w:w w:val="94"/>
                </w:rPr>
                <w:t>SIGNATURES</w:t>
              </w:r>
            </w:hyperlink>
          </w:p>
        </w:tc>
        <w:tc>
          <w:tcPr>
            <w:tcW w:w="40" w:type="dxa"/>
            <w:vAlign w:val="bottom"/>
            <w:tcBorders>
              <w:top w:val="single" w:sz="8" w:color="0000FF"/>
            </w:tcBorders>
          </w:tcPr>
          <w:p>
            <w:pPr>
              <w:spacing w:after="0"/>
              <w:rPr>
                <w:sz w:val="21"/>
                <w:szCs w:val="21"/>
                <w:color w:val="auto"/>
              </w:rPr>
            </w:pPr>
          </w:p>
        </w:tc>
        <w:tc>
          <w:tcPr>
            <w:tcW w:w="8920" w:type="dxa"/>
            <w:vAlign w:val="bottom"/>
            <w:gridSpan w:val="1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45">
              <w:r>
                <w:rPr>
                  <w:rFonts w:ascii="Arial" w:cs="Arial" w:eastAsia="Arial" w:hAnsi="Arial"/>
                  <w:sz w:val="16"/>
                  <w:szCs w:val="16"/>
                  <w:color w:val="0000FF"/>
                  <w:w w:val="78"/>
                </w:rPr>
                <w:t>46</w:t>
              </w:r>
            </w:hyperlink>
          </w:p>
        </w:tc>
        <w:tc>
          <w:tcPr>
            <w:tcW w:w="20" w:type="dxa"/>
            <w:vAlign w:val="bottom"/>
          </w:tcPr>
          <w:p>
            <w:pPr>
              <w:spacing w:after="0"/>
              <w:rPr>
                <w:sz w:val="21"/>
                <w:szCs w:val="21"/>
                <w:color w:val="auto"/>
              </w:rPr>
            </w:pPr>
          </w:p>
        </w:tc>
      </w:tr>
      <w:tr>
        <w:trPr>
          <w:trHeight w:val="290"/>
        </w:trPr>
        <w:tc>
          <w:tcPr>
            <w:tcW w:w="320" w:type="dxa"/>
            <w:vAlign w:val="bottom"/>
          </w:tcPr>
          <w:p>
            <w:pPr>
              <w:spacing w:after="0"/>
              <w:rPr>
                <w:sz w:val="24"/>
                <w:szCs w:val="24"/>
                <w:color w:val="auto"/>
              </w:rPr>
            </w:pPr>
          </w:p>
        </w:tc>
        <w:tc>
          <w:tcPr>
            <w:tcW w:w="820" w:type="dxa"/>
            <w:vAlign w:val="bottom"/>
            <w:tcBorders>
              <w:bottom w:val="single" w:sz="8" w:color="0000FF"/>
            </w:tcBorders>
            <w:gridSpan w:val="3"/>
          </w:tcPr>
          <w:p>
            <w:pPr>
              <w:ind w:left="20"/>
              <w:spacing w:after="0"/>
              <w:rPr>
                <w:rFonts w:ascii="Arial" w:cs="Arial" w:eastAsia="Arial" w:hAnsi="Arial"/>
                <w:sz w:val="16"/>
                <w:szCs w:val="16"/>
                <w:color w:val="0000FF"/>
                <w:w w:val="93"/>
              </w:rPr>
            </w:pPr>
            <w:hyperlink w:anchor="page48">
              <w:r>
                <w:rPr>
                  <w:rFonts w:ascii="Arial" w:cs="Arial" w:eastAsia="Arial" w:hAnsi="Arial"/>
                  <w:sz w:val="16"/>
                  <w:szCs w:val="16"/>
                  <w:color w:val="0000FF"/>
                  <w:w w:val="93"/>
                </w:rPr>
                <w:t>Exhibit 31.1</w:t>
              </w:r>
            </w:hyperlink>
          </w:p>
        </w:tc>
        <w:tc>
          <w:tcPr>
            <w:tcW w:w="8820" w:type="dxa"/>
            <w:vAlign w:val="bottom"/>
            <w:gridSpan w:val="15"/>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820" w:type="dxa"/>
            <w:vAlign w:val="bottom"/>
            <w:tcBorders>
              <w:bottom w:val="single" w:sz="8" w:color="0000FF"/>
            </w:tcBorders>
            <w:gridSpan w:val="3"/>
          </w:tcPr>
          <w:p>
            <w:pPr>
              <w:ind w:left="20"/>
              <w:spacing w:after="0"/>
              <w:rPr>
                <w:rFonts w:ascii="Arial" w:cs="Arial" w:eastAsia="Arial" w:hAnsi="Arial"/>
                <w:sz w:val="16"/>
                <w:szCs w:val="16"/>
                <w:color w:val="0000FF"/>
                <w:w w:val="93"/>
              </w:rPr>
            </w:pPr>
            <w:hyperlink w:anchor="page49">
              <w:r>
                <w:rPr>
                  <w:rFonts w:ascii="Arial" w:cs="Arial" w:eastAsia="Arial" w:hAnsi="Arial"/>
                  <w:sz w:val="16"/>
                  <w:szCs w:val="16"/>
                  <w:color w:val="0000FF"/>
                  <w:w w:val="93"/>
                </w:rPr>
                <w:t>Exhibit 31.2</w:t>
              </w:r>
            </w:hyperlink>
          </w:p>
        </w:tc>
        <w:tc>
          <w:tcPr>
            <w:tcW w:w="8820" w:type="dxa"/>
            <w:vAlign w:val="bottom"/>
            <w:gridSpan w:val="15"/>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820" w:type="dxa"/>
            <w:vAlign w:val="bottom"/>
            <w:tcBorders>
              <w:bottom w:val="single" w:sz="8" w:color="0000FF"/>
            </w:tcBorders>
            <w:gridSpan w:val="3"/>
          </w:tcPr>
          <w:p>
            <w:pPr>
              <w:ind w:left="20"/>
              <w:spacing w:after="0"/>
              <w:rPr>
                <w:rFonts w:ascii="Arial" w:cs="Arial" w:eastAsia="Arial" w:hAnsi="Arial"/>
                <w:sz w:val="16"/>
                <w:szCs w:val="16"/>
                <w:color w:val="0000FF"/>
                <w:w w:val="93"/>
              </w:rPr>
            </w:pPr>
            <w:hyperlink w:anchor="page50">
              <w:r>
                <w:rPr>
                  <w:rFonts w:ascii="Arial" w:cs="Arial" w:eastAsia="Arial" w:hAnsi="Arial"/>
                  <w:sz w:val="16"/>
                  <w:szCs w:val="16"/>
                  <w:color w:val="0000FF"/>
                  <w:w w:val="93"/>
                </w:rPr>
                <w:t>Exhibit 32.1</w:t>
              </w:r>
            </w:hyperlink>
          </w:p>
        </w:tc>
        <w:tc>
          <w:tcPr>
            <w:tcW w:w="8820" w:type="dxa"/>
            <w:vAlign w:val="bottom"/>
            <w:gridSpan w:val="15"/>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31" w:lineRule="exact"/>
        <w:rPr>
          <w:sz w:val="20"/>
          <w:szCs w:val="20"/>
          <w:color w:val="auto"/>
        </w:rPr>
      </w:pPr>
    </w:p>
    <w:p>
      <w:pPr>
        <w:ind w:left="360"/>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Exhibit 32.2</w:t>
        </w:r>
      </w:hyperlink>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INSTANCE DOCUMENT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SCHEMA DOCUMENT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CALCULATION LINKBASE DOCUMENT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DEFINITION LINKBASE DOCUMENT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LABELS LINKBASE DOCUMENT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360,071</w:t>
            </w:r>
          </w:p>
        </w:tc>
        <w:tc>
          <w:tcPr>
            <w:tcW w:w="1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354,324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145,823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133,476</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22,374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20,816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156,633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165,952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Intangible asset amortization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costs and expenses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329,357</w:t>
            </w:r>
          </w:p>
        </w:tc>
        <w:tc>
          <w:tcPr>
            <w:tcW w:w="1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327,221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30,714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27,103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(12,929)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(17,752)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the sale of business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42,876</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21,884</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45,394</w:t>
            </w:r>
          </w:p>
        </w:tc>
        <w:tc>
          <w:tcPr>
            <w:tcW w:w="1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0.54</w:t>
            </w:r>
          </w:p>
        </w:tc>
        <w:tc>
          <w:tcPr>
            <w:tcW w:w="1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 (See Note 13):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84,500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85,188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85,258</w:t>
            </w:r>
          </w:p>
        </w:tc>
        <w:tc>
          <w:tcPr>
            <w:tcW w:w="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85,892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 (See Note 14)</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75,826</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(19,007)</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75"/>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408,976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470,166</w:t>
            </w:r>
          </w:p>
        </w:tc>
        <w:tc>
          <w:tcPr>
            <w:tcW w:w="0" w:type="dxa"/>
            <w:vAlign w:val="bottom"/>
          </w:tcPr>
          <w:p>
            <w:pPr>
              <w:spacing w:after="0"/>
              <w:rPr>
                <w:sz w:val="1"/>
                <w:szCs w:val="1"/>
                <w:color w:val="auto"/>
              </w:rPr>
            </w:pPr>
          </w:p>
        </w:tc>
      </w:tr>
      <w:tr>
        <w:trPr>
          <w:trHeight w:val="186"/>
        </w:trPr>
        <w:tc>
          <w:tcPr>
            <w:tcW w:w="7840" w:type="dxa"/>
            <w:vAlign w:val="bottom"/>
          </w:tcPr>
          <w:p>
            <w:pPr>
              <w:ind w:left="300"/>
              <w:spacing w:after="0"/>
              <w:rPr>
                <w:sz w:val="20"/>
                <w:szCs w:val="20"/>
                <w:color w:val="auto"/>
              </w:rPr>
            </w:pPr>
            <w:r>
              <w:rPr>
                <w:rFonts w:ascii="Arial" w:cs="Arial" w:eastAsia="Arial" w:hAnsi="Arial"/>
                <w:sz w:val="14"/>
                <w:szCs w:val="14"/>
                <w:color w:val="auto"/>
              </w:rPr>
              <w:t>Trade accounts receivable, net of allowances of $6,886 and $6,439</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223,542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225,532</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Inventories, net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328,049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310,117</w:t>
            </w:r>
          </w:p>
        </w:tc>
        <w:tc>
          <w:tcPr>
            <w:tcW w:w="0" w:type="dxa"/>
            <w:vAlign w:val="bottom"/>
          </w:tcPr>
          <w:p>
            <w:pPr>
              <w:spacing w:after="0"/>
              <w:rPr>
                <w:sz w:val="1"/>
                <w:szCs w:val="1"/>
                <w:color w:val="auto"/>
              </w:rPr>
            </w:pPr>
          </w:p>
        </w:tc>
      </w:tr>
      <w:tr>
        <w:trPr>
          <w:trHeight w:val="186"/>
        </w:trPr>
        <w:tc>
          <w:tcPr>
            <w:tcW w:w="784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78,508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69,282</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Assets held for sale</w:t>
            </w:r>
          </w:p>
        </w:tc>
        <w:tc>
          <w:tcPr>
            <w:tcW w:w="2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162,105</w:t>
            </w:r>
          </w:p>
        </w:tc>
        <w:tc>
          <w:tcPr>
            <w:tcW w:w="0" w:type="dxa"/>
            <w:vAlign w:val="bottom"/>
          </w:tcPr>
          <w:p>
            <w:pPr>
              <w:spacing w:after="0"/>
              <w:rPr>
                <w:sz w:val="1"/>
                <w:szCs w:val="1"/>
                <w:color w:val="auto"/>
              </w:rPr>
            </w:pPr>
          </w:p>
        </w:tc>
      </w:tr>
      <w:tr>
        <w:trPr>
          <w:trHeight w:val="179"/>
        </w:trPr>
        <w:tc>
          <w:tcPr>
            <w:tcW w:w="784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1,039,075</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1,237,202</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296,193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287,529</w:t>
            </w:r>
          </w:p>
        </w:tc>
        <w:tc>
          <w:tcPr>
            <w:tcW w:w="0" w:type="dxa"/>
            <w:vAlign w:val="bottom"/>
          </w:tcPr>
          <w:p>
            <w:pPr>
              <w:spacing w:after="0"/>
              <w:rPr>
                <w:sz w:val="1"/>
                <w:szCs w:val="1"/>
                <w:color w:val="auto"/>
              </w:rPr>
            </w:pPr>
          </w:p>
        </w:tc>
      </w:tr>
      <w:tr>
        <w:trPr>
          <w:trHeight w:val="186"/>
        </w:trPr>
        <w:tc>
          <w:tcPr>
            <w:tcW w:w="7840" w:type="dxa"/>
            <w:vAlign w:val="bottom"/>
          </w:tcPr>
          <w:p>
            <w:pPr>
              <w:ind w:left="20"/>
              <w:spacing w:after="0"/>
              <w:rPr>
                <w:sz w:val="20"/>
                <w:szCs w:val="20"/>
                <w:color w:val="auto"/>
              </w:rPr>
            </w:pPr>
            <w:r>
              <w:rPr>
                <w:rFonts w:ascii="Arial" w:cs="Arial" w:eastAsia="Arial" w:hAnsi="Arial"/>
                <w:sz w:val="14"/>
                <w:szCs w:val="14"/>
                <w:color w:val="auto"/>
              </w:rPr>
              <w:t>Right of use asset - operating leases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91,174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83,635</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1,193,681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989,436</w:t>
            </w:r>
          </w:p>
        </w:tc>
        <w:tc>
          <w:tcPr>
            <w:tcW w:w="0" w:type="dxa"/>
            <w:vAlign w:val="bottom"/>
          </w:tcPr>
          <w:p>
            <w:pPr>
              <w:spacing w:after="0"/>
              <w:rPr>
                <w:sz w:val="1"/>
                <w:szCs w:val="1"/>
                <w:color w:val="auto"/>
              </w:rPr>
            </w:pPr>
          </w:p>
        </w:tc>
      </w:tr>
      <w:tr>
        <w:trPr>
          <w:trHeight w:val="186"/>
        </w:trPr>
        <w:tc>
          <w:tcPr>
            <w:tcW w:w="784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1,010,072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932,367</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74,626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73,690</w:t>
            </w:r>
          </w:p>
        </w:tc>
        <w:tc>
          <w:tcPr>
            <w:tcW w:w="0" w:type="dxa"/>
            <w:vAlign w:val="bottom"/>
          </w:tcPr>
          <w:p>
            <w:pPr>
              <w:spacing w:after="0"/>
              <w:rPr>
                <w:sz w:val="1"/>
                <w:szCs w:val="1"/>
                <w:color w:val="auto"/>
              </w:rPr>
            </w:pPr>
          </w:p>
        </w:tc>
      </w:tr>
      <w:tr>
        <w:trPr>
          <w:trHeight w:val="18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36,733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11,277</w:t>
            </w:r>
          </w:p>
        </w:tc>
        <w:tc>
          <w:tcPr>
            <w:tcW w:w="0" w:type="dxa"/>
            <w:vAlign w:val="bottom"/>
          </w:tcPr>
          <w:p>
            <w:pPr>
              <w:spacing w:after="0"/>
              <w:rPr>
                <w:sz w:val="1"/>
                <w:szCs w:val="1"/>
                <w:color w:val="auto"/>
              </w:rPr>
            </w:pPr>
          </w:p>
        </w:tc>
      </w:tr>
      <w:tr>
        <w:trPr>
          <w:trHeight w:val="211"/>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3,741,554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3,615,136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8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tcPr>
          <w:p>
            <w:pPr>
              <w:ind w:left="240"/>
              <w:spacing w:after="0"/>
              <w:rPr>
                <w:sz w:val="20"/>
                <w:szCs w:val="20"/>
                <w:color w:val="auto"/>
              </w:rPr>
            </w:pPr>
            <w:r>
              <w:rPr>
                <w:rFonts w:ascii="Arial" w:cs="Arial" w:eastAsia="Arial" w:hAnsi="Arial"/>
                <w:sz w:val="14"/>
                <w:szCs w:val="14"/>
                <w:color w:val="auto"/>
              </w:rPr>
              <w:t>Current portion of borrowings under senior credit facility</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45,000</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33,750</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portion of borrowings under securitization facility</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112,500</w:t>
            </w:r>
          </w:p>
        </w:tc>
        <w:tc>
          <w:tcPr>
            <w:tcW w:w="0" w:type="dxa"/>
            <w:vAlign w:val="bottom"/>
          </w:tcPr>
          <w:p>
            <w:pPr>
              <w:spacing w:after="0"/>
              <w:rPr>
                <w:sz w:val="1"/>
                <w:szCs w:val="1"/>
                <w:color w:val="auto"/>
              </w:rPr>
            </w:pPr>
          </w:p>
        </w:tc>
      </w:tr>
      <w:tr>
        <w:trPr>
          <w:trHeight w:val="186"/>
        </w:trPr>
        <w:tc>
          <w:tcPr>
            <w:tcW w:w="7840" w:type="dxa"/>
            <w:vAlign w:val="bottom"/>
          </w:tcPr>
          <w:p>
            <w:pPr>
              <w:ind w:left="240"/>
              <w:spacing w:after="0"/>
              <w:rPr>
                <w:sz w:val="20"/>
                <w:szCs w:val="20"/>
                <w:color w:val="auto"/>
              </w:rPr>
            </w:pPr>
            <w:r>
              <w:rPr>
                <w:rFonts w:ascii="Arial" w:cs="Arial" w:eastAsia="Arial" w:hAnsi="Arial"/>
                <w:sz w:val="14"/>
                <w:szCs w:val="14"/>
                <w:color w:val="auto"/>
              </w:rPr>
              <w:t>Current portion of lease liability - operating leases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13,900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12,818</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 trade</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54,608</w:t>
            </w:r>
          </w:p>
        </w:tc>
        <w:tc>
          <w:tcPr>
            <w:tcW w:w="0" w:type="dxa"/>
            <w:vAlign w:val="bottom"/>
          </w:tcPr>
          <w:p>
            <w:pPr>
              <w:spacing w:after="0"/>
              <w:rPr>
                <w:sz w:val="1"/>
                <w:szCs w:val="1"/>
                <w:color w:val="auto"/>
              </w:rPr>
            </w:pPr>
          </w:p>
        </w:tc>
      </w:tr>
      <w:tr>
        <w:trPr>
          <w:trHeight w:val="186"/>
        </w:trPr>
        <w:tc>
          <w:tcPr>
            <w:tcW w:w="7840" w:type="dxa"/>
            <w:vAlign w:val="bottom"/>
          </w:tcPr>
          <w:p>
            <w:pPr>
              <w:ind w:left="240"/>
              <w:spacing w:after="0"/>
              <w:rPr>
                <w:sz w:val="20"/>
                <w:szCs w:val="20"/>
                <w:color w:val="auto"/>
              </w:rPr>
            </w:pPr>
            <w:r>
              <w:rPr>
                <w:rFonts w:ascii="Arial" w:cs="Arial" w:eastAsia="Arial" w:hAnsi="Arial"/>
                <w:sz w:val="14"/>
                <w:szCs w:val="14"/>
                <w:color w:val="auto"/>
              </w:rPr>
              <w:t>Income taxes payable</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13,700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Contract liabilities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5,275</w:t>
            </w:r>
          </w:p>
        </w:tc>
        <w:tc>
          <w:tcPr>
            <w:tcW w:w="0" w:type="dxa"/>
            <w:vAlign w:val="bottom"/>
          </w:tcPr>
          <w:p>
            <w:pPr>
              <w:spacing w:after="0"/>
              <w:rPr>
                <w:sz w:val="1"/>
                <w:szCs w:val="1"/>
                <w:color w:val="auto"/>
              </w:rPr>
            </w:pPr>
          </w:p>
        </w:tc>
      </w:tr>
      <w:tr>
        <w:trPr>
          <w:trHeight w:val="186"/>
        </w:trPr>
        <w:tc>
          <w:tcPr>
            <w:tcW w:w="7840" w:type="dxa"/>
            <w:vAlign w:val="bottom"/>
          </w:tcPr>
          <w:p>
            <w:pPr>
              <w:ind w:left="240"/>
              <w:spacing w:after="0"/>
              <w:rPr>
                <w:sz w:val="20"/>
                <w:szCs w:val="20"/>
                <w:color w:val="auto"/>
              </w:rPr>
            </w:pPr>
            <w:r>
              <w:rPr>
                <w:rFonts w:ascii="Arial" w:cs="Arial" w:eastAsia="Arial" w:hAnsi="Arial"/>
                <w:sz w:val="14"/>
                <w:szCs w:val="14"/>
                <w:color w:val="auto"/>
              </w:rPr>
              <w:t>Accrued compensation</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65,442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76,117</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96,459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94,194</w:t>
            </w:r>
          </w:p>
        </w:tc>
        <w:tc>
          <w:tcPr>
            <w:tcW w:w="0" w:type="dxa"/>
            <w:vAlign w:val="bottom"/>
          </w:tcPr>
          <w:p>
            <w:pPr>
              <w:spacing w:after="0"/>
              <w:rPr>
                <w:sz w:val="1"/>
                <w:szCs w:val="1"/>
                <w:color w:val="auto"/>
              </w:rPr>
            </w:pPr>
          </w:p>
        </w:tc>
      </w:tr>
      <w:tr>
        <w:trPr>
          <w:trHeight w:val="186"/>
        </w:trPr>
        <w:tc>
          <w:tcPr>
            <w:tcW w:w="7840" w:type="dxa"/>
            <w:vAlign w:val="bottom"/>
          </w:tcPr>
          <w:p>
            <w:pPr>
              <w:ind w:left="240"/>
              <w:spacing w:after="0"/>
              <w:rPr>
                <w:sz w:val="20"/>
                <w:szCs w:val="20"/>
                <w:color w:val="auto"/>
              </w:rPr>
            </w:pPr>
            <w:r>
              <w:rPr>
                <w:rFonts w:ascii="Arial" w:cs="Arial" w:eastAsia="Arial" w:hAnsi="Arial"/>
                <w:sz w:val="14"/>
                <w:szCs w:val="14"/>
                <w:color w:val="auto"/>
              </w:rPr>
              <w:t>Liabilities held for sale</w:t>
            </w:r>
          </w:p>
        </w:tc>
        <w:tc>
          <w:tcPr>
            <w:tcW w:w="22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11,751</w:t>
            </w:r>
          </w:p>
        </w:tc>
        <w:tc>
          <w:tcPr>
            <w:tcW w:w="0" w:type="dxa"/>
            <w:vAlign w:val="bottom"/>
          </w:tcPr>
          <w:p>
            <w:pPr>
              <w:spacing w:after="0"/>
              <w:rPr>
                <w:sz w:val="1"/>
                <w:szCs w:val="1"/>
                <w:color w:val="auto"/>
              </w:rPr>
            </w:pPr>
          </w:p>
        </w:tc>
      </w:tr>
      <w:tr>
        <w:trPr>
          <w:trHeight w:val="186"/>
        </w:trPr>
        <w:tc>
          <w:tcPr>
            <w:tcW w:w="78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412,301</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401,013</w:t>
            </w:r>
          </w:p>
        </w:tc>
        <w:tc>
          <w:tcPr>
            <w:tcW w:w="0" w:type="dxa"/>
            <w:vAlign w:val="bottom"/>
          </w:tcPr>
          <w:p>
            <w:pPr>
              <w:spacing w:after="0"/>
              <w:rPr>
                <w:sz w:val="1"/>
                <w:szCs w:val="1"/>
                <w:color w:val="auto"/>
              </w:rPr>
            </w:pPr>
          </w:p>
        </w:tc>
      </w:tr>
      <w:tr>
        <w:trPr>
          <w:trHeight w:val="186"/>
        </w:trPr>
        <w:tc>
          <w:tcPr>
            <w:tcW w:w="7840" w:type="dxa"/>
            <w:vAlign w:val="bottom"/>
          </w:tcPr>
          <w:p>
            <w:pPr>
              <w:ind w:left="20"/>
              <w:spacing w:after="0"/>
              <w:rPr>
                <w:sz w:val="20"/>
                <w:szCs w:val="20"/>
                <w:color w:val="auto"/>
              </w:rPr>
            </w:pPr>
            <w:r>
              <w:rPr>
                <w:rFonts w:ascii="Arial" w:cs="Arial" w:eastAsia="Arial" w:hAnsi="Arial"/>
                <w:sz w:val="14"/>
                <w:szCs w:val="14"/>
                <w:color w:val="auto"/>
              </w:rPr>
              <w:t>Long-term borrowings under senior credit facility</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922,672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933,387</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convertible securities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562,240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474,834</w:t>
            </w:r>
          </w:p>
        </w:tc>
        <w:tc>
          <w:tcPr>
            <w:tcW w:w="0" w:type="dxa"/>
            <w:vAlign w:val="bottom"/>
          </w:tcPr>
          <w:p>
            <w:pPr>
              <w:spacing w:after="0"/>
              <w:rPr>
                <w:sz w:val="1"/>
                <w:szCs w:val="1"/>
                <w:color w:val="auto"/>
              </w:rPr>
            </w:pPr>
          </w:p>
        </w:tc>
      </w:tr>
      <w:tr>
        <w:trPr>
          <w:trHeight w:val="186"/>
        </w:trPr>
        <w:tc>
          <w:tcPr>
            <w:tcW w:w="7840" w:type="dxa"/>
            <w:vAlign w:val="bottom"/>
          </w:tcPr>
          <w:p>
            <w:pPr>
              <w:ind w:left="20"/>
              <w:spacing w:after="0"/>
              <w:rPr>
                <w:sz w:val="20"/>
                <w:szCs w:val="20"/>
                <w:color w:val="auto"/>
              </w:rPr>
            </w:pPr>
            <w:r>
              <w:rPr>
                <w:rFonts w:ascii="Arial" w:cs="Arial" w:eastAsia="Arial" w:hAnsi="Arial"/>
                <w:sz w:val="14"/>
                <w:szCs w:val="14"/>
                <w:color w:val="auto"/>
              </w:rPr>
              <w:t>Lease liability - operating leases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95,549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88,118</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65,282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16,190</w:t>
            </w:r>
          </w:p>
        </w:tc>
        <w:tc>
          <w:tcPr>
            <w:tcW w:w="0" w:type="dxa"/>
            <w:vAlign w:val="bottom"/>
          </w:tcPr>
          <w:p>
            <w:pPr>
              <w:spacing w:after="0"/>
              <w:rPr>
                <w:sz w:val="1"/>
                <w:szCs w:val="1"/>
                <w:color w:val="auto"/>
              </w:rPr>
            </w:pPr>
          </w:p>
        </w:tc>
      </w:tr>
      <w:tr>
        <w:trPr>
          <w:trHeight w:val="18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154,179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186,727</w:t>
            </w:r>
          </w:p>
        </w:tc>
        <w:tc>
          <w:tcPr>
            <w:tcW w:w="0" w:type="dxa"/>
            <w:vAlign w:val="bottom"/>
          </w:tcPr>
          <w:p>
            <w:pPr>
              <w:spacing w:after="0"/>
              <w:rPr>
                <w:sz w:val="1"/>
                <w:szCs w:val="1"/>
                <w:color w:val="auto"/>
              </w:rPr>
            </w:pPr>
          </w:p>
        </w:tc>
      </w:tr>
      <w:tr>
        <w:trPr>
          <w:trHeight w:val="186"/>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2,212,223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2,100,269</w:t>
            </w:r>
          </w:p>
        </w:tc>
        <w:tc>
          <w:tcPr>
            <w:tcW w:w="0" w:type="dxa"/>
            <w:vAlign w:val="bottom"/>
          </w:tcPr>
          <w:p>
            <w:pPr>
              <w:spacing w:after="0"/>
              <w:rPr>
                <w:sz w:val="1"/>
                <w:szCs w:val="1"/>
                <w:color w:val="auto"/>
              </w:rPr>
            </w:pPr>
          </w:p>
        </w:tc>
      </w:tr>
      <w:tr>
        <w:trPr>
          <w:trHeight w:val="166"/>
        </w:trPr>
        <w:tc>
          <w:tcPr>
            <w:tcW w:w="784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Preferred stock; no par value; 15,000 authorized shares; none outstanding</w:t>
            </w:r>
          </w:p>
        </w:tc>
        <w:tc>
          <w:tcPr>
            <w:tcW w:w="2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7840" w:type="dxa"/>
            <w:vAlign w:val="bottom"/>
          </w:tcPr>
          <w:p>
            <w:pPr>
              <w:ind w:left="360"/>
              <w:spacing w:after="0" w:line="135" w:lineRule="exact"/>
              <w:rPr>
                <w:sz w:val="20"/>
                <w:szCs w:val="20"/>
                <w:color w:val="auto"/>
              </w:rPr>
            </w:pPr>
            <w:r>
              <w:rPr>
                <w:rFonts w:ascii="Arial" w:cs="Arial" w:eastAsia="Arial" w:hAnsi="Arial"/>
                <w:sz w:val="14"/>
                <w:szCs w:val="14"/>
                <w:color w:val="auto"/>
                <w:w w:val="96"/>
              </w:rPr>
              <w:t>Common stock; $0.01 par value; 240,000 authorized shares; 89,406 and 89,251 issued at March 31, 2021 and December 31,</w:t>
            </w:r>
          </w:p>
        </w:tc>
        <w:tc>
          <w:tcPr>
            <w:tcW w:w="22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894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186"/>
        </w:trPr>
        <w:tc>
          <w:tcPr>
            <w:tcW w:w="7840" w:type="dxa"/>
            <w:vAlign w:val="bottom"/>
          </w:tcPr>
          <w:p>
            <w:pPr>
              <w:ind w:left="520"/>
              <w:spacing w:after="0"/>
              <w:rPr>
                <w:sz w:val="20"/>
                <w:szCs w:val="20"/>
                <w:color w:val="auto"/>
              </w:rPr>
            </w:pPr>
            <w:r>
              <w:rPr>
                <w:rFonts w:ascii="Arial" w:cs="Arial" w:eastAsia="Arial" w:hAnsi="Arial"/>
                <w:sz w:val="14"/>
                <w:szCs w:val="14"/>
                <w:color w:val="auto"/>
              </w:rPr>
              <w:t>2020, respectively</w:t>
            </w: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1,231,637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1,290,909</w:t>
            </w:r>
          </w:p>
        </w:tc>
        <w:tc>
          <w:tcPr>
            <w:tcW w:w="0" w:type="dxa"/>
            <w:vAlign w:val="bottom"/>
          </w:tcPr>
          <w:p>
            <w:pPr>
              <w:spacing w:after="0"/>
              <w:rPr>
                <w:sz w:val="1"/>
                <w:szCs w:val="1"/>
                <w:color w:val="auto"/>
              </w:rPr>
            </w:pPr>
          </w:p>
        </w:tc>
      </w:tr>
      <w:tr>
        <w:trPr>
          <w:trHeight w:val="186"/>
        </w:trPr>
        <w:tc>
          <w:tcPr>
            <w:tcW w:w="7840" w:type="dxa"/>
            <w:vAlign w:val="bottom"/>
          </w:tcPr>
          <w:p>
            <w:pPr>
              <w:ind w:left="360"/>
              <w:spacing w:after="0"/>
              <w:rPr>
                <w:sz w:val="20"/>
                <w:szCs w:val="20"/>
                <w:color w:val="auto"/>
              </w:rPr>
            </w:pPr>
            <w:r>
              <w:rPr>
                <w:rFonts w:ascii="Arial" w:cs="Arial" w:eastAsia="Arial" w:hAnsi="Arial"/>
                <w:sz w:val="14"/>
                <w:szCs w:val="14"/>
                <w:color w:val="auto"/>
              </w:rPr>
              <w:t>Treasury stock, at cost; 4,899 shares and 4,914 shares at March 31, 2021 and December 31, 2020, respectively</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(234,461)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(235,141)</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(43,627)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(74,059)</w:t>
            </w:r>
          </w:p>
        </w:tc>
        <w:tc>
          <w:tcPr>
            <w:tcW w:w="0" w:type="dxa"/>
            <w:vAlign w:val="bottom"/>
          </w:tcPr>
          <w:p>
            <w:pPr>
              <w:spacing w:after="0"/>
              <w:rPr>
                <w:sz w:val="1"/>
                <w:szCs w:val="1"/>
                <w:color w:val="auto"/>
              </w:rPr>
            </w:pPr>
          </w:p>
        </w:tc>
      </w:tr>
      <w:tr>
        <w:trPr>
          <w:trHeight w:val="186"/>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Retained earnings</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574,888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532,265</w:t>
            </w:r>
          </w:p>
        </w:tc>
        <w:tc>
          <w:tcPr>
            <w:tcW w:w="0" w:type="dxa"/>
            <w:vAlign w:val="bottom"/>
          </w:tcPr>
          <w:p>
            <w:pPr>
              <w:spacing w:after="0"/>
              <w:rPr>
                <w:sz w:val="1"/>
                <w:szCs w:val="1"/>
                <w:color w:val="auto"/>
              </w:rPr>
            </w:pPr>
          </w:p>
        </w:tc>
      </w:tr>
      <w:tr>
        <w:trPr>
          <w:trHeight w:val="183"/>
        </w:trPr>
        <w:tc>
          <w:tcPr>
            <w:tcW w:w="7840" w:type="dxa"/>
            <w:vAlign w:val="bottom"/>
            <w:shd w:val="clear" w:color="auto" w:fill="CCEEFF"/>
          </w:tcPr>
          <w:p>
            <w:pPr>
              <w:ind w:left="460"/>
              <w:spacing w:after="0"/>
              <w:rPr>
                <w:sz w:val="20"/>
                <w:szCs w:val="20"/>
                <w:color w:val="auto"/>
              </w:rPr>
            </w:pPr>
            <w:r>
              <w:rPr>
                <w:rFonts w:ascii="Arial" w:cs="Arial" w:eastAsia="Arial" w:hAnsi="Arial"/>
                <w:sz w:val="14"/>
                <w:szCs w:val="14"/>
                <w:b w:val="1"/>
                <w:bCs w:val="1"/>
                <w:color w:val="auto"/>
              </w:rPr>
              <w:t>Total stockholders’ equity</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1,529,331</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1,514,867</w:t>
            </w:r>
          </w:p>
        </w:tc>
        <w:tc>
          <w:tcPr>
            <w:tcW w:w="0" w:type="dxa"/>
            <w:vAlign w:val="bottom"/>
          </w:tcPr>
          <w:p>
            <w:pPr>
              <w:spacing w:after="0"/>
              <w:rPr>
                <w:sz w:val="1"/>
                <w:szCs w:val="1"/>
                <w:color w:val="auto"/>
              </w:rPr>
            </w:pPr>
          </w:p>
        </w:tc>
      </w:tr>
      <w:tr>
        <w:trPr>
          <w:trHeight w:val="186"/>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3,741,554</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3,615,136</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187"/>
        </w:trPr>
        <w:tc>
          <w:tcPr>
            <w:tcW w:w="77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r>
      <w:tr>
        <w:trPr>
          <w:trHeight w:val="170"/>
        </w:trPr>
        <w:tc>
          <w:tcPr>
            <w:tcW w:w="7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Net income</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45,394</w:t>
            </w:r>
          </w:p>
        </w:tc>
        <w:tc>
          <w:tcPr>
            <w:tcW w:w="10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9,180</w:t>
            </w:r>
          </w:p>
        </w:tc>
      </w:tr>
      <w:tr>
        <w:trPr>
          <w:trHeight w:val="19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29,214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29,151</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Non-cash impairment charges</w:t>
            </w: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Deferred income tax (benefit) provision</w:t>
            </w:r>
          </w:p>
        </w:tc>
        <w:tc>
          <w:tcPr>
            <w:tcW w:w="10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(1,234)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5,068</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Share-based compensation</w:t>
            </w: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6,334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Amortization of debt issuance costs and expenses associated with debt refinancing</w:t>
            </w:r>
          </w:p>
        </w:tc>
        <w:tc>
          <w:tcPr>
            <w:tcW w:w="10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1,721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4,246</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Non-cash lease expense</w:t>
            </w: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Accretion of bond issuance discount</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2,529</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disposal of property and equipment</w:t>
            </w: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Gain from the sale of business</w:t>
            </w:r>
          </w:p>
        </w:tc>
        <w:tc>
          <w:tcPr>
            <w:tcW w:w="10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(42,876)</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fair value of contingent consideration and others</w:t>
            </w: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w:t>
            </w: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Changes in assets and liabilities:</w:t>
            </w: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2"/>
        </w:trPr>
        <w:tc>
          <w:tcPr>
            <w:tcW w:w="7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receivable</w:t>
            </w: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16,756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28,301</w:t>
            </w:r>
          </w:p>
        </w:tc>
      </w:tr>
      <w:tr>
        <w:trPr>
          <w:trHeight w:val="186"/>
        </w:trPr>
        <w:tc>
          <w:tcPr>
            <w:tcW w:w="7780" w:type="dxa"/>
            <w:vAlign w:val="bottom"/>
          </w:tcPr>
          <w:p>
            <w:pPr>
              <w:ind w:left="460"/>
              <w:spacing w:after="0"/>
              <w:rPr>
                <w:sz w:val="20"/>
                <w:szCs w:val="20"/>
                <w:color w:val="auto"/>
              </w:rPr>
            </w:pPr>
            <w:r>
              <w:rPr>
                <w:rFonts w:ascii="Arial" w:cs="Arial" w:eastAsia="Arial" w:hAnsi="Arial"/>
                <w:sz w:val="14"/>
                <w:szCs w:val="14"/>
                <w:color w:val="auto"/>
              </w:rPr>
              <w:t>Inventories</w:t>
            </w:r>
          </w:p>
        </w:tc>
        <w:tc>
          <w:tcPr>
            <w:tcW w:w="10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(2,332)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(26,236)</w:t>
            </w:r>
          </w:p>
        </w:tc>
      </w:tr>
      <w:tr>
        <w:trPr>
          <w:trHeight w:val="192"/>
        </w:trPr>
        <w:tc>
          <w:tcPr>
            <w:tcW w:w="7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4,683</w:t>
            </w:r>
          </w:p>
        </w:tc>
      </w:tr>
      <w:tr>
        <w:trPr>
          <w:trHeight w:val="186"/>
        </w:trPr>
        <w:tc>
          <w:tcPr>
            <w:tcW w:w="7780" w:type="dxa"/>
            <w:vAlign w:val="bottom"/>
          </w:tcPr>
          <w:p>
            <w:pPr>
              <w:ind w:left="460"/>
              <w:spacing w:after="0"/>
              <w:rPr>
                <w:sz w:val="20"/>
                <w:szCs w:val="20"/>
                <w:color w:val="auto"/>
              </w:rPr>
            </w:pPr>
            <w:r>
              <w:rPr>
                <w:rFonts w:ascii="Arial" w:cs="Arial" w:eastAsia="Arial" w:hAnsi="Arial"/>
                <w:sz w:val="14"/>
                <w:szCs w:val="14"/>
                <w:color w:val="auto"/>
              </w:rPr>
              <w:t>Other non-current assets</w:t>
            </w:r>
          </w:p>
        </w:tc>
        <w:tc>
          <w:tcPr>
            <w:tcW w:w="10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10,419</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3,000</w:t>
            </w:r>
          </w:p>
        </w:tc>
      </w:tr>
      <w:tr>
        <w:trPr>
          <w:trHeight w:val="192"/>
        </w:trPr>
        <w:tc>
          <w:tcPr>
            <w:tcW w:w="7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payable, accrued expenses and other current liabilities</w:t>
            </w: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14,449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(40,413)</w:t>
            </w:r>
          </w:p>
        </w:tc>
      </w:tr>
      <w:tr>
        <w:trPr>
          <w:trHeight w:val="186"/>
        </w:trPr>
        <w:tc>
          <w:tcPr>
            <w:tcW w:w="7780" w:type="dxa"/>
            <w:vAlign w:val="bottom"/>
          </w:tcPr>
          <w:p>
            <w:pPr>
              <w:ind w:left="460"/>
              <w:spacing w:after="0"/>
              <w:rPr>
                <w:sz w:val="20"/>
                <w:szCs w:val="20"/>
                <w:color w:val="auto"/>
              </w:rPr>
            </w:pPr>
            <w:r>
              <w:rPr>
                <w:rFonts w:ascii="Arial" w:cs="Arial" w:eastAsia="Arial" w:hAnsi="Arial"/>
                <w:sz w:val="14"/>
                <w:szCs w:val="14"/>
                <w:color w:val="auto"/>
              </w:rPr>
              <w:t>Contract liabilities</w:t>
            </w:r>
          </w:p>
        </w:tc>
        <w:tc>
          <w:tcPr>
            <w:tcW w:w="10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338</w:t>
            </w:r>
          </w:p>
        </w:tc>
      </w:tr>
      <w:tr>
        <w:trPr>
          <w:trHeight w:val="192"/>
        </w:trPr>
        <w:tc>
          <w:tcPr>
            <w:tcW w:w="7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non-current liabilities</w:t>
            </w:r>
          </w:p>
        </w:tc>
        <w:tc>
          <w:tcPr>
            <w:tcW w:w="10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(9,662)</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(2,284)</w:t>
            </w:r>
          </w:p>
        </w:tc>
      </w:tr>
      <w:tr>
        <w:trPr>
          <w:trHeight w:val="179"/>
        </w:trPr>
        <w:tc>
          <w:tcPr>
            <w:tcW w:w="7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10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69,081</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20,814</w:t>
            </w:r>
          </w:p>
        </w:tc>
      </w:tr>
      <w:tr>
        <w:trPr>
          <w:trHeight w:val="172"/>
        </w:trPr>
        <w:tc>
          <w:tcPr>
            <w:tcW w:w="7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INVESTING ACTIVITIES:</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10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(6,675)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(16,519)</w:t>
            </w:r>
          </w:p>
        </w:tc>
      </w:tr>
      <w:tr>
        <w:trPr>
          <w:trHeight w:val="19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sale of Extremity Orthopedics business</w:t>
            </w: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191,736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9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Cash (paid) provided for business acquisitions, net of cash acquired</w:t>
            </w: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(302,627)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Acquired in-process research and development</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186"/>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100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(117,566)</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(21,485)</w:t>
            </w:r>
          </w:p>
        </w:tc>
      </w:tr>
      <w:tr>
        <w:trPr>
          <w:trHeight w:val="168"/>
        </w:trPr>
        <w:tc>
          <w:tcPr>
            <w:tcW w:w="77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0"/>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borrowings of long-term indebtedness</w:t>
            </w: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113,200</w:t>
            </w: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Payments on debt</w:t>
            </w:r>
          </w:p>
        </w:tc>
        <w:tc>
          <w:tcPr>
            <w:tcW w:w="10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(344,200)</w:t>
            </w:r>
          </w:p>
        </w:tc>
      </w:tr>
      <w:tr>
        <w:trPr>
          <w:trHeight w:val="19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Purchase of option hedge on convertible notes</w:t>
            </w:r>
          </w:p>
        </w:tc>
        <w:tc>
          <w:tcPr>
            <w:tcW w:w="10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(104,248)</w:t>
            </w: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Proceeds from convertible notes issuance</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575,000</w:t>
            </w:r>
          </w:p>
        </w:tc>
      </w:tr>
      <w:tr>
        <w:trPr>
          <w:trHeight w:val="19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sale of stock purchase warrants</w:t>
            </w:r>
          </w:p>
        </w:tc>
        <w:tc>
          <w:tcPr>
            <w:tcW w:w="10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44,562</w:t>
            </w: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Payment of debt issuance costs</w:t>
            </w:r>
          </w:p>
        </w:tc>
        <w:tc>
          <w:tcPr>
            <w:tcW w:w="10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(20,264)</w:t>
            </w:r>
          </w:p>
        </w:tc>
      </w:tr>
      <w:tr>
        <w:trPr>
          <w:trHeight w:val="19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Purchases of treasury stock</w:t>
            </w:r>
          </w:p>
        </w:tc>
        <w:tc>
          <w:tcPr>
            <w:tcW w:w="10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Proceeds from exercised stock options</w:t>
            </w:r>
          </w:p>
        </w:tc>
        <w:tc>
          <w:tcPr>
            <w:tcW w:w="10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2,222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2,303</w:t>
            </w:r>
          </w:p>
        </w:tc>
      </w:tr>
      <w:tr>
        <w:trPr>
          <w:trHeight w:val="19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Cash taxes paid in net equity settlement</w:t>
            </w:r>
          </w:p>
        </w:tc>
        <w:tc>
          <w:tcPr>
            <w:tcW w:w="10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(3,637)</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(4,348)</w:t>
            </w:r>
          </w:p>
        </w:tc>
      </w:tr>
      <w:tr>
        <w:trPr>
          <w:trHeight w:val="179"/>
        </w:trPr>
        <w:tc>
          <w:tcPr>
            <w:tcW w:w="7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(used) provided by financing activities</w:t>
            </w:r>
          </w:p>
        </w:tc>
        <w:tc>
          <w:tcPr>
            <w:tcW w:w="10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(3,015)</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162,005</w:t>
            </w:r>
          </w:p>
        </w:tc>
      </w:tr>
      <w:tr>
        <w:trPr>
          <w:trHeight w:val="186"/>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0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(9,690)</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(2,533)</w:t>
            </w:r>
          </w:p>
        </w:tc>
      </w:tr>
      <w:tr>
        <w:trPr>
          <w:trHeight w:val="179"/>
        </w:trPr>
        <w:tc>
          <w:tcPr>
            <w:tcW w:w="7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increase in cash and cash equivalents</w:t>
            </w:r>
          </w:p>
        </w:tc>
        <w:tc>
          <w:tcPr>
            <w:tcW w:w="10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(61,190)</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158,801</w:t>
            </w:r>
          </w:p>
        </w:tc>
      </w:tr>
      <w:tr>
        <w:trPr>
          <w:trHeight w:val="186"/>
        </w:trPr>
        <w:tc>
          <w:tcPr>
            <w:tcW w:w="7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10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470,166</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198,911</w:t>
            </w:r>
          </w:p>
        </w:tc>
      </w:tr>
      <w:tr>
        <w:trPr>
          <w:trHeight w:val="179"/>
        </w:trPr>
        <w:tc>
          <w:tcPr>
            <w:tcW w:w="7780" w:type="dxa"/>
            <w:vAlign w:val="bottom"/>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100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408,976</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357,712</w:t>
            </w:r>
          </w:p>
        </w:tc>
      </w:tr>
      <w:tr>
        <w:trPr>
          <w:trHeight w:val="24"/>
        </w:trPr>
        <w:tc>
          <w:tcPr>
            <w:tcW w:w="7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2100"/>
        <w:spacing w:after="0" w:line="275" w:lineRule="auto"/>
        <w:rPr>
          <w:sz w:val="20"/>
          <w:szCs w:val="20"/>
          <w:color w:val="auto"/>
        </w:rPr>
      </w:pPr>
      <w:r>
        <w:rPr>
          <w:rFonts w:ascii="Arial" w:cs="Arial" w:eastAsia="Arial" w:hAnsi="Arial"/>
          <w:sz w:val="18"/>
          <w:szCs w:val="18"/>
          <w:b w:val="1"/>
          <w:bCs w:val="1"/>
          <w:color w:val="auto"/>
        </w:rPr>
        <w:t>INTEGRA LIFESCIENCES HOLDINGS CORPORATION CONDENSED CONSOLIDATED STATEMENTS OF CHANGES IN SHAREHOLDER'S EQUITY (UNAUDITED)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amounts)</w:t>
      </w:r>
    </w:p>
    <w:p>
      <w:pPr>
        <w:spacing w:after="0" w:line="365" w:lineRule="exact"/>
        <w:rPr>
          <w:sz w:val="20"/>
          <w:szCs w:val="20"/>
          <w:color w:val="auto"/>
        </w:rPr>
      </w:pPr>
    </w:p>
    <w:p>
      <w:pPr>
        <w:ind w:left="6220"/>
        <w:spacing w:after="0"/>
        <w:rPr>
          <w:sz w:val="20"/>
          <w:szCs w:val="20"/>
          <w:color w:val="auto"/>
        </w:rPr>
      </w:pPr>
      <w:r>
        <w:rPr>
          <w:rFonts w:ascii="Arial" w:cs="Arial" w:eastAsia="Arial" w:hAnsi="Arial"/>
          <w:sz w:val="13"/>
          <w:szCs w:val="13"/>
          <w:b w:val="1"/>
          <w:bCs w:val="1"/>
          <w:color w:val="auto"/>
        </w:rPr>
        <w:t>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19685</wp:posOffset>
            </wp:positionV>
            <wp:extent cx="4980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Balance, January 1, 2021</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income</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comprehensive income (loss), net of tax</w:t>
      </w:r>
    </w:p>
    <w:p>
      <w:pPr>
        <w:spacing w:after="0" w:line="28" w:lineRule="exact"/>
        <w:rPr>
          <w:sz w:val="20"/>
          <w:szCs w:val="20"/>
          <w:color w:val="auto"/>
        </w:rPr>
      </w:pPr>
    </w:p>
    <w:p>
      <w:pPr>
        <w:ind w:left="120" w:right="100"/>
        <w:spacing w:after="0" w:line="236"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7" w:lineRule="exact"/>
        <w:rPr>
          <w:sz w:val="20"/>
          <w:szCs w:val="20"/>
          <w:color w:val="auto"/>
        </w:rPr>
      </w:pPr>
    </w:p>
    <w:p>
      <w:pPr>
        <w:ind w:left="120"/>
        <w:spacing w:after="0" w:line="236"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7" w:lineRule="exact"/>
        <w:rPr>
          <w:sz w:val="20"/>
          <w:szCs w:val="20"/>
          <w:color w:val="auto"/>
        </w:rPr>
      </w:pPr>
    </w:p>
    <w:p>
      <w:pPr>
        <w:ind w:left="120" w:right="1140"/>
        <w:spacing w:after="0" w:line="314" w:lineRule="auto"/>
        <w:rPr>
          <w:sz w:val="20"/>
          <w:szCs w:val="20"/>
          <w:color w:val="auto"/>
        </w:rPr>
      </w:pPr>
      <w:r>
        <w:rPr>
          <w:rFonts w:ascii="Arial" w:cs="Arial" w:eastAsia="Arial" w:hAnsi="Arial"/>
          <w:sz w:val="13"/>
          <w:szCs w:val="13"/>
          <w:color w:val="auto"/>
        </w:rPr>
        <w:t>Share-based compensation Adoption of Update No. 2020-06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-4445</wp:posOffset>
            </wp:positionV>
            <wp:extent cx="204025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0255" cy="1460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color w:val="auto"/>
        </w:rPr>
        <w:t>Balance, March 31, 2021</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620" w:type="dxa"/>
            <w:vAlign w:val="bottom"/>
            <w:gridSpan w:val="4"/>
          </w:tcPr>
          <w:p>
            <w:pPr>
              <w:ind w:left="340"/>
              <w:spacing w:after="0"/>
              <w:rPr>
                <w:sz w:val="20"/>
                <w:szCs w:val="20"/>
                <w:color w:val="auto"/>
              </w:rPr>
            </w:pPr>
            <w:r>
              <w:rPr>
                <w:rFonts w:ascii="Arial" w:cs="Arial" w:eastAsia="Arial" w:hAnsi="Arial"/>
                <w:sz w:val="13"/>
                <w:szCs w:val="13"/>
                <w:b w:val="1"/>
                <w:bCs w:val="1"/>
                <w:color w:val="auto"/>
              </w:rPr>
              <w:t>Common Stock</w:t>
            </w:r>
          </w:p>
        </w:tc>
        <w:tc>
          <w:tcPr>
            <w:tcW w:w="17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Treasury Stock</w:t>
            </w:r>
          </w:p>
        </w:tc>
        <w:tc>
          <w:tcPr>
            <w:tcW w:w="11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w w:val="98"/>
              </w:rPr>
              <w:t>Additional Paid-</w:t>
            </w:r>
          </w:p>
        </w:tc>
        <w:tc>
          <w:tcPr>
            <w:tcW w:w="1300" w:type="dxa"/>
            <w:vAlign w:val="bottom"/>
            <w:gridSpan w:val="2"/>
            <w:vMerge w:val="restart"/>
          </w:tcPr>
          <w:p>
            <w:pPr>
              <w:jc w:val="right"/>
              <w:ind w:right="48"/>
              <w:spacing w:after="0"/>
              <w:rPr>
                <w:sz w:val="20"/>
                <w:szCs w:val="20"/>
                <w:color w:val="auto"/>
              </w:rPr>
            </w:pPr>
            <w:r>
              <w:rPr>
                <w:rFonts w:ascii="Arial" w:cs="Arial" w:eastAsia="Arial" w:hAnsi="Arial"/>
                <w:sz w:val="13"/>
                <w:szCs w:val="13"/>
                <w:b w:val="1"/>
                <w:bCs w:val="1"/>
                <w:color w:val="auto"/>
                <w:w w:val="96"/>
              </w:rPr>
              <w:t>Accumulated Other</w:t>
            </w:r>
          </w:p>
        </w:tc>
        <w:tc>
          <w:tcPr>
            <w:tcW w:w="90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14"/>
                <w:szCs w:val="14"/>
                <w:color w:val="auto"/>
              </w:rPr>
            </w:pPr>
          </w:p>
        </w:tc>
        <w:tc>
          <w:tcPr>
            <w:tcW w:w="92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56"/>
        </w:trPr>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In Capital</w:t>
            </w:r>
          </w:p>
        </w:tc>
        <w:tc>
          <w:tcPr>
            <w:tcW w:w="1300" w:type="dxa"/>
            <w:vAlign w:val="bottom"/>
            <w:gridSpan w:val="2"/>
            <w:vMerge w:val="restart"/>
          </w:tcPr>
          <w:p>
            <w:pPr>
              <w:jc w:val="right"/>
              <w:ind w:right="28"/>
              <w:spacing w:after="0"/>
              <w:rPr>
                <w:sz w:val="20"/>
                <w:szCs w:val="20"/>
                <w:color w:val="auto"/>
              </w:rPr>
            </w:pPr>
            <w:r>
              <w:rPr>
                <w:rFonts w:ascii="Arial" w:cs="Arial" w:eastAsia="Arial" w:hAnsi="Arial"/>
                <w:sz w:val="13"/>
                <w:szCs w:val="13"/>
                <w:b w:val="1"/>
                <w:bCs w:val="1"/>
                <w:color w:val="auto"/>
                <w:w w:val="89"/>
              </w:rPr>
              <w:t>Comprehensive Loss</w:t>
            </w:r>
          </w:p>
        </w:tc>
        <w:tc>
          <w:tcPr>
            <w:tcW w:w="90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rPr>
              <w:t>Earnings</w:t>
            </w:r>
          </w:p>
        </w:tc>
        <w:tc>
          <w:tcPr>
            <w:tcW w:w="20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8"/>
        </w:trPr>
        <w:tc>
          <w:tcPr>
            <w:tcW w:w="72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5"/>
                <w:szCs w:val="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7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5"/>
                <w:szCs w:val="5"/>
                <w:color w:val="auto"/>
              </w:rPr>
            </w:pPr>
          </w:p>
        </w:tc>
        <w:tc>
          <w:tcPr>
            <w:tcW w:w="76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7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7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gridSpan w:val="2"/>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(In thousands)</w:t>
            </w: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89,251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893</w:t>
            </w:r>
          </w:p>
        </w:tc>
        <w:tc>
          <w:tcPr>
            <w:tcW w:w="120" w:type="dxa"/>
            <w:vAlign w:val="bottom"/>
          </w:tcPr>
          <w:p>
            <w:pPr>
              <w:spacing w:after="0"/>
              <w:rPr>
                <w:sz w:val="16"/>
                <w:szCs w:val="16"/>
                <w:color w:val="auto"/>
              </w:rPr>
            </w:pPr>
          </w:p>
        </w:tc>
        <w:tc>
          <w:tcPr>
            <w:tcW w:w="760" w:type="dxa"/>
            <w:vAlign w:val="bottom"/>
          </w:tcPr>
          <w:p>
            <w:pPr>
              <w:ind w:left="260"/>
              <w:spacing w:after="0"/>
              <w:rPr>
                <w:sz w:val="20"/>
                <w:szCs w:val="20"/>
                <w:color w:val="auto"/>
              </w:rPr>
            </w:pPr>
            <w:r>
              <w:rPr>
                <w:rFonts w:ascii="Arial" w:cs="Arial" w:eastAsia="Arial" w:hAnsi="Arial"/>
                <w:sz w:val="14"/>
                <w:szCs w:val="14"/>
                <w:color w:val="auto"/>
              </w:rPr>
              <w:t>(4,914)</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(235,141)</w:t>
            </w:r>
          </w:p>
        </w:tc>
        <w:tc>
          <w:tcPr>
            <w:tcW w:w="26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1,290,908</w:t>
            </w:r>
          </w:p>
        </w:tc>
        <w:tc>
          <w:tcPr>
            <w:tcW w:w="440" w:type="dxa"/>
            <w:vAlign w:val="bottom"/>
          </w:tcPr>
          <w:p>
            <w:pPr>
              <w:jc w:val="right"/>
              <w:ind w:right="234"/>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(74,059)</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   532,266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1,514,867</w:t>
            </w:r>
          </w:p>
        </w:tc>
        <w:tc>
          <w:tcPr>
            <w:tcW w:w="0" w:type="dxa"/>
            <w:vAlign w:val="bottom"/>
          </w:tcPr>
          <w:p>
            <w:pPr>
              <w:spacing w:after="0"/>
              <w:rPr>
                <w:sz w:val="1"/>
                <w:szCs w:val="1"/>
                <w:color w:val="auto"/>
              </w:rPr>
            </w:pPr>
          </w:p>
        </w:tc>
      </w:tr>
      <w:tr>
        <w:trPr>
          <w:trHeight w:val="189"/>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45,394</w:t>
            </w:r>
          </w:p>
        </w:tc>
        <w:tc>
          <w:tcPr>
            <w:tcW w:w="20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45,394</w:t>
            </w:r>
          </w:p>
        </w:tc>
        <w:tc>
          <w:tcPr>
            <w:tcW w:w="0" w:type="dxa"/>
            <w:vAlign w:val="bottom"/>
          </w:tcPr>
          <w:p>
            <w:pPr>
              <w:spacing w:after="0"/>
              <w:rPr>
                <w:sz w:val="1"/>
                <w:szCs w:val="1"/>
                <w:color w:val="auto"/>
              </w:rPr>
            </w:pPr>
          </w:p>
        </w:tc>
      </w:tr>
      <w:tr>
        <w:trPr>
          <w:trHeight w:val="189"/>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30,432</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30,432</w:t>
            </w:r>
          </w:p>
        </w:tc>
        <w:tc>
          <w:tcPr>
            <w:tcW w:w="0" w:type="dxa"/>
            <w:vAlign w:val="bottom"/>
          </w:tcPr>
          <w:p>
            <w:pPr>
              <w:spacing w:after="0"/>
              <w:rPr>
                <w:sz w:val="1"/>
                <w:szCs w:val="1"/>
                <w:color w:val="auto"/>
              </w:rPr>
            </w:pPr>
          </w:p>
        </w:tc>
      </w:tr>
      <w:tr>
        <w:trPr>
          <w:trHeight w:val="256"/>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1,127</w:t>
            </w:r>
          </w:p>
        </w:tc>
        <w:tc>
          <w:tcPr>
            <w:tcW w:w="4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1,127</w:t>
            </w:r>
          </w:p>
        </w:tc>
        <w:tc>
          <w:tcPr>
            <w:tcW w:w="0" w:type="dxa"/>
            <w:vAlign w:val="bottom"/>
          </w:tcPr>
          <w:p>
            <w:pPr>
              <w:spacing w:after="0"/>
              <w:rPr>
                <w:sz w:val="1"/>
                <w:szCs w:val="1"/>
                <w:color w:val="auto"/>
              </w:rPr>
            </w:pPr>
          </w:p>
        </w:tc>
      </w:tr>
      <w:tr>
        <w:trPr>
          <w:trHeight w:val="32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137</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760" w:type="dxa"/>
            <w:vAlign w:val="bottom"/>
          </w:tcPr>
          <w:p>
            <w:pPr>
              <w:ind w:left="500"/>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680</w:t>
            </w:r>
          </w:p>
        </w:tc>
        <w:tc>
          <w:tcPr>
            <w:tcW w:w="260" w:type="dxa"/>
            <w:vAlign w:val="bottom"/>
          </w:tcPr>
          <w:p>
            <w:pPr>
              <w:spacing w:after="0"/>
              <w:rPr>
                <w:sz w:val="24"/>
                <w:szCs w:val="24"/>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(3,222)</w:t>
            </w:r>
          </w:p>
        </w:tc>
        <w:tc>
          <w:tcPr>
            <w:tcW w:w="44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57"/>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6,098</w:t>
            </w:r>
          </w:p>
        </w:tc>
        <w:tc>
          <w:tcPr>
            <w:tcW w:w="4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6,098</w:t>
            </w:r>
          </w:p>
        </w:tc>
        <w:tc>
          <w:tcPr>
            <w:tcW w:w="0" w:type="dxa"/>
            <w:vAlign w:val="bottom"/>
          </w:tcPr>
          <w:p>
            <w:pPr>
              <w:spacing w:after="0"/>
              <w:rPr>
                <w:sz w:val="1"/>
                <w:szCs w:val="1"/>
                <w:color w:val="auto"/>
              </w:rPr>
            </w:pPr>
          </w:p>
        </w:tc>
      </w:tr>
      <w:tr>
        <w:trPr>
          <w:trHeight w:val="195"/>
        </w:trPr>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(63,274)</w:t>
            </w: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(2,772)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(66,046)</w:t>
            </w:r>
          </w:p>
        </w:tc>
        <w:tc>
          <w:tcPr>
            <w:tcW w:w="0" w:type="dxa"/>
            <w:vAlign w:val="bottom"/>
          </w:tcPr>
          <w:p>
            <w:pPr>
              <w:spacing w:after="0"/>
              <w:rPr>
                <w:sz w:val="1"/>
                <w:szCs w:val="1"/>
                <w:color w:val="auto"/>
              </w:rPr>
            </w:pPr>
          </w:p>
        </w:tc>
      </w:tr>
      <w:tr>
        <w:trPr>
          <w:trHeight w:val="185"/>
        </w:trPr>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89,406</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(4,899)</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(234,461)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1,231,637</w:t>
            </w: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(43,627)</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574,888</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1,529,331</w:t>
            </w:r>
          </w:p>
        </w:tc>
        <w:tc>
          <w:tcPr>
            <w:tcW w:w="0" w:type="dxa"/>
            <w:vAlign w:val="bottom"/>
          </w:tcPr>
          <w:p>
            <w:pPr>
              <w:spacing w:after="0"/>
              <w:rPr>
                <w:sz w:val="1"/>
                <w:szCs w:val="1"/>
                <w:color w:val="auto"/>
              </w:rPr>
            </w:pPr>
          </w:p>
        </w:tc>
      </w:tr>
      <w:tr>
        <w:trPr>
          <w:trHeight w:val="24"/>
        </w:trPr>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-1053465</wp:posOffset>
            </wp:positionV>
            <wp:extent cx="702056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0560" cy="12001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-814070</wp:posOffset>
            </wp:positionV>
            <wp:extent cx="702056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0560" cy="205740"/>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-401955</wp:posOffset>
            </wp:positionV>
            <wp:extent cx="702056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0560" cy="120015"/>
                    </a:xfrm>
                    <a:prstGeom prst="rect">
                      <a:avLst/>
                    </a:prstGeom>
                    <a:noFill/>
                  </pic:spPr>
                </pic:pic>
              </a:graphicData>
            </a:graphic>
          </wp:anchor>
        </w:drawing>
      </w:r>
    </w:p>
    <w:p>
      <w:pPr>
        <w:spacing w:after="0" w:line="394"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19685</wp:posOffset>
            </wp:positionV>
            <wp:extent cx="5040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3160" w:space="160"/>
            <w:col w:w="790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Balance, January 1, 2020</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Net income</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Other comprehensive loss, net of tax</w:t>
      </w:r>
    </w:p>
    <w:p>
      <w:pPr>
        <w:spacing w:after="0" w:line="28" w:lineRule="exact"/>
        <w:rPr>
          <w:sz w:val="20"/>
          <w:szCs w:val="20"/>
          <w:color w:val="auto"/>
        </w:rPr>
      </w:pPr>
    </w:p>
    <w:p>
      <w:pPr>
        <w:ind w:left="60" w:right="100"/>
        <w:spacing w:after="0" w:line="236"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7" w:lineRule="exact"/>
        <w:rPr>
          <w:sz w:val="20"/>
          <w:szCs w:val="20"/>
          <w:color w:val="auto"/>
        </w:rPr>
      </w:pPr>
    </w:p>
    <w:p>
      <w:pPr>
        <w:ind w:left="60"/>
        <w:spacing w:after="0" w:line="236"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4"/>
          <w:szCs w:val="14"/>
          <w:color w:val="auto"/>
        </w:rPr>
        <w:t>Share-based compensation</w:t>
      </w:r>
    </w:p>
    <w:p>
      <w:pPr>
        <w:spacing w:after="0" w:line="28" w:lineRule="exact"/>
        <w:rPr>
          <w:sz w:val="20"/>
          <w:szCs w:val="20"/>
          <w:color w:val="auto"/>
        </w:rPr>
      </w:pPr>
    </w:p>
    <w:p>
      <w:pPr>
        <w:ind w:left="60" w:right="380"/>
        <w:spacing w:after="0" w:line="236" w:lineRule="auto"/>
        <w:rPr>
          <w:sz w:val="20"/>
          <w:szCs w:val="20"/>
          <w:color w:val="auto"/>
        </w:rPr>
      </w:pPr>
      <w:r>
        <w:rPr>
          <w:rFonts w:ascii="Arial" w:cs="Arial" w:eastAsia="Arial" w:hAnsi="Arial"/>
          <w:sz w:val="14"/>
          <w:szCs w:val="14"/>
          <w:color w:val="auto"/>
        </w:rPr>
        <w:t>Share repurchase and equity component of the convertible note issuance, net</w:t>
      </w:r>
    </w:p>
    <w:p>
      <w:pPr>
        <w:spacing w:after="0" w:line="7" w:lineRule="exact"/>
        <w:rPr>
          <w:sz w:val="20"/>
          <w:szCs w:val="20"/>
          <w:color w:val="auto"/>
        </w:rPr>
      </w:pPr>
    </w:p>
    <w:p>
      <w:pPr>
        <w:ind w:left="60" w:right="1120"/>
        <w:spacing w:after="0" w:line="314" w:lineRule="auto"/>
        <w:rPr>
          <w:sz w:val="20"/>
          <w:szCs w:val="20"/>
          <w:color w:val="auto"/>
        </w:rPr>
      </w:pPr>
      <w:r>
        <w:rPr>
          <w:rFonts w:ascii="Arial" w:cs="Arial" w:eastAsia="Arial" w:hAnsi="Arial"/>
          <w:sz w:val="13"/>
          <w:szCs w:val="13"/>
          <w:color w:val="auto"/>
        </w:rPr>
        <w:t>Accelerated shares repurchased Adoption of Update No. 2016-13</w:t>
      </w:r>
    </w:p>
    <w:p>
      <w:pPr>
        <w:ind w:left="60"/>
        <w:spacing w:after="0"/>
        <w:rPr>
          <w:sz w:val="20"/>
          <w:szCs w:val="20"/>
          <w:color w:val="auto"/>
        </w:rPr>
      </w:pPr>
      <w:r>
        <w:rPr>
          <w:rFonts w:ascii="Arial" w:cs="Arial" w:eastAsia="Arial" w:hAnsi="Arial"/>
          <w:sz w:val="14"/>
          <w:szCs w:val="14"/>
          <w:color w:val="auto"/>
        </w:rPr>
        <w:t>Balance, March 31,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740" w:type="dxa"/>
            <w:vAlign w:val="bottom"/>
            <w:gridSpan w:val="4"/>
          </w:tcPr>
          <w:p>
            <w:pPr>
              <w:ind w:left="400"/>
              <w:spacing w:after="0"/>
              <w:rPr>
                <w:sz w:val="20"/>
                <w:szCs w:val="20"/>
                <w:color w:val="auto"/>
              </w:rPr>
            </w:pPr>
            <w:r>
              <w:rPr>
                <w:rFonts w:ascii="Arial" w:cs="Arial" w:eastAsia="Arial" w:hAnsi="Arial"/>
                <w:sz w:val="13"/>
                <w:szCs w:val="13"/>
                <w:b w:val="1"/>
                <w:bCs w:val="1"/>
                <w:color w:val="auto"/>
              </w:rPr>
              <w:t>Common Stock</w:t>
            </w:r>
          </w:p>
        </w:tc>
        <w:tc>
          <w:tcPr>
            <w:tcW w:w="17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Treasury Stock</w:t>
            </w:r>
          </w:p>
        </w:tc>
        <w:tc>
          <w:tcPr>
            <w:tcW w:w="1140" w:type="dxa"/>
            <w:vAlign w:val="bottom"/>
            <w:gridSpan w:val="2"/>
            <w:vMerge w:val="restart"/>
          </w:tcPr>
          <w:p>
            <w:pPr>
              <w:jc w:val="right"/>
              <w:ind w:right="29"/>
              <w:spacing w:after="0"/>
              <w:rPr>
                <w:sz w:val="20"/>
                <w:szCs w:val="20"/>
                <w:color w:val="auto"/>
              </w:rPr>
            </w:pPr>
            <w:r>
              <w:rPr>
                <w:rFonts w:ascii="Arial" w:cs="Arial" w:eastAsia="Arial" w:hAnsi="Arial"/>
                <w:sz w:val="13"/>
                <w:szCs w:val="13"/>
                <w:b w:val="1"/>
                <w:bCs w:val="1"/>
                <w:color w:val="auto"/>
              </w:rPr>
              <w:t>Additional Paid-</w:t>
            </w:r>
          </w:p>
        </w:tc>
        <w:tc>
          <w:tcPr>
            <w:tcW w:w="1280" w:type="dxa"/>
            <w:vAlign w:val="bottom"/>
            <w:gridSpan w:val="2"/>
            <w:vMerge w:val="restart"/>
          </w:tcPr>
          <w:p>
            <w:pPr>
              <w:jc w:val="right"/>
              <w:ind w:right="28"/>
              <w:spacing w:after="0"/>
              <w:rPr>
                <w:sz w:val="20"/>
                <w:szCs w:val="20"/>
                <w:color w:val="auto"/>
              </w:rPr>
            </w:pPr>
            <w:r>
              <w:rPr>
                <w:rFonts w:ascii="Arial" w:cs="Arial" w:eastAsia="Arial" w:hAnsi="Arial"/>
                <w:sz w:val="13"/>
                <w:szCs w:val="13"/>
                <w:b w:val="1"/>
                <w:bCs w:val="1"/>
                <w:color w:val="auto"/>
                <w:w w:val="96"/>
              </w:rPr>
              <w:t>Accumulated Other</w:t>
            </w:r>
          </w:p>
        </w:tc>
        <w:tc>
          <w:tcPr>
            <w:tcW w:w="200" w:type="dxa"/>
            <w:vAlign w:val="bottom"/>
          </w:tcPr>
          <w:p>
            <w:pPr>
              <w:spacing w:after="0"/>
              <w:rPr>
                <w:sz w:val="14"/>
                <w:szCs w:val="14"/>
                <w:color w:val="auto"/>
              </w:rPr>
            </w:pPr>
          </w:p>
        </w:tc>
        <w:tc>
          <w:tcPr>
            <w:tcW w:w="740" w:type="dxa"/>
            <w:vAlign w:val="bottom"/>
            <w:vMerge w:val="restart"/>
          </w:tcPr>
          <w:p>
            <w:pPr>
              <w:jc w:val="right"/>
              <w:ind w:right="150"/>
              <w:spacing w:after="0"/>
              <w:rPr>
                <w:sz w:val="20"/>
                <w:szCs w:val="20"/>
                <w:color w:val="auto"/>
              </w:rPr>
            </w:pPr>
            <w:r>
              <w:rPr>
                <w:rFonts w:ascii="Arial" w:cs="Arial" w:eastAsia="Arial" w:hAnsi="Arial"/>
                <w:sz w:val="13"/>
                <w:szCs w:val="13"/>
                <w:b w:val="1"/>
                <w:bCs w:val="1"/>
                <w:color w:val="auto"/>
                <w:w w:val="90"/>
              </w:rPr>
              <w:t>Retained</w:t>
            </w:r>
          </w:p>
        </w:tc>
        <w:tc>
          <w:tcPr>
            <w:tcW w:w="200" w:type="dxa"/>
            <w:vAlign w:val="bottom"/>
          </w:tcPr>
          <w:p>
            <w:pPr>
              <w:spacing w:after="0"/>
              <w:rPr>
                <w:sz w:val="14"/>
                <w:szCs w:val="14"/>
                <w:color w:val="auto"/>
              </w:rPr>
            </w:pPr>
          </w:p>
        </w:tc>
        <w:tc>
          <w:tcPr>
            <w:tcW w:w="8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56"/>
        </w:trPr>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In Capital</w:t>
            </w:r>
          </w:p>
        </w:tc>
        <w:tc>
          <w:tcPr>
            <w:tcW w:w="12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w w:val="88"/>
              </w:rPr>
              <w:t>Comprehensive Loss</w:t>
            </w:r>
          </w:p>
        </w:tc>
        <w:tc>
          <w:tcPr>
            <w:tcW w:w="200" w:type="dxa"/>
            <w:vAlign w:val="bottom"/>
          </w:tcPr>
          <w:p>
            <w:pPr>
              <w:spacing w:after="0"/>
              <w:rPr>
                <w:sz w:val="2"/>
                <w:szCs w:val="2"/>
                <w:color w:val="auto"/>
              </w:rPr>
            </w:pPr>
          </w:p>
        </w:tc>
        <w:tc>
          <w:tcPr>
            <w:tcW w:w="740" w:type="dxa"/>
            <w:vAlign w:val="bottom"/>
            <w:vMerge w:val="restart"/>
          </w:tcPr>
          <w:p>
            <w:pPr>
              <w:jc w:val="right"/>
              <w:ind w:right="150"/>
              <w:spacing w:after="0"/>
              <w:rPr>
                <w:sz w:val="20"/>
                <w:szCs w:val="20"/>
                <w:color w:val="auto"/>
              </w:rPr>
            </w:pPr>
            <w:r>
              <w:rPr>
                <w:rFonts w:ascii="Arial" w:cs="Arial" w:eastAsia="Arial" w:hAnsi="Arial"/>
                <w:sz w:val="13"/>
                <w:szCs w:val="13"/>
                <w:b w:val="1"/>
                <w:bCs w:val="1"/>
                <w:color w:val="auto"/>
                <w:w w:val="89"/>
              </w:rPr>
              <w:t>Earnings</w:t>
            </w:r>
          </w:p>
        </w:tc>
        <w:tc>
          <w:tcPr>
            <w:tcW w:w="2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8"/>
        </w:trPr>
        <w:tc>
          <w:tcPr>
            <w:tcW w:w="72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5"/>
                <w:szCs w:val="5"/>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78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5"/>
                <w:szCs w:val="5"/>
                <w:color w:val="auto"/>
              </w:rPr>
            </w:pPr>
          </w:p>
        </w:tc>
        <w:tc>
          <w:tcPr>
            <w:tcW w:w="76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7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gridSpan w:val="2"/>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gridSpan w:val="2"/>
          </w:tcPr>
          <w:p>
            <w:pPr>
              <w:jc w:val="right"/>
              <w:ind w:right="229"/>
              <w:spacing w:after="0"/>
              <w:rPr>
                <w:sz w:val="20"/>
                <w:szCs w:val="20"/>
                <w:color w:val="auto"/>
              </w:rPr>
            </w:pPr>
            <w:r>
              <w:rPr>
                <w:rFonts w:ascii="Arial" w:cs="Arial" w:eastAsia="Arial" w:hAnsi="Arial"/>
                <w:sz w:val="13"/>
                <w:szCs w:val="13"/>
                <w:b w:val="1"/>
                <w:bCs w:val="1"/>
                <w:color w:val="auto"/>
                <w:w w:val="91"/>
              </w:rPr>
              <w:t>(In thousands)</w:t>
            </w: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88,735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(2,865)</w:t>
            </w:r>
          </w:p>
        </w:tc>
        <w:tc>
          <w:tcPr>
            <w:tcW w:w="22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(119,943)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1,213,620</w:t>
            </w:r>
          </w:p>
        </w:tc>
        <w:tc>
          <w:tcPr>
            <w:tcW w:w="400" w:type="dxa"/>
            <w:vAlign w:val="bottom"/>
          </w:tcPr>
          <w:p>
            <w:pPr>
              <w:ind w:lef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(76,401)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398,573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1,416,736</w:t>
            </w:r>
          </w:p>
        </w:tc>
        <w:tc>
          <w:tcPr>
            <w:tcW w:w="0" w:type="dxa"/>
            <w:vAlign w:val="bottom"/>
          </w:tcPr>
          <w:p>
            <w:pPr>
              <w:spacing w:after="0"/>
              <w:rPr>
                <w:sz w:val="1"/>
                <w:szCs w:val="1"/>
                <w:color w:val="auto"/>
              </w:rPr>
            </w:pPr>
          </w:p>
        </w:tc>
      </w:tr>
      <w:tr>
        <w:trPr>
          <w:trHeight w:val="189"/>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9,180</w:t>
            </w:r>
          </w:p>
        </w:tc>
        <w:tc>
          <w:tcPr>
            <w:tcW w:w="2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9,180</w:t>
            </w:r>
          </w:p>
        </w:tc>
        <w:tc>
          <w:tcPr>
            <w:tcW w:w="0" w:type="dxa"/>
            <w:vAlign w:val="bottom"/>
          </w:tcPr>
          <w:p>
            <w:pPr>
              <w:spacing w:after="0"/>
              <w:rPr>
                <w:sz w:val="1"/>
                <w:szCs w:val="1"/>
                <w:color w:val="auto"/>
              </w:rPr>
            </w:pPr>
          </w:p>
        </w:tc>
      </w:tr>
      <w:tr>
        <w:trPr>
          <w:trHeight w:val="189"/>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(28,187)</w:t>
            </w:r>
          </w:p>
        </w:tc>
        <w:tc>
          <w:tcPr>
            <w:tcW w:w="200" w:type="dxa"/>
            <w:vAlign w:val="bottom"/>
          </w:tcPr>
          <w:p>
            <w:pPr>
              <w:spacing w:after="0"/>
              <w:rPr>
                <w:sz w:val="16"/>
                <w:szCs w:val="16"/>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(28,187)</w:t>
            </w:r>
          </w:p>
        </w:tc>
        <w:tc>
          <w:tcPr>
            <w:tcW w:w="0" w:type="dxa"/>
            <w:vAlign w:val="bottom"/>
          </w:tcPr>
          <w:p>
            <w:pPr>
              <w:spacing w:after="0"/>
              <w:rPr>
                <w:sz w:val="1"/>
                <w:szCs w:val="1"/>
                <w:color w:val="auto"/>
              </w:rPr>
            </w:pPr>
          </w:p>
        </w:tc>
      </w:tr>
      <w:tr>
        <w:trPr>
          <w:trHeight w:val="256"/>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694</w:t>
            </w:r>
          </w:p>
        </w:tc>
        <w:tc>
          <w:tcPr>
            <w:tcW w:w="4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324"/>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357</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476</w:t>
            </w:r>
          </w:p>
        </w:tc>
        <w:tc>
          <w:tcPr>
            <w:tcW w:w="260" w:type="dxa"/>
            <w:vAlign w:val="bottom"/>
          </w:tcPr>
          <w:p>
            <w:pPr>
              <w:spacing w:after="0"/>
              <w:rPr>
                <w:sz w:val="24"/>
                <w:szCs w:val="24"/>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(3,217)</w:t>
            </w:r>
          </w:p>
        </w:tc>
        <w:tc>
          <w:tcPr>
            <w:tcW w:w="40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(2,739)</w:t>
            </w:r>
          </w:p>
        </w:tc>
        <w:tc>
          <w:tcPr>
            <w:tcW w:w="0" w:type="dxa"/>
            <w:vAlign w:val="bottom"/>
          </w:tcPr>
          <w:p>
            <w:pPr>
              <w:spacing w:after="0"/>
              <w:rPr>
                <w:sz w:val="1"/>
                <w:szCs w:val="1"/>
                <w:color w:val="auto"/>
              </w:rPr>
            </w:pPr>
          </w:p>
        </w:tc>
      </w:tr>
      <w:tr>
        <w:trPr>
          <w:trHeight w:val="257"/>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3,781</w:t>
            </w:r>
          </w:p>
        </w:tc>
        <w:tc>
          <w:tcPr>
            <w:tcW w:w="4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3,781</w:t>
            </w:r>
          </w:p>
        </w:tc>
        <w:tc>
          <w:tcPr>
            <w:tcW w:w="0" w:type="dxa"/>
            <w:vAlign w:val="bottom"/>
          </w:tcPr>
          <w:p>
            <w:pPr>
              <w:spacing w:after="0"/>
              <w:rPr>
                <w:sz w:val="1"/>
                <w:szCs w:val="1"/>
                <w:color w:val="auto"/>
              </w:rPr>
            </w:pPr>
          </w:p>
        </w:tc>
      </w:tr>
      <w:tr>
        <w:trPr>
          <w:trHeight w:val="256"/>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(135)</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(7,632)</w:t>
            </w:r>
          </w:p>
        </w:tc>
        <w:tc>
          <w:tcPr>
            <w:tcW w:w="26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42,538</w:t>
            </w:r>
          </w:p>
        </w:tc>
        <w:tc>
          <w:tcPr>
            <w:tcW w:w="4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34,906</w:t>
            </w:r>
          </w:p>
        </w:tc>
        <w:tc>
          <w:tcPr>
            <w:tcW w:w="0" w:type="dxa"/>
            <w:vAlign w:val="bottom"/>
          </w:tcPr>
          <w:p>
            <w:pPr>
              <w:spacing w:after="0"/>
              <w:rPr>
                <w:sz w:val="1"/>
                <w:szCs w:val="1"/>
                <w:color w:val="auto"/>
              </w:rPr>
            </w:pPr>
          </w:p>
        </w:tc>
      </w:tr>
      <w:tr>
        <w:trPr>
          <w:trHeight w:val="257"/>
        </w:trPr>
        <w:tc>
          <w:tcPr>
            <w:tcW w:w="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(1,304)</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(75,407)</w:t>
            </w:r>
          </w:p>
        </w:tc>
        <w:tc>
          <w:tcPr>
            <w:tcW w:w="260" w:type="dxa"/>
            <w:vAlign w:val="bottom"/>
          </w:tcPr>
          <w:p>
            <w:pPr>
              <w:spacing w:after="0"/>
              <w:rPr>
                <w:sz w:val="22"/>
                <w:szCs w:val="22"/>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(16,961)</w:t>
            </w:r>
          </w:p>
        </w:tc>
        <w:tc>
          <w:tcPr>
            <w:tcW w:w="4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(92,368)</w:t>
            </w:r>
          </w:p>
        </w:tc>
        <w:tc>
          <w:tcPr>
            <w:tcW w:w="0" w:type="dxa"/>
            <w:vAlign w:val="bottom"/>
          </w:tcPr>
          <w:p>
            <w:pPr>
              <w:spacing w:after="0"/>
              <w:rPr>
                <w:sz w:val="1"/>
                <w:szCs w:val="1"/>
                <w:color w:val="auto"/>
              </w:rPr>
            </w:pPr>
          </w:p>
        </w:tc>
      </w:tr>
      <w:tr>
        <w:trPr>
          <w:trHeight w:val="195"/>
        </w:trPr>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5"/>
        </w:trPr>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89,105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(4,294)</w:t>
            </w: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(202,506)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1,240,455</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(104,588)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407,553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1,341,803</w:t>
            </w:r>
          </w:p>
        </w:tc>
        <w:tc>
          <w:tcPr>
            <w:tcW w:w="0" w:type="dxa"/>
            <w:vAlign w:val="bottom"/>
          </w:tcPr>
          <w:p>
            <w:pPr>
              <w:spacing w:after="0"/>
              <w:rPr>
                <w:sz w:val="1"/>
                <w:szCs w:val="1"/>
                <w:color w:val="auto"/>
              </w:rPr>
            </w:pPr>
          </w:p>
        </w:tc>
      </w:tr>
      <w:tr>
        <w:trPr>
          <w:trHeight w:val="24"/>
        </w:trPr>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-1379220</wp:posOffset>
            </wp:positionV>
            <wp:extent cx="708914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12001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-1139190</wp:posOffset>
            </wp:positionV>
            <wp:extent cx="70891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205740"/>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-727710</wp:posOffset>
            </wp:positionV>
            <wp:extent cx="708914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12001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-281940</wp:posOffset>
            </wp:positionV>
            <wp:extent cx="708914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180"/>
            <w:col w:w="7940"/>
          </w:cols>
          <w:pgMar w:left="320" w:top="125" w:right="359" w:bottom="1440" w:gutter="0" w:footer="0" w:header="0"/>
          <w:type w:val="continuous"/>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unaudited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w:t>
      </w:r>
    </w:p>
    <w:p>
      <w:pPr>
        <w:spacing w:after="0" w:line="234" w:lineRule="exact"/>
        <w:rPr>
          <w:sz w:val="20"/>
          <w:szCs w:val="20"/>
          <w:color w:val="auto"/>
        </w:rPr>
      </w:pPr>
    </w:p>
    <w:p>
      <w:pPr>
        <w:ind w:right="8800" w:firstLine="8"/>
        <w:spacing w:after="0" w:line="354"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b w:val="1"/>
          <w:bCs w:val="1"/>
          <w:i w:val="1"/>
          <w:iCs w:val="1"/>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opinion of management, the March 31, 2021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2020 included in the Company’s Annual Report on Form 10-K. The December 31, 2020 consolidated balance sheet was derived from audited financial statements, but does not include all disclosures required by accounting principles generally accepted in the United States. Operating results for the three month period ended March 31, 2021 are not necessarily indicative of the results to be expected for the entire year.</w:t>
      </w:r>
    </w:p>
    <w:p>
      <w:pPr>
        <w:spacing w:after="0" w:line="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preparation of consolidated financial statements is in conformity with generally accepted accounting principles in the United States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is subject to risks and uncertainties as a result of the COVID-19 pandemic. The extent of the impact of the COVID-19 pandemic on the Company's business is highly uncertain and difficult to predict, as the responses to the pandemic and information is rapidly evolving. During the beginning of 2020, the Company's customers diverted resources to treat COVID-19 patients and deferred or canceled elective or non-emergent surgical procedures, all of which impacted hospitals' abilities to meet their obligations, including to the Company. Towards the end of 2020 and during the first quarter of 2021, procedural volumes relevant to the Company’s products steadily increased and, in some geographic areas, began to approach normalized levels. However, on-going uncertainty persists about the continuing sustainability of those procedural volumes as virus outbreaks constrain healthcare networks. Furthermore, capital markets and economies worldwide have also been negatively impacted by the COVID-19 pandemic, and it is possible that it could cause a local and/or global economic recession. Such economic disruption has had an adverse effect on the Company's business as customers curtailed and reduced capital and overall spending. Policymakers around the globe have responded with fiscal policy actions to support the healthcare industry and the economy as a whole. The magnitude and overall effectiveness of these actions remains uncertain. The severity of the impact of the COVID-19 pandemic on the Company's business will depend on a number of factors, including, but not limited to, the duration and severity of the pandemic and the extent and severity of the impact on the Company's customers, all of which are uncertain and cannot be predicted with certainty. The Company's future results of operations and liquidity could be adversely impacted by delays in payments of outstanding receivable amounts beyond normal payment terms, supply chain disruptions and uncertain demand, and the impact of any initiatives or programs that the Company may undertake to address financial and operations challenges faced by its customers. During the first quarter of 2021, the Company's revenues were still impacted due to COVID-19 resurgences and lower surgical procedural volumes, though not to the levels seen in early 2020. As a result, the Company has continued to manage its operating costs in this environment. Even after the COVID-19 pandemic and government responses thereto have subsided, residual economic and other effects may have an impact on the demand for post-pandemic surgery levels that are difficult to predict. If the downturn is more severe and prolonged than currently expected, the Company may need to take further steps to reduce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June 2016, the FASB issued ASU No. 2016-13, Financial Instruments - </w:t>
      </w:r>
      <w:r>
        <w:rPr>
          <w:rFonts w:ascii="Arial" w:cs="Arial" w:eastAsia="Arial" w:hAnsi="Arial"/>
          <w:sz w:val="16"/>
          <w:szCs w:val="16"/>
          <w:i w:val="1"/>
          <w:iCs w:val="1"/>
          <w:color w:val="auto"/>
        </w:rPr>
        <w:t>Credit Losses (Topic 326)</w:t>
      </w:r>
      <w:r>
        <w:rPr>
          <w:rFonts w:ascii="Arial" w:cs="Arial" w:eastAsia="Arial" w:hAnsi="Arial"/>
          <w:sz w:val="16"/>
          <w:szCs w:val="16"/>
          <w:color w:val="auto"/>
        </w:rPr>
        <w:t>: Measurement of Credit Losses on Financial Instruments. The ASU is intended to improve financial reporting by requiring timelier recording of credit losses on loans and other financial instruments held by financial institutions and other organizations. The ASU requires the measurement of all expected credit losses for financial assets including trade receivables held at the reporting date based on historical experience, current conditions, and reasonable and supportable forecasts. Financial institutions and other organizations will now use forward-looking information to better inform their credit loss estimates. The ASU became effective for fiscal years, and interim periods within those fiscal years, beginning after December 15, 2019. The Company adopted this guidance on January 1, 2020 using a modified retrospective transition method which requires a cumulative-effect adjustment to the opening balance of retained earnings to be recognized on the date of adoption with no change to financial results reported in prior periods. The cumulative-effect adjustment recorded on January 1, 2020 is not material. The adoption of this ASU did not have a significant impact on the Company's consolidated financial statements and related disclosures.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exposure to credit losses may increase if its customers are adversely affected by changes in healthcare laws, coverage, and reimbursement, economic pressures or uncertainty associated with local or global economic recessions, disruption associated with the COVID-19 pandemic, and other customer-specific factors. Although the Company has historically not experienced significant credit losses, it is possible that there could be an adverse impact due to customer and governmental responses to the COVID-19 pandemic.</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Compensation-Retirement Benefits-Defined Benefit Plans-General (Subtopic 715-20):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Framework-Changes to the Disclosure Requirements for Defined Benefit Plans</w:t>
      </w:r>
      <w:r>
        <w:rPr>
          <w:rFonts w:ascii="Arial" w:cs="Arial" w:eastAsia="Arial" w:hAnsi="Arial"/>
          <w:sz w:val="16"/>
          <w:szCs w:val="16"/>
          <w:color w:val="auto"/>
        </w:rPr>
        <w:t>. This guidance modifies the disclosure requirements for employers that</w:t>
      </w:r>
      <w:r>
        <w:rPr>
          <w:rFonts w:ascii="Arial" w:cs="Arial" w:eastAsia="Arial" w:hAnsi="Arial"/>
          <w:sz w:val="16"/>
          <w:szCs w:val="16"/>
          <w:i w:val="1"/>
          <w:iCs w:val="1"/>
          <w:color w:val="auto"/>
        </w:rPr>
        <w:t xml:space="preserve"> </w:t>
      </w:r>
      <w:r>
        <w:rPr>
          <w:rFonts w:ascii="Arial" w:cs="Arial" w:eastAsia="Arial" w:hAnsi="Arial"/>
          <w:sz w:val="16"/>
          <w:szCs w:val="16"/>
          <w:color w:val="auto"/>
        </w:rPr>
        <w:t>sponsor defined benefit pension or other postretirement plans, including removing certain previous disclosure requirements, adding certain new disclosure requirements, and clarifying certain other disclosure requirements. The ASU is effective for fiscal years beginning after December 15, 2020, including interim periods within those fiscal years. Early adoption was permitted. The Company adopted this guidance during the year ended December 31, 2020. The adoption of this guidance did not have a significant impact on the Company's consolidated financial statements and related disclosures.</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(Subtopic 350-40), relating to a customer's accounting for implementation, set-up, and other upfront costs incurred in a cloud computing arrangement that is hosted by a vendor (e.g., a service contract). Under this guidance, a customer will apply the same criteria for capitalizing implementation costs as it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ASU is effective for fiscal years, and interim periods within those fiscal years, beginning after December 15, 2019. The Company adopted this guidance on January 1, 2020 using a prospective transition method. The adoption of this guidance did not have a significant impact on the Company's consolidated financial statements and related disclosures.</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Simplifying the Accounting for Income Taxes,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This guidance also simplifies aspects of the accounting for franchise taxes and enacted changes in tax laws or rates and clarifies the accounting for transactions that result in a step-up in the tax basis of goodwill. The standard is effective for annual periods beginning after December 15, 2020 and interim periods within, with early adoption permitted. The Company adopted ASU No. 2019-12 as of January 1, 2021. Adoption of the standard requires certain changes to be made prospectively, with some changes to be made retrospectively. The adoption of this guidance did not have a material impact on the Company's results or financial position.</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which provides optional guidance for a limited period of time to ease the potential burden in accounting for (or recognizing the effects of) reference rate reform on financial reporting. This amendment applies to all entities, subject to meeting certain criteria, that have contracts, hedging relationships, and other transactions that reference London Inter-Bank Offered Rate ("LIBOR") or another reference rate expected to be discontinued because of reference rate reform. This ASU is effective immediately and may be applied prospectively to contract modifications made and hedging relationships entered into or evaluated on or before December 31, 2022. In January 2021, the FASB also issued ASU 2021-01, Reference Rate Reform- Scope which clarified certain optional expedients and exceptions to entities that are affected because of the reference rate reform. The amendments in this ASU affect the guidance in ASU No. 2020-04 and are effective in the same timeframe as ASU No. 2020-04. The Company is currently assessing the impact that this ASU will have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 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815-40)-Accounting for Convertible Instruments and Contracts in an Entity's Own Equity</w:t>
      </w:r>
      <w:r>
        <w:rPr>
          <w:rFonts w:ascii="Arial" w:cs="Arial" w:eastAsia="Arial" w:hAnsi="Arial"/>
          <w:sz w:val="17"/>
          <w:szCs w:val="17"/>
          <w:color w:val="auto"/>
        </w:rPr>
        <w:t>. The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simplifies accounting for convertible instruments by removing major 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The guidance also simplifies the diluted net income per share calculation in certain areas. The ASU will be effective for annual and interim periods beginning after December 15, 2021, and early adoption is permitted for fiscal years beginning after December 15, 2020, and interim periods within those fiscal years using either the modified retrospective or full retrospective method.</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detailed in Note 6 – </w:t>
      </w:r>
      <w:r>
        <w:rPr>
          <w:rFonts w:ascii="Arial" w:cs="Arial" w:eastAsia="Arial" w:hAnsi="Arial"/>
          <w:sz w:val="18"/>
          <w:szCs w:val="18"/>
          <w:i w:val="1"/>
          <w:iCs w:val="1"/>
          <w:color w:val="auto"/>
        </w:rPr>
        <w:t>Debt</w:t>
      </w:r>
      <w:r>
        <w:rPr>
          <w:rFonts w:ascii="Arial" w:cs="Arial" w:eastAsia="Arial" w:hAnsi="Arial"/>
          <w:sz w:val="18"/>
          <w:szCs w:val="18"/>
          <w:color w:val="auto"/>
        </w:rPr>
        <w:t>, on February 4, 2020, the Company issued $575.0 million aggregate principal amount of its 0.5% Convertible Senior Notes due 2025 (the "2025 Notes"). The 2025 Notes are subject to the guidance included in ASU 2020-06. The Company adopted this guidance on January 1, 2021 using the modified retrospective approach which resulted in a cumulative-effect adjustment that increased (decreased) the following consolidated balance sheet accounts: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ADJUSTMENT</w:t>
            </w:r>
          </w:p>
        </w:tc>
        <w:tc>
          <w:tcPr>
            <w:tcW w:w="3400" w:type="dxa"/>
            <w:vAlign w:val="bottom"/>
          </w:tcPr>
          <w:p>
            <w:pPr>
              <w:ind w:left="680"/>
              <w:spacing w:after="0"/>
              <w:rPr>
                <w:sz w:val="20"/>
                <w:szCs w:val="20"/>
                <w:color w:val="auto"/>
              </w:rPr>
            </w:pPr>
            <w:r>
              <w:rPr>
                <w:rFonts w:ascii="Arial" w:cs="Arial" w:eastAsia="Arial" w:hAnsi="Arial"/>
                <w:sz w:val="14"/>
                <w:szCs w:val="14"/>
                <w:b w:val="1"/>
                <w:bCs w:val="1"/>
                <w:color w:val="auto"/>
              </w:rPr>
              <w:t>CONSOLIDATED BALANCE SHEET</w:t>
            </w:r>
          </w:p>
        </w:tc>
        <w:tc>
          <w:tcPr>
            <w:tcW w:w="800" w:type="dxa"/>
            <w:vAlign w:val="bottom"/>
          </w:tcPr>
          <w:p>
            <w:pPr>
              <w:spacing w:after="0"/>
              <w:rPr>
                <w:sz w:val="14"/>
                <w:szCs w:val="14"/>
                <w:color w:val="auto"/>
              </w:rPr>
            </w:pPr>
          </w:p>
        </w:tc>
        <w:tc>
          <w:tcPr>
            <w:tcW w:w="2000" w:type="dxa"/>
            <w:vAlign w:val="bottom"/>
          </w:tcPr>
          <w:p>
            <w:pPr>
              <w:jc w:val="right"/>
              <w:ind w:right="85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4720" w:type="dxa"/>
            <w:vAlign w:val="bottom"/>
            <w:tcBorders>
              <w:bottom w:val="single" w:sz="8" w:color="auto"/>
            </w:tcBorders>
            <w:vMerge w:val="continue"/>
          </w:tcPr>
          <w:p>
            <w:pPr>
              <w:spacing w:after="0"/>
              <w:rPr>
                <w:sz w:val="16"/>
                <w:szCs w:val="16"/>
                <w:color w:val="auto"/>
              </w:rPr>
            </w:pPr>
          </w:p>
        </w:tc>
        <w:tc>
          <w:tcPr>
            <w:tcW w:w="340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CLASSIFICATION</w:t>
            </w:r>
          </w:p>
        </w:tc>
        <w:tc>
          <w:tcPr>
            <w:tcW w:w="8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impact of cumulative-effect adjustment</w:t>
            </w:r>
          </w:p>
        </w:tc>
        <w:tc>
          <w:tcPr>
            <w:tcW w:w="3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tax liabilities</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Debt discount reclassification</w:t>
            </w:r>
          </w:p>
        </w:tc>
        <w:tc>
          <w:tcPr>
            <w:tcW w:w="3400" w:type="dxa"/>
            <w:vAlign w:val="bottom"/>
          </w:tcPr>
          <w:p>
            <w:pPr>
              <w:ind w:left="80"/>
              <w:spacing w:after="0"/>
              <w:rPr>
                <w:sz w:val="20"/>
                <w:szCs w:val="20"/>
                <w:color w:val="auto"/>
              </w:rPr>
            </w:pPr>
            <w:r>
              <w:rPr>
                <w:rFonts w:ascii="Arial" w:cs="Arial" w:eastAsia="Arial" w:hAnsi="Arial"/>
                <w:sz w:val="18"/>
                <w:szCs w:val="18"/>
                <w:color w:val="auto"/>
              </w:rPr>
              <w:t>Long-term convertible securities</w:t>
            </w:r>
          </w:p>
        </w:tc>
        <w:tc>
          <w:tcPr>
            <w:tcW w:w="8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issuance costs reclassification</w:t>
            </w:r>
          </w:p>
        </w:tc>
        <w:tc>
          <w:tcPr>
            <w:tcW w:w="3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Long-term convertible securities</w:t>
            </w:r>
          </w:p>
        </w:tc>
        <w:tc>
          <w:tcPr>
            <w:tcW w:w="8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5"/>
        </w:trPr>
        <w:tc>
          <w:tcPr>
            <w:tcW w:w="4720" w:type="dxa"/>
            <w:vAlign w:val="bottom"/>
          </w:tcPr>
          <w:p>
            <w:pPr>
              <w:ind w:left="20"/>
              <w:spacing w:after="0" w:line="176" w:lineRule="exact"/>
              <w:rPr>
                <w:sz w:val="20"/>
                <w:szCs w:val="20"/>
                <w:color w:val="auto"/>
              </w:rPr>
            </w:pPr>
            <w:r>
              <w:rPr>
                <w:rFonts w:ascii="Arial" w:cs="Arial" w:eastAsia="Arial" w:hAnsi="Arial"/>
                <w:sz w:val="18"/>
                <w:szCs w:val="18"/>
                <w:color w:val="auto"/>
                <w:w w:val="92"/>
              </w:rPr>
              <w:t>Debt discount amortization and equity costs reclassification, net</w:t>
            </w:r>
          </w:p>
        </w:tc>
        <w:tc>
          <w:tcPr>
            <w:tcW w:w="3400" w:type="dxa"/>
            <w:vAlign w:val="bottom"/>
            <w:vMerge w:val="restart"/>
          </w:tcPr>
          <w:p>
            <w:pPr>
              <w:ind w:left="80"/>
              <w:spacing w:after="0"/>
              <w:rPr>
                <w:sz w:val="20"/>
                <w:szCs w:val="20"/>
                <w:color w:val="auto"/>
              </w:rPr>
            </w:pPr>
            <w:r>
              <w:rPr>
                <w:rFonts w:ascii="Arial" w:cs="Arial" w:eastAsia="Arial" w:hAnsi="Arial"/>
                <w:sz w:val="18"/>
                <w:szCs w:val="18"/>
                <w:color w:val="auto"/>
              </w:rPr>
              <w:t>Retained Earnings</w:t>
            </w:r>
          </w:p>
        </w:tc>
        <w:tc>
          <w:tcPr>
            <w:tcW w:w="800" w:type="dxa"/>
            <w:vAlign w:val="bottom"/>
          </w:tcPr>
          <w:p>
            <w:pPr>
              <w:spacing w:after="0"/>
              <w:rPr>
                <w:sz w:val="15"/>
                <w:szCs w:val="15"/>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of tax</w:t>
            </w:r>
          </w:p>
        </w:tc>
        <w:tc>
          <w:tcPr>
            <w:tcW w:w="340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2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impact of cumulative-effect adjustment</w:t>
            </w:r>
          </w:p>
        </w:tc>
        <w:tc>
          <w:tcPr>
            <w:tcW w:w="3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paid-in capital</w:t>
            </w:r>
          </w:p>
        </w:tc>
        <w:tc>
          <w:tcPr>
            <w:tcW w:w="8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adoption of this ASU No. 2020-06, the Company’s Convertible Senior Notes were reflected entirely as a liability since the embedded conversion feature will no longer be separately presented within stockholders’ equity. On December 9, 2020, the Company made an irrevocable election under the indenture to require the principal portion of its convertible senior notes to be settled in cash and any excess in shares. Following the irrevocable notice, only the amounts settled in excess of the principal will be considered in diluted earnings per share under the “if-converted” method. Additionally, from January 1, 2021, the Company is no longer incurring non-cash interest expense for the amortization of debt discount, therefore the interest expense for the 2025 Notes, which is included in the interest expense on the consolidated statements of operations and comprehensive loss, is lower as compared to the fiscal year of 2020.</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October 2020, the FASB issued ASU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which updates various codification topics by clarifying or improving disclosure requirements to align with the SEC’s regulations. The ASU will be effective for the Company for annual and interim periods beginning after beginning January 1, 2021. The Company adopted this standard on the January 1, 2021. The adoption of this guidance did not have a material impact on the Company's results, financial position or disclosures.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any significant effect on the Company's financial position, results of operations or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Extremity Orthopedics Business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January 4, 2021, the Company completed its previously announced sale of its Extremity Orthopedics business to Smith &amp; Nephew USD Limited ("Smith &amp; Nephew"). The transaction included the sale of the Company's upper and lower Extremity Orthopedics product portfolio, including ankle and shoulder arthroplasty and hand and wrist product lines. The Company received an aggregate purchase price of $240.0 million from Smith and Nephew and concurrently paid $41.5 million to the Consortium of Focused Orthopedists, LLC ("CFO") effectively terminating the licensing agreement between Integra and CFO relating to the development of shoulder arthroplasty products.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divested consisted of the following as of December 31, 2020 (amounts in thousands):</w:t>
      </w:r>
    </w:p>
    <w:p>
      <w:pPr>
        <w:spacing w:after="0" w:line="158" w:lineRule="exact"/>
        <w:rPr>
          <w:sz w:val="20"/>
          <w:szCs w:val="20"/>
          <w:color w:val="auto"/>
        </w:rPr>
      </w:pPr>
    </w:p>
    <w:tbl>
      <w:tblPr>
        <w:tblLayout w:type="fixed"/>
        <w:tblInd w:w="232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8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Right of use asset-operating leases and Other assets</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3,186</w:t>
            </w:r>
          </w:p>
        </w:tc>
      </w:tr>
      <w:tr>
        <w:trPr>
          <w:trHeight w:val="219"/>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8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Intangible assets, net</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13,332</w:t>
            </w:r>
          </w:p>
        </w:tc>
      </w:tr>
      <w:tr>
        <w:trPr>
          <w:trHeight w:val="219"/>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8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37,893</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Goodwill</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47,546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8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52,845</w:t>
            </w:r>
          </w:p>
        </w:tc>
      </w:tr>
      <w:tr>
        <w:trPr>
          <w:trHeight w:val="212"/>
        </w:trPr>
        <w:tc>
          <w:tcPr>
            <w:tcW w:w="5260" w:type="dxa"/>
            <w:vAlign w:val="bottom"/>
            <w:gridSpan w:val="2"/>
          </w:tcPr>
          <w:p>
            <w:pPr>
              <w:jc w:val="right"/>
              <w:ind w:right="704"/>
              <w:spacing w:after="0"/>
              <w:rPr>
                <w:sz w:val="20"/>
                <w:szCs w:val="20"/>
                <w:color w:val="auto"/>
              </w:rPr>
            </w:pPr>
            <w:r>
              <w:rPr>
                <w:rFonts w:ascii="Arial" w:cs="Arial" w:eastAsia="Arial" w:hAnsi="Arial"/>
                <w:sz w:val="16"/>
                <w:szCs w:val="16"/>
                <w:b w:val="1"/>
                <w:bCs w:val="1"/>
                <w:color w:val="auto"/>
              </w:rPr>
              <w:t xml:space="preserve">Total assets held for sale </w:t>
            </w: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162,104</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8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Current portion of lease liability - operating leases</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19"/>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8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8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3,440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Lease liability - operating leases</w:t>
            </w:r>
          </w:p>
        </w:tc>
        <w:tc>
          <w:tcPr>
            <w:tcW w:w="8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5,669</w:t>
            </w:r>
          </w:p>
        </w:tc>
      </w:tr>
      <w:tr>
        <w:trPr>
          <w:trHeight w:val="213"/>
        </w:trPr>
        <w:tc>
          <w:tcPr>
            <w:tcW w:w="5260" w:type="dxa"/>
            <w:vAlign w:val="bottom"/>
            <w:gridSpan w:val="2"/>
          </w:tcPr>
          <w:p>
            <w:pPr>
              <w:jc w:val="right"/>
              <w:ind w:right="704"/>
              <w:spacing w:after="0"/>
              <w:rPr>
                <w:sz w:val="20"/>
                <w:szCs w:val="20"/>
                <w:color w:val="auto"/>
              </w:rPr>
            </w:pPr>
            <w:r>
              <w:rPr>
                <w:rFonts w:ascii="Arial" w:cs="Arial" w:eastAsia="Arial" w:hAnsi="Arial"/>
                <w:sz w:val="16"/>
                <w:szCs w:val="16"/>
                <w:b w:val="1"/>
                <w:bCs w:val="1"/>
                <w:color w:val="auto"/>
              </w:rPr>
              <w:t xml:space="preserve">Total liabilities held for sale </w:t>
            </w: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11,751</w:t>
            </w:r>
          </w:p>
        </w:tc>
      </w:tr>
      <w:tr>
        <w:trPr>
          <w:trHeight w:val="21"/>
        </w:trPr>
        <w:tc>
          <w:tcPr>
            <w:tcW w:w="4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Divestiture does not represent a strategic shift that will have a major effect on the Company's operations and financial statements. Goodwill was allocated to the assets and liabilities divested using the relative fair value method of the Extremity Orthopedics business to the Company's Tissue Technologies reporting unit. The Company recognized a gain of $42.9 million in connection with the sale that is presented in Gain from the sale of business in the consolidated statement of operations for the three months ended March 31, 2021. The net proceeds are subject to adjustments based on changes in the actual closing net working capital.The purchase price is preliminary pending finalization of potential working capital adjustments.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entered into a transition services agreement ("TSA") with Smith &amp; Nephew which requires the Company to provide certain services on behalf of Smith &amp; Nephew for the duration of the period subsequent to the sale of the business as defined in the agreement. The Company recognized a payable due to Smith &amp; Nephew of $9.0 million, included in the consolidated balance sheet within accrued expenses and other current liabilities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ACell Inc. Acquisition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20, 2021, the Company acquired ACell Inc. (the "ACell Acquisition") for an acquisition purchase price of $305.4 million plus contingent consideration of up to $100 million, that may be payable upon achieving certain revenue-based performance milestones in 2022, 2023 and 2025</w:t>
      </w:r>
      <w:r>
        <w:rPr>
          <w:rFonts w:ascii="Arial" w:cs="Arial" w:eastAsia="Arial" w:hAnsi="Arial"/>
          <w:sz w:val="18"/>
          <w:szCs w:val="18"/>
          <w:i w:val="1"/>
          <w:iCs w:val="1"/>
          <w:color w:val="auto"/>
        </w:rPr>
        <w:t>.</w:t>
      </w:r>
      <w:r>
        <w:rPr>
          <w:rFonts w:ascii="Arial" w:cs="Arial" w:eastAsia="Arial" w:hAnsi="Arial"/>
          <w:sz w:val="18"/>
          <w:szCs w:val="18"/>
          <w:color w:val="auto"/>
        </w:rPr>
        <w:t xml:space="preserve"> The purchase price is subject to adjustments based on changes in the actual closing net working capital. The consideration is preliminary pending finalization of potential working capital adjustments. ACell was a privately-held company that offered a portfolio of regenerative products for complex wound management, including developing and commercializing products based on MatriStem Urinary Bladder Matrix ("UBM"), a technology platform derived from porcine urinary bladder extracellular matrix.</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ACell Acquisition has been accounted for using the acquisition method of accounting. This method requires that assets acquired and liabilities assumed in a business combination are recognized at their fair values as of the acquisition date. As of March 31, 2021, certain amounts relating to the valuation of intangible assets and tax related matters have not been finalized. The finalization of these matters may result in changes to goodwill.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fair values of the assets acquired and liabilities assumed at the acquisition date: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7"/>
              </w:rPr>
              <w:t>Preliminary Valuation</w:t>
            </w:r>
          </w:p>
        </w:tc>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Weighted Average Life</w:t>
            </w:r>
          </w:p>
        </w:tc>
      </w:tr>
      <w:tr>
        <w:trPr>
          <w:trHeight w:val="188"/>
        </w:trPr>
        <w:tc>
          <w:tcPr>
            <w:tcW w:w="7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shd w:val="clear" w:color="auto" w:fill="CCEEFF"/>
          </w:tcPr>
          <w:p>
            <w:pPr>
              <w:spacing w:after="0"/>
              <w:rPr>
                <w:sz w:val="16"/>
                <w:szCs w:val="16"/>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520" w:type="dxa"/>
            <w:vAlign w:val="bottom"/>
            <w:shd w:val="clear" w:color="auto" w:fill="CCEEFF"/>
          </w:tcPr>
          <w:p>
            <w:pPr>
              <w:spacing w:after="0"/>
              <w:rPr>
                <w:sz w:val="19"/>
                <w:szCs w:val="19"/>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8"/>
                <w:szCs w:val="18"/>
                <w:color w:val="auto"/>
              </w:rPr>
              <w:t>Trade accounts receivable,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16,469</w:t>
            </w:r>
          </w:p>
        </w:tc>
        <w:tc>
          <w:tcPr>
            <w:tcW w:w="1520" w:type="dxa"/>
            <w:vAlign w:val="bottom"/>
          </w:tcPr>
          <w:p>
            <w:pPr>
              <w:spacing w:after="0"/>
              <w:rPr>
                <w:sz w:val="19"/>
                <w:szCs w:val="19"/>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18,299</w:t>
            </w:r>
          </w:p>
        </w:tc>
        <w:tc>
          <w:tcPr>
            <w:tcW w:w="1520" w:type="dxa"/>
            <w:vAlign w:val="bottom"/>
            <w:shd w:val="clear" w:color="auto" w:fill="CCEEFF"/>
          </w:tcPr>
          <w:p>
            <w:pPr>
              <w:spacing w:after="0"/>
              <w:rPr>
                <w:sz w:val="19"/>
                <w:szCs w:val="19"/>
                <w:color w:val="auto"/>
              </w:rPr>
            </w:pPr>
          </w:p>
        </w:tc>
      </w:tr>
      <w:tr>
        <w:trPr>
          <w:trHeight w:val="229"/>
        </w:trPr>
        <w:tc>
          <w:tcPr>
            <w:tcW w:w="7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Prepaids expenses and other current assets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520" w:type="dxa"/>
            <w:vAlign w:val="bottom"/>
            <w:tcBorders>
              <w:bottom w:val="single" w:sz="8" w:color="CCEEFF"/>
            </w:tcBorders>
          </w:tcPr>
          <w:p>
            <w:pPr>
              <w:spacing w:after="0"/>
              <w:rPr>
                <w:sz w:val="19"/>
                <w:szCs w:val="19"/>
                <w:color w:val="auto"/>
              </w:rPr>
            </w:pPr>
          </w:p>
        </w:tc>
      </w:tr>
      <w:tr>
        <w:trPr>
          <w:trHeight w:val="223"/>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38,992</w:t>
            </w:r>
          </w:p>
        </w:tc>
        <w:tc>
          <w:tcPr>
            <w:tcW w:w="1520" w:type="dxa"/>
            <w:vAlign w:val="bottom"/>
            <w:shd w:val="clear" w:color="auto" w:fill="CCEEFF"/>
          </w:tcPr>
          <w:p>
            <w:pPr>
              <w:spacing w:after="0"/>
              <w:rPr>
                <w:sz w:val="19"/>
                <w:szCs w:val="19"/>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13,769</w:t>
            </w:r>
          </w:p>
        </w:tc>
        <w:tc>
          <w:tcPr>
            <w:tcW w:w="1520" w:type="dxa"/>
            <w:vAlign w:val="bottom"/>
          </w:tcPr>
          <w:p>
            <w:pPr>
              <w:spacing w:after="0"/>
              <w:rPr>
                <w:sz w:val="19"/>
                <w:szCs w:val="19"/>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15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13-14 years</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92,983</w:t>
            </w:r>
          </w:p>
        </w:tc>
        <w:tc>
          <w:tcPr>
            <w:tcW w:w="1520" w:type="dxa"/>
            <w:vAlign w:val="bottom"/>
          </w:tcPr>
          <w:p>
            <w:pPr>
              <w:spacing w:after="0"/>
              <w:rPr>
                <w:sz w:val="19"/>
                <w:szCs w:val="19"/>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 - operating leases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1520" w:type="dxa"/>
            <w:vAlign w:val="bottom"/>
            <w:shd w:val="clear" w:color="auto" w:fill="CCEEFF"/>
          </w:tcPr>
          <w:p>
            <w:pPr>
              <w:spacing w:after="0"/>
              <w:rPr>
                <w:sz w:val="19"/>
                <w:szCs w:val="19"/>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9,768</w:t>
            </w:r>
          </w:p>
        </w:tc>
        <w:tc>
          <w:tcPr>
            <w:tcW w:w="1520" w:type="dxa"/>
            <w:vAlign w:val="bottom"/>
          </w:tcPr>
          <w:p>
            <w:pPr>
              <w:spacing w:after="0"/>
              <w:rPr>
                <w:sz w:val="19"/>
                <w:szCs w:val="19"/>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520" w:type="dxa"/>
            <w:vAlign w:val="bottom"/>
            <w:shd w:val="clear" w:color="auto" w:fill="CCEEFF"/>
          </w:tcPr>
          <w:p>
            <w:pPr>
              <w:spacing w:after="0"/>
              <w:rPr>
                <w:sz w:val="19"/>
                <w:szCs w:val="19"/>
                <w:color w:val="auto"/>
              </w:rPr>
            </w:pP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Total assets acquired</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409,919</w:t>
            </w:r>
          </w:p>
        </w:tc>
        <w:tc>
          <w:tcPr>
            <w:tcW w:w="1520" w:type="dxa"/>
            <w:vAlign w:val="bottom"/>
          </w:tcPr>
          <w:p>
            <w:pPr>
              <w:spacing w:after="0"/>
              <w:rPr>
                <w:sz w:val="19"/>
                <w:szCs w:val="19"/>
                <w:color w:val="auto"/>
              </w:rPr>
            </w:pPr>
          </w:p>
        </w:tc>
      </w:tr>
      <w:tr>
        <w:trPr>
          <w:trHeight w:val="216"/>
        </w:trPr>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520" w:type="dxa"/>
            <w:vAlign w:val="bottom"/>
            <w:shd w:val="clear" w:color="auto" w:fill="CCEEFF"/>
          </w:tcPr>
          <w:p>
            <w:pPr>
              <w:spacing w:after="0"/>
              <w:rPr>
                <w:sz w:val="19"/>
                <w:szCs w:val="19"/>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6,227</w:t>
            </w:r>
          </w:p>
        </w:tc>
        <w:tc>
          <w:tcPr>
            <w:tcW w:w="1520" w:type="dxa"/>
            <w:vAlign w:val="bottom"/>
          </w:tcPr>
          <w:p>
            <w:pPr>
              <w:spacing w:after="0"/>
              <w:rPr>
                <w:sz w:val="19"/>
                <w:szCs w:val="19"/>
                <w:color w:val="auto"/>
              </w:rPr>
            </w:pP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lease liability - operating leases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520" w:type="dxa"/>
            <w:vAlign w:val="bottom"/>
            <w:shd w:val="clear" w:color="auto" w:fill="CCEEFF"/>
          </w:tcPr>
          <w:p>
            <w:pPr>
              <w:spacing w:after="0"/>
              <w:rPr>
                <w:sz w:val="19"/>
                <w:szCs w:val="19"/>
                <w:color w:val="auto"/>
              </w:rPr>
            </w:pPr>
          </w:p>
        </w:tc>
      </w:tr>
      <w:tr>
        <w:trPr>
          <w:trHeight w:val="223"/>
        </w:trPr>
        <w:tc>
          <w:tcPr>
            <w:tcW w:w="794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8,618</w:t>
            </w:r>
          </w:p>
        </w:tc>
        <w:tc>
          <w:tcPr>
            <w:tcW w:w="1520" w:type="dxa"/>
            <w:vAlign w:val="bottom"/>
          </w:tcPr>
          <w:p>
            <w:pPr>
              <w:spacing w:after="0"/>
              <w:rPr>
                <w:sz w:val="19"/>
                <w:szCs w:val="19"/>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liability</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520" w:type="dxa"/>
            <w:vAlign w:val="bottom"/>
            <w:shd w:val="clear" w:color="auto" w:fill="CCEEFF"/>
          </w:tcPr>
          <w:p>
            <w:pPr>
              <w:spacing w:after="0"/>
              <w:rPr>
                <w:sz w:val="19"/>
                <w:szCs w:val="19"/>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Lease liability - operating leases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7,585</w:t>
            </w:r>
          </w:p>
        </w:tc>
        <w:tc>
          <w:tcPr>
            <w:tcW w:w="1520" w:type="dxa"/>
            <w:vAlign w:val="bottom"/>
          </w:tcPr>
          <w:p>
            <w:pPr>
              <w:spacing w:after="0"/>
              <w:rPr>
                <w:sz w:val="19"/>
                <w:szCs w:val="19"/>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64,178</w:t>
            </w:r>
          </w:p>
        </w:tc>
        <w:tc>
          <w:tcPr>
            <w:tcW w:w="1520" w:type="dxa"/>
            <w:vAlign w:val="bottom"/>
            <w:shd w:val="clear" w:color="auto" w:fill="CCEEFF"/>
          </w:tcPr>
          <w:p>
            <w:pPr>
              <w:spacing w:after="0"/>
              <w:rPr>
                <w:sz w:val="19"/>
                <w:szCs w:val="19"/>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23,900</w:t>
            </w:r>
          </w:p>
        </w:tc>
        <w:tc>
          <w:tcPr>
            <w:tcW w:w="1520" w:type="dxa"/>
            <w:vAlign w:val="bottom"/>
            <w:tcBorders>
              <w:bottom w:val="single" w:sz="8" w:color="CCEEFF"/>
            </w:tcBorders>
          </w:tcPr>
          <w:p>
            <w:pPr>
              <w:spacing w:after="0"/>
              <w:rPr>
                <w:sz w:val="19"/>
                <w:szCs w:val="19"/>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assumed</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104,557</w:t>
            </w:r>
          </w:p>
        </w:tc>
        <w:tc>
          <w:tcPr>
            <w:tcW w:w="1520" w:type="dxa"/>
            <w:vAlign w:val="bottom"/>
            <w:shd w:val="clear" w:color="auto" w:fill="CCEEFF"/>
          </w:tcPr>
          <w:p>
            <w:pPr>
              <w:spacing w:after="0"/>
              <w:rPr>
                <w:sz w:val="19"/>
                <w:szCs w:val="19"/>
                <w:color w:val="auto"/>
              </w:rPr>
            </w:pPr>
          </w:p>
        </w:tc>
      </w:tr>
      <w:tr>
        <w:trPr>
          <w:trHeight w:val="216"/>
        </w:trPr>
        <w:tc>
          <w:tcPr>
            <w:tcW w:w="79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305,362</w:t>
            </w:r>
          </w:p>
        </w:tc>
        <w:tc>
          <w:tcPr>
            <w:tcW w:w="1520" w:type="dxa"/>
            <w:vAlign w:val="bottom"/>
            <w:tcBorders>
              <w:bottom w:val="single" w:sz="8" w:color="CCEEFF"/>
            </w:tcBorders>
            <w:shd w:val="clear" w:color="auto" w:fill="CCEEFF"/>
          </w:tcPr>
          <w:p>
            <w:pPr>
              <w:spacing w:after="0"/>
              <w:rPr>
                <w:sz w:val="21"/>
                <w:szCs w:val="2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estimated fair value of the developed technology acquired was determined using the multi-period excess earnings method of the income approach, which estimates value based on the present value of future economic benefits. Some of the more significant assumptions inherent in the development of those asset valuations include the estimated net cash flows for each year for each product including net revenues, cost of sales, R&amp;D costs, selling and marketing costs, working capital, and contributory asset charges, the appropriate discount rate to select in order to measure the risk inherent in each future cash flow stream, the assessment of each asset’s life cycle, and competitive trends impacting the asset and each cash flow stream.</w:t>
      </w:r>
    </w:p>
    <w:p>
      <w:pPr>
        <w:spacing w:after="0" w:line="2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used a discount rate of 8.5%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allocated goodwill related to the ACell Acquisition to the Tissue Technologies segment. Goodwill is the excess of the consideration transferred over the net assets recognized and represents the expected synergies of the combined company and assembled workforce. Goodwill recognized as a result of this acquisition is non-deductible for income tax purposes.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the acquisition, the Company is required to pay the former shareholders of ACell up to $100 million based on the achievement of certain revenue-based performance milestones in 2022, 2023, and 2025. The Company used iterations of the Monte Carlo simulation to calculate the fair value of the contingent consideration that considered the possible outcomes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scenarios related to each specific milestone. The Company estimated the fair value of the contingent consideration to be $23.9 million at the acquisition date.</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determines the acquisition date fair value of contingent consideration obligations using a Monte Carlo simulation, as well as significant unobservable inputs, reflecting the Company’s assessment of the assumptions market participants would use to value these liabilities. The fair value measurement is based on significant inputs not observable in the market and thus represents a Level 3 measurement as defined using the fair value concepts in ASC 820. The resultant most likely payouts are discounted using an appropriate effective annual interest rate. At each reporting date, the contingent consideration obligation will be revalued to estimated fair value and changes in fair value will be reflected as income or expense in our consolidated statement of operations. Changes in the fair value of the contingent considerations may result from changes in discount periods and rates and changes in the timing and amount of revenue estimates. Adverse changes in assumptions utilized in the contingent consideration fair value estimates could result in an increase in the contingent consideration obligation and a corresponding charge to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 forma revenues for the three months ended March 31, 2021 and 2020 were $364.7 million and $377.3 million, respectively. Pro forma net income and earnings per share are not presented for this acquisition as they are not material.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Accounting Policies on Revenue Recognition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performance obligations consist mainly of transferring control of goods and services identified in the contracts, purchase orders, or invoices. The Company has no significant multi-element contracts with customers.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Usage-based royalties and licenses are estimated based on the provisions of contracts with customers and recognized in the same period that the royalty-based products are sold by the Company and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ninety days.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 and Liability</w:t>
      </w:r>
    </w:p>
    <w:p>
      <w:pPr>
        <w:spacing w:after="0" w:line="1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contract asset and liability balances for the three months ended March 31, 2021:</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0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Contract Asset</w:t>
            </w:r>
          </w:p>
        </w:tc>
        <w:tc>
          <w:tcPr>
            <w:tcW w:w="8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7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rPr>
              <w:t>Contract asset, January 1, 2021</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020" w:type="dxa"/>
            <w:vAlign w:val="bottom"/>
            <w:gridSpan w:val="3"/>
            <w:shd w:val="clear" w:color="auto" w:fill="CCEEFF"/>
          </w:tcPr>
          <w:p>
            <w:pPr>
              <w:ind w:left="440"/>
              <w:spacing w:after="0" w:line="176" w:lineRule="exact"/>
              <w:rPr>
                <w:sz w:val="20"/>
                <w:szCs w:val="20"/>
                <w:color w:val="auto"/>
              </w:rPr>
            </w:pPr>
            <w:r>
              <w:rPr>
                <w:rFonts w:ascii="Arial" w:cs="Arial" w:eastAsia="Arial" w:hAnsi="Arial"/>
                <w:sz w:val="18"/>
                <w:szCs w:val="18"/>
                <w:color w:val="auto"/>
              </w:rPr>
              <w:t>Transferred to trade receivable of contract asset included</w:t>
            </w:r>
          </w:p>
        </w:tc>
        <w:tc>
          <w:tcPr>
            <w:tcW w:w="8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in beginning of the year contract asset</w:t>
            </w:r>
          </w:p>
        </w:tc>
        <w:tc>
          <w:tcPr>
            <w:tcW w:w="8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02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Contract asset, net of transferred to trade receivables on contracts during the period</w:t>
            </w:r>
          </w:p>
        </w:tc>
        <w:tc>
          <w:tcPr>
            <w:tcW w:w="8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Contract asset, March 31, 2021</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04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rPr>
              <w:t>Contract Liability</w:t>
            </w:r>
          </w:p>
        </w:tc>
        <w:tc>
          <w:tcPr>
            <w:tcW w:w="8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77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rPr>
              <w:t>Contract liability, January 1, 2021</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11,961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Recognition of revenue included in beginning of year contract liability</w:t>
            </w:r>
          </w:p>
        </w:tc>
        <w:tc>
          <w:tcPr>
            <w:tcW w:w="8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3"/>
          </w:tcPr>
          <w:p>
            <w:pPr>
              <w:ind w:left="440"/>
              <w:spacing w:after="0"/>
              <w:rPr>
                <w:sz w:val="20"/>
                <w:szCs w:val="20"/>
                <w:color w:val="auto"/>
              </w:rPr>
            </w:pPr>
            <w:r>
              <w:rPr>
                <w:rFonts w:ascii="Arial" w:cs="Arial" w:eastAsia="Arial" w:hAnsi="Arial"/>
                <w:sz w:val="18"/>
                <w:szCs w:val="18"/>
                <w:color w:val="auto"/>
              </w:rPr>
              <w:t>Contract liability, net of revenue recognized on contracts during the period</w:t>
            </w:r>
          </w:p>
        </w:tc>
        <w:tc>
          <w:tcPr>
            <w:tcW w:w="8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Foreign currency translation</w:t>
            </w:r>
          </w:p>
        </w:tc>
        <w:tc>
          <w:tcPr>
            <w:tcW w:w="8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3"/>
          </w:tcPr>
          <w:p>
            <w:pPr>
              <w:ind w:left="200"/>
              <w:spacing w:after="0"/>
              <w:rPr>
                <w:sz w:val="20"/>
                <w:szCs w:val="20"/>
                <w:color w:val="auto"/>
              </w:rPr>
            </w:pPr>
            <w:r>
              <w:rPr>
                <w:rFonts w:ascii="Arial" w:cs="Arial" w:eastAsia="Arial" w:hAnsi="Arial"/>
                <w:sz w:val="18"/>
                <w:szCs w:val="18"/>
                <w:color w:val="auto"/>
              </w:rPr>
              <w:t>Contract liability, March 31, 2021</w:t>
            </w:r>
          </w:p>
        </w:tc>
        <w:tc>
          <w:tcPr>
            <w:tcW w:w="8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2021, the short-term portion of the contract liability of $5.4 million and the long-term portion of $6.5 million were included in accrued expenses and other current liabilities and other liabilities in the consolidated balance sheet.</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 Company is expected to recognize approximately 46% of unsatisfied (or partially unsatisfied) performance obligations as revenue through 2021, with the remaining balance to be recognized in 2022 and thereafter.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w:t>
      </w:r>
      <w:r>
        <w:rPr>
          <w:rFonts w:ascii="Arial" w:cs="Arial" w:eastAsia="Arial" w:hAnsi="Arial"/>
          <w:sz w:val="18"/>
          <w:szCs w:val="18"/>
          <w:u w:val="single" w:color="auto"/>
          <w:color w:val="auto"/>
        </w:rPr>
        <w: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Collected from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revenues disaggregated by the major sources of revenues for the three months ended March 31, 2021 and 2020 (amounts 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Three Months Ended</w:t>
            </w:r>
          </w:p>
        </w:tc>
        <w:tc>
          <w:tcPr>
            <w:tcW w:w="184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Three Months Ended March</w:t>
            </w:r>
          </w:p>
        </w:tc>
      </w:tr>
      <w:tr>
        <w:trPr>
          <w:trHeight w:val="188"/>
        </w:trPr>
        <w:tc>
          <w:tcPr>
            <w:tcW w:w="7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March 31, 2021</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31, 2020</w:t>
            </w:r>
          </w:p>
        </w:tc>
      </w:tr>
      <w:tr>
        <w:trPr>
          <w:trHeight w:val="197"/>
        </w:trPr>
        <w:tc>
          <w:tcPr>
            <w:tcW w:w="7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Neurosurgery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189,254</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184,943</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51,987</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46,497</w:t>
            </w: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Total Codman Specialty Surgical</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241,241</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231,440</w:t>
            </w:r>
          </w:p>
        </w:tc>
      </w:tr>
      <w:tr>
        <w:trPr>
          <w:trHeight w:val="216"/>
        </w:trPr>
        <w:tc>
          <w:tcPr>
            <w:tcW w:w="7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680" w:type="dxa"/>
            <w:vAlign w:val="bottom"/>
          </w:tcPr>
          <w:p>
            <w:pPr>
              <w:ind w:left="20"/>
              <w:spacing w:after="0" w:line="230" w:lineRule="exact"/>
              <w:rPr>
                <w:sz w:val="20"/>
                <w:szCs w:val="20"/>
                <w:color w:val="auto"/>
              </w:rPr>
            </w:pPr>
            <w:r>
              <w:rPr>
                <w:rFonts w:ascii="Arial" w:cs="Arial" w:eastAsia="Arial" w:hAnsi="Arial"/>
                <w:sz w:val="18"/>
                <w:szCs w:val="18"/>
                <w:color w:val="auto"/>
              </w:rPr>
              <w:t>Wound Reconstruction and Care</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88,698</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72,267</w:t>
            </w:r>
          </w:p>
        </w:tc>
      </w:tr>
      <w:tr>
        <w:trPr>
          <w:trHeight w:val="229"/>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Extremity Orthopedics</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21,472</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 Label</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30,132</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29,145</w:t>
            </w:r>
          </w:p>
        </w:tc>
      </w:tr>
      <w:tr>
        <w:trPr>
          <w:trHeight w:val="223"/>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Tissue Technologies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118,830</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122,884</w:t>
            </w: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360,071</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354,324</w:t>
            </w: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20" w:firstLine="8"/>
        <w:spacing w:after="0" w:line="269" w:lineRule="auto"/>
        <w:tabs>
          <w:tab w:leader="none" w:pos="181"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 xml:space="preserve">On January 4, 2021, the Company completed its previously announced sale of its Extremity Orthopedics business to Smith &amp; Nephew USD Limited. In conjunction with the sale of this business, the Company rebranded the Orthopedics and Tissue Technologies segment as Tissue Technologies in the first quarter of 2021. See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xml:space="preserve"> for details.</w:t>
      </w:r>
    </w:p>
    <w:p>
      <w:pPr>
        <w:spacing w:after="0" w:line="142"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On January 20, 2021, the Company acquired ACell Inc. for an acquisition purchase price of $305.4 million plus contingent consideration of up to</w:t>
      </w:r>
    </w:p>
    <w:p>
      <w:pPr>
        <w:spacing w:after="0" w:line="2"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$100 million, that may be payable upon achieving certain revenue-based performance milestones in 2022, 2023 and 2025</w:t>
      </w:r>
      <w:r>
        <w:rPr>
          <w:rFonts w:ascii="Arial" w:cs="Arial" w:eastAsia="Arial" w:hAnsi="Arial"/>
          <w:sz w:val="18"/>
          <w:szCs w:val="18"/>
          <w:i w:val="1"/>
          <w:iCs w:val="1"/>
          <w:color w:val="auto"/>
        </w:rPr>
        <w:t>.</w:t>
      </w:r>
      <w:r>
        <w:rPr>
          <w:rFonts w:ascii="Arial" w:cs="Arial" w:eastAsia="Arial" w:hAnsi="Arial"/>
          <w:sz w:val="18"/>
          <w:szCs w:val="18"/>
          <w:color w:val="auto"/>
        </w:rPr>
        <w:t xml:space="preserve">See Note 2. </w:t>
      </w:r>
      <w:r>
        <w:rPr>
          <w:rFonts w:ascii="Arial" w:cs="Arial" w:eastAsia="Arial" w:hAnsi="Arial"/>
          <w:sz w:val="18"/>
          <w:szCs w:val="18"/>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for details.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b w:val="1"/>
                <w:bCs w:val="1"/>
                <w:color w:val="auto"/>
                <w:w w:val="98"/>
              </w:rPr>
              <w:t>December 31, 2020</w:t>
            </w:r>
          </w:p>
        </w:tc>
      </w:tr>
      <w:tr>
        <w:trPr>
          <w:trHeight w:val="181"/>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80" w:type="dxa"/>
            <w:vAlign w:val="bottom"/>
            <w:gridSpan w:val="3"/>
          </w:tcPr>
          <w:p>
            <w:pPr>
              <w:jc w:val="right"/>
              <w:ind w:right="1294"/>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191,712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180,301</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57,173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53,336</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79,164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76,480</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Total inventories,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328,049</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310,117</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At December 31, 2020, $52.8 million of inventories, net was presented separately as "Assets held for sale" in conjunction with the sale of the Extremity Orthopedics business. Further, the increase in inventory at March 31, 2021 as compared to the year ended December 31, 2020, was primarily driven from the inventory acquired in conjunction with the ACell Inc. acquisition. See Note 2,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for details.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three-month period ended March 31, 2021 were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560" w:type="dxa"/>
            <w:vAlign w:val="bottom"/>
            <w:gridSpan w:val="3"/>
          </w:tcPr>
          <w:p>
            <w:pPr>
              <w:ind w:left="40"/>
              <w:spacing w:after="0"/>
              <w:rPr>
                <w:sz w:val="20"/>
                <w:szCs w:val="20"/>
                <w:color w:val="auto"/>
              </w:rPr>
            </w:pPr>
            <w:r>
              <w:rPr>
                <w:rFonts w:ascii="Arial" w:cs="Arial" w:eastAsia="Arial" w:hAnsi="Arial"/>
                <w:sz w:val="17"/>
                <w:szCs w:val="17"/>
                <w:b w:val="1"/>
                <w:bCs w:val="1"/>
                <w:color w:val="auto"/>
              </w:rPr>
              <w:t>Codman Specialty</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Tissue</w:t>
            </w:r>
          </w:p>
        </w:tc>
        <w:tc>
          <w:tcPr>
            <w:tcW w:w="320" w:type="dxa"/>
            <w:vAlign w:val="bottom"/>
          </w:tcPr>
          <w:p>
            <w:pPr>
              <w:spacing w:after="0"/>
              <w:rPr>
                <w:sz w:val="16"/>
                <w:szCs w:val="16"/>
                <w:color w:val="auto"/>
              </w:rPr>
            </w:pPr>
          </w:p>
        </w:tc>
        <w:tc>
          <w:tcPr>
            <w:tcW w:w="1120" w:type="dxa"/>
            <w:vAlign w:val="bottom"/>
            <w:vMerge w:val="restart"/>
          </w:tcPr>
          <w:p>
            <w:pPr>
              <w:jc w:val="right"/>
              <w:ind w:right="45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Surgical</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85"/>
              </w:rPr>
              <w:t>Technologies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(In thousands)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at December 31, 2020</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671,975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260,392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932,367</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7"/>
                <w:szCs w:val="17"/>
                <w:color w:val="auto"/>
              </w:rPr>
              <w:t>ACell Acquisition</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92,983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92,983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(15,278)</w:t>
            </w: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7"/>
                <w:szCs w:val="17"/>
                <w:color w:val="auto"/>
              </w:rPr>
              <w:t>Goodwill at March 31, 2021</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661,962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348,110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1,010,072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7"/>
                <w:szCs w:val="17"/>
                <w:b w:val="1"/>
                <w:bCs w:val="1"/>
                <w:color w:val="auto"/>
                <w:w w:val="94"/>
              </w:rPr>
              <w:t>March 31, 2021</w:t>
            </w:r>
          </w:p>
        </w:tc>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jc w:val="center"/>
              <w:ind w:right="135"/>
              <w:spacing w:after="0" w:line="158" w:lineRule="exact"/>
              <w:rPr>
                <w:sz w:val="20"/>
                <w:szCs w:val="20"/>
                <w:color w:val="auto"/>
              </w:rPr>
            </w:pPr>
            <w:r>
              <w:rPr>
                <w:rFonts w:ascii="Arial" w:cs="Arial" w:eastAsia="Arial" w:hAnsi="Arial"/>
                <w:sz w:val="17"/>
                <w:szCs w:val="17"/>
                <w:b w:val="1"/>
                <w:bCs w:val="1"/>
                <w:color w:val="auto"/>
                <w:w w:val="91"/>
              </w:rPr>
              <w:t>Weighted</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3"/>
            <w:vMerge w:val="restart"/>
          </w:tcPr>
          <w:p>
            <w:pPr>
              <w:ind w:left="180"/>
              <w:spacing w:after="0"/>
              <w:rPr>
                <w:sz w:val="20"/>
                <w:szCs w:val="20"/>
                <w:color w:val="auto"/>
              </w:rPr>
            </w:pPr>
            <w:r>
              <w:rPr>
                <w:rFonts w:ascii="Arial" w:cs="Arial" w:eastAsia="Arial" w:hAnsi="Arial"/>
                <w:sz w:val="17"/>
                <w:szCs w:val="17"/>
                <w:b w:val="1"/>
                <w:bCs w:val="1"/>
                <w:color w:val="auto"/>
              </w:rPr>
              <w:t>Accumulated</w:t>
            </w: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jc w:val="center"/>
              <w:ind w:right="155"/>
              <w:spacing w:after="0" w:line="162" w:lineRule="exact"/>
              <w:rPr>
                <w:sz w:val="20"/>
                <w:szCs w:val="20"/>
                <w:color w:val="auto"/>
              </w:rPr>
            </w:pPr>
            <w:r>
              <w:rPr>
                <w:rFonts w:ascii="Arial" w:cs="Arial" w:eastAsia="Arial" w:hAnsi="Arial"/>
                <w:sz w:val="17"/>
                <w:szCs w:val="17"/>
                <w:b w:val="1"/>
                <w:bCs w:val="1"/>
                <w:color w:val="auto"/>
                <w:w w:val="89"/>
              </w:rPr>
              <w:t>Average</w:t>
            </w:r>
          </w:p>
        </w:tc>
        <w:tc>
          <w:tcPr>
            <w:tcW w:w="40" w:type="dxa"/>
            <w:vAlign w:val="bottom"/>
          </w:tcPr>
          <w:p>
            <w:pPr>
              <w:spacing w:after="0"/>
              <w:rPr>
                <w:sz w:val="14"/>
                <w:szCs w:val="14"/>
                <w:color w:val="auto"/>
              </w:rPr>
            </w:pPr>
          </w:p>
        </w:tc>
        <w:tc>
          <w:tcPr>
            <w:tcW w:w="1580" w:type="dxa"/>
            <w:vAlign w:val="bottom"/>
            <w:gridSpan w:val="3"/>
            <w:vMerge w:val="restart"/>
          </w:tcPr>
          <w:p>
            <w:pPr>
              <w:ind w:left="480"/>
              <w:spacing w:after="0"/>
              <w:rPr>
                <w:sz w:val="20"/>
                <w:szCs w:val="20"/>
                <w:color w:val="auto"/>
              </w:rPr>
            </w:pPr>
            <w:r>
              <w:rPr>
                <w:rFonts w:ascii="Arial" w:cs="Arial" w:eastAsia="Arial" w:hAnsi="Arial"/>
                <w:sz w:val="17"/>
                <w:szCs w:val="17"/>
                <w:b w:val="1"/>
                <w:bCs w:val="1"/>
                <w:color w:val="auto"/>
              </w:rPr>
              <w:t>Cost</w:t>
            </w:r>
          </w:p>
        </w:tc>
        <w:tc>
          <w:tcPr>
            <w:tcW w:w="4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vMerge w:val="restart"/>
          </w:tcPr>
          <w:p>
            <w:pPr>
              <w:jc w:val="right"/>
              <w:ind w:right="475"/>
              <w:spacing w:after="0"/>
              <w:rPr>
                <w:sz w:val="20"/>
                <w:szCs w:val="20"/>
                <w:color w:val="auto"/>
              </w:rPr>
            </w:pPr>
            <w:r>
              <w:rPr>
                <w:rFonts w:ascii="Arial" w:cs="Arial" w:eastAsia="Arial" w:hAnsi="Arial"/>
                <w:sz w:val="17"/>
                <w:szCs w:val="17"/>
                <w:b w:val="1"/>
                <w:bCs w:val="1"/>
                <w:color w:val="auto"/>
              </w:rPr>
              <w:t>Net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9"/>
              </w:rPr>
              <w:t>Life</w:t>
            </w:r>
          </w:p>
        </w:tc>
        <w:tc>
          <w:tcPr>
            <w:tcW w:w="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160"/>
              <w:spacing w:after="0"/>
              <w:rPr>
                <w:sz w:val="20"/>
                <w:szCs w:val="20"/>
                <w:color w:val="auto"/>
              </w:rPr>
            </w:pPr>
            <w:r>
              <w:rPr>
                <w:rFonts w:ascii="Arial" w:cs="Arial" w:eastAsia="Arial" w:hAnsi="Arial"/>
                <w:sz w:val="17"/>
                <w:szCs w:val="17"/>
                <w:b w:val="1"/>
                <w:bCs w:val="1"/>
                <w:color w:val="auto"/>
              </w:rPr>
              <w:t>Amortization</w:t>
            </w: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7"/>
          </w:tcPr>
          <w:p>
            <w:pPr>
              <w:jc w:val="center"/>
              <w:ind w:right="200"/>
              <w:spacing w:after="0"/>
              <w:rPr>
                <w:sz w:val="20"/>
                <w:szCs w:val="20"/>
                <w:color w:val="auto"/>
              </w:rPr>
            </w:pPr>
            <w:r>
              <w:rPr>
                <w:rFonts w:ascii="Arial" w:cs="Arial" w:eastAsia="Arial" w:hAnsi="Arial"/>
                <w:sz w:val="17"/>
                <w:szCs w:val="17"/>
                <w:b w:val="1"/>
                <w:bCs w:val="1"/>
                <w:color w:val="auto"/>
                <w:w w:val="90"/>
              </w:rPr>
              <w:t>(Dollars in thousands)</w:t>
            </w: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Completed technology</w:t>
            </w:r>
          </w:p>
        </w:tc>
        <w:tc>
          <w:tcPr>
            <w:tcW w:w="1560" w:type="dxa"/>
            <w:vAlign w:val="bottom"/>
            <w:shd w:val="clear" w:color="auto" w:fill="CCEEFF"/>
          </w:tcPr>
          <w:p>
            <w:pPr>
              <w:jc w:val="center"/>
              <w:ind w:right="135"/>
              <w:spacing w:after="0"/>
              <w:rPr>
                <w:sz w:val="20"/>
                <w:szCs w:val="20"/>
                <w:color w:val="auto"/>
              </w:rPr>
            </w:pPr>
            <w:r>
              <w:rPr>
                <w:rFonts w:ascii="Arial" w:cs="Arial" w:eastAsia="Arial" w:hAnsi="Arial"/>
                <w:sz w:val="17"/>
                <w:szCs w:val="17"/>
                <w:color w:val="auto"/>
                <w:w w:val="88"/>
              </w:rPr>
              <w:t>18 years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1,120,918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(257,360)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863,558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ind w:left="20"/>
              <w:spacing w:after="0"/>
              <w:rPr>
                <w:sz w:val="20"/>
                <w:szCs w:val="20"/>
                <w:color w:val="auto"/>
              </w:rPr>
            </w:pPr>
            <w:r>
              <w:rPr>
                <w:rFonts w:ascii="Arial" w:cs="Arial" w:eastAsia="Arial" w:hAnsi="Arial"/>
                <w:sz w:val="17"/>
                <w:szCs w:val="17"/>
                <w:color w:val="auto"/>
              </w:rPr>
              <w:t>Customer relationships</w:t>
            </w:r>
          </w:p>
        </w:tc>
        <w:tc>
          <w:tcPr>
            <w:tcW w:w="1560" w:type="dxa"/>
            <w:vAlign w:val="bottom"/>
          </w:tcPr>
          <w:p>
            <w:pPr>
              <w:jc w:val="center"/>
              <w:ind w:right="135"/>
              <w:spacing w:after="0"/>
              <w:rPr>
                <w:sz w:val="20"/>
                <w:szCs w:val="20"/>
                <w:color w:val="auto"/>
              </w:rPr>
            </w:pPr>
            <w:r>
              <w:rPr>
                <w:rFonts w:ascii="Arial" w:cs="Arial" w:eastAsia="Arial" w:hAnsi="Arial"/>
                <w:sz w:val="17"/>
                <w:szCs w:val="17"/>
                <w:color w:val="auto"/>
                <w:w w:val="88"/>
              </w:rPr>
              <w:t>12 years</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212,332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(134,794)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77,538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Trademarks/brand names</w:t>
            </w:r>
          </w:p>
        </w:tc>
        <w:tc>
          <w:tcPr>
            <w:tcW w:w="1560" w:type="dxa"/>
            <w:vAlign w:val="bottom"/>
            <w:shd w:val="clear" w:color="auto" w:fill="CCEEFF"/>
          </w:tcPr>
          <w:p>
            <w:pPr>
              <w:jc w:val="center"/>
              <w:ind w:right="135"/>
              <w:spacing w:after="0"/>
              <w:rPr>
                <w:sz w:val="20"/>
                <w:szCs w:val="20"/>
                <w:color w:val="auto"/>
              </w:rPr>
            </w:pPr>
            <w:r>
              <w:rPr>
                <w:rFonts w:ascii="Arial" w:cs="Arial" w:eastAsia="Arial" w:hAnsi="Arial"/>
                <w:sz w:val="17"/>
                <w:szCs w:val="17"/>
                <w:color w:val="auto"/>
                <w:w w:val="88"/>
              </w:rPr>
              <w:t>28 years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98,533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(28,862)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69,671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ind w:left="20"/>
              <w:spacing w:after="0"/>
              <w:rPr>
                <w:sz w:val="20"/>
                <w:szCs w:val="20"/>
                <w:color w:val="auto"/>
              </w:rPr>
            </w:pPr>
            <w:r>
              <w:rPr>
                <w:rFonts w:ascii="Arial" w:cs="Arial" w:eastAsia="Arial" w:hAnsi="Arial"/>
                <w:sz w:val="17"/>
                <w:szCs w:val="17"/>
                <w:color w:val="auto"/>
              </w:rPr>
              <w:t>Codman tradename</w:t>
            </w:r>
          </w:p>
        </w:tc>
        <w:tc>
          <w:tcPr>
            <w:tcW w:w="1560" w:type="dxa"/>
            <w:vAlign w:val="bottom"/>
          </w:tcPr>
          <w:p>
            <w:pPr>
              <w:jc w:val="center"/>
              <w:ind w:right="135"/>
              <w:spacing w:after="0"/>
              <w:rPr>
                <w:sz w:val="20"/>
                <w:szCs w:val="20"/>
                <w:color w:val="auto"/>
              </w:rPr>
            </w:pPr>
            <w:r>
              <w:rPr>
                <w:rFonts w:ascii="Arial" w:cs="Arial" w:eastAsia="Arial" w:hAnsi="Arial"/>
                <w:sz w:val="17"/>
                <w:szCs w:val="17"/>
                <w:color w:val="auto"/>
                <w:w w:val="95"/>
              </w:rPr>
              <w:t>Indefinite</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165,091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165,091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Supplier relationships</w:t>
            </w:r>
          </w:p>
        </w:tc>
        <w:tc>
          <w:tcPr>
            <w:tcW w:w="1560" w:type="dxa"/>
            <w:vAlign w:val="bottom"/>
            <w:shd w:val="clear" w:color="auto" w:fill="CCEEFF"/>
          </w:tcPr>
          <w:p>
            <w:pPr>
              <w:jc w:val="center"/>
              <w:ind w:right="135"/>
              <w:spacing w:after="0"/>
              <w:rPr>
                <w:sz w:val="20"/>
                <w:szCs w:val="20"/>
                <w:color w:val="auto"/>
              </w:rPr>
            </w:pPr>
            <w:r>
              <w:rPr>
                <w:rFonts w:ascii="Arial" w:cs="Arial" w:eastAsia="Arial" w:hAnsi="Arial"/>
                <w:sz w:val="17"/>
                <w:szCs w:val="17"/>
                <w:color w:val="auto"/>
                <w:w w:val="88"/>
              </w:rPr>
              <w:t>30 years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30,211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(15,447)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14,764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All other</w:t>
            </w:r>
          </w:p>
        </w:tc>
        <w:tc>
          <w:tcPr>
            <w:tcW w:w="1560" w:type="dxa"/>
            <w:vAlign w:val="bottom"/>
            <w:tcBorders>
              <w:bottom w:val="single" w:sz="8" w:color="CCEEFF"/>
            </w:tcBorders>
          </w:tcPr>
          <w:p>
            <w:pPr>
              <w:jc w:val="center"/>
              <w:ind w:right="135"/>
              <w:spacing w:after="0"/>
              <w:rPr>
                <w:sz w:val="20"/>
                <w:szCs w:val="20"/>
                <w:color w:val="auto"/>
              </w:rPr>
            </w:pPr>
            <w:r>
              <w:rPr>
                <w:rFonts w:ascii="Arial" w:cs="Arial" w:eastAsia="Arial" w:hAnsi="Arial"/>
                <w:sz w:val="17"/>
                <w:szCs w:val="17"/>
                <w:color w:val="auto"/>
                <w:w w:val="88"/>
              </w:rPr>
              <w:t>10 years</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6,813</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(3,754)</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3,059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1,633,898</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(440,217)</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1,193,681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7"/>
                <w:szCs w:val="17"/>
                <w:b w:val="1"/>
                <w:bCs w:val="1"/>
                <w:color w:val="auto"/>
                <w:w w:val="90"/>
              </w:rPr>
              <w:t>December 31, 2020</w:t>
            </w: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jc w:val="center"/>
              <w:ind w:right="135"/>
              <w:spacing w:after="0" w:line="158" w:lineRule="exact"/>
              <w:rPr>
                <w:sz w:val="20"/>
                <w:szCs w:val="20"/>
                <w:color w:val="auto"/>
              </w:rPr>
            </w:pPr>
            <w:r>
              <w:rPr>
                <w:rFonts w:ascii="Arial" w:cs="Arial" w:eastAsia="Arial" w:hAnsi="Arial"/>
                <w:sz w:val="17"/>
                <w:szCs w:val="17"/>
                <w:b w:val="1"/>
                <w:bCs w:val="1"/>
                <w:color w:val="auto"/>
                <w:w w:val="91"/>
              </w:rPr>
              <w:t>Weighted</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3"/>
            <w:vMerge w:val="restart"/>
          </w:tcPr>
          <w:p>
            <w:pPr>
              <w:ind w:left="220"/>
              <w:spacing w:after="0"/>
              <w:rPr>
                <w:sz w:val="20"/>
                <w:szCs w:val="20"/>
                <w:color w:val="auto"/>
              </w:rPr>
            </w:pPr>
            <w:r>
              <w:rPr>
                <w:rFonts w:ascii="Arial" w:cs="Arial" w:eastAsia="Arial" w:hAnsi="Arial"/>
                <w:sz w:val="17"/>
                <w:szCs w:val="17"/>
                <w:b w:val="1"/>
                <w:bCs w:val="1"/>
                <w:color w:val="auto"/>
              </w:rPr>
              <w:t>Accumulated</w:t>
            </w: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jc w:val="center"/>
              <w:ind w:right="155"/>
              <w:spacing w:after="0" w:line="162" w:lineRule="exact"/>
              <w:rPr>
                <w:sz w:val="20"/>
                <w:szCs w:val="20"/>
                <w:color w:val="auto"/>
              </w:rPr>
            </w:pPr>
            <w:r>
              <w:rPr>
                <w:rFonts w:ascii="Arial" w:cs="Arial" w:eastAsia="Arial" w:hAnsi="Arial"/>
                <w:sz w:val="17"/>
                <w:szCs w:val="17"/>
                <w:b w:val="1"/>
                <w:bCs w:val="1"/>
                <w:color w:val="auto"/>
                <w:w w:val="89"/>
              </w:rPr>
              <w:t>Average</w:t>
            </w:r>
          </w:p>
        </w:tc>
        <w:tc>
          <w:tcPr>
            <w:tcW w:w="40" w:type="dxa"/>
            <w:vAlign w:val="bottom"/>
          </w:tcPr>
          <w:p>
            <w:pPr>
              <w:spacing w:after="0"/>
              <w:rPr>
                <w:sz w:val="14"/>
                <w:szCs w:val="14"/>
                <w:color w:val="auto"/>
              </w:rPr>
            </w:pPr>
          </w:p>
        </w:tc>
        <w:tc>
          <w:tcPr>
            <w:tcW w:w="1580" w:type="dxa"/>
            <w:vAlign w:val="bottom"/>
            <w:gridSpan w:val="3"/>
            <w:vMerge w:val="restart"/>
          </w:tcPr>
          <w:p>
            <w:pPr>
              <w:ind w:left="520"/>
              <w:spacing w:after="0"/>
              <w:rPr>
                <w:sz w:val="20"/>
                <w:szCs w:val="20"/>
                <w:color w:val="auto"/>
              </w:rPr>
            </w:pPr>
            <w:r>
              <w:rPr>
                <w:rFonts w:ascii="Arial" w:cs="Arial" w:eastAsia="Arial" w:hAnsi="Arial"/>
                <w:sz w:val="17"/>
                <w:szCs w:val="17"/>
                <w:b w:val="1"/>
                <w:bCs w:val="1"/>
                <w:color w:val="auto"/>
              </w:rPr>
              <w:t>Cost</w:t>
            </w:r>
          </w:p>
        </w:tc>
        <w:tc>
          <w:tcPr>
            <w:tcW w:w="4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vMerge w:val="restart"/>
          </w:tcPr>
          <w:p>
            <w:pPr>
              <w:jc w:val="right"/>
              <w:ind w:right="455"/>
              <w:spacing w:after="0"/>
              <w:rPr>
                <w:sz w:val="20"/>
                <w:szCs w:val="20"/>
                <w:color w:val="auto"/>
              </w:rPr>
            </w:pPr>
            <w:r>
              <w:rPr>
                <w:rFonts w:ascii="Arial" w:cs="Arial" w:eastAsia="Arial" w:hAnsi="Arial"/>
                <w:sz w:val="17"/>
                <w:szCs w:val="17"/>
                <w:b w:val="1"/>
                <w:bCs w:val="1"/>
                <w:color w:val="auto"/>
              </w:rPr>
              <w:t>Net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9"/>
              </w:rPr>
              <w:t>Life</w:t>
            </w:r>
          </w:p>
        </w:tc>
        <w:tc>
          <w:tcPr>
            <w:tcW w:w="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b w:val="1"/>
                <w:bCs w:val="1"/>
                <w:color w:val="auto"/>
              </w:rPr>
              <w:t>Amortization</w:t>
            </w: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7"/>
          </w:tcPr>
          <w:p>
            <w:pPr>
              <w:jc w:val="center"/>
              <w:ind w:right="200"/>
              <w:spacing w:after="0"/>
              <w:rPr>
                <w:sz w:val="20"/>
                <w:szCs w:val="20"/>
                <w:color w:val="auto"/>
              </w:rPr>
            </w:pPr>
            <w:r>
              <w:rPr>
                <w:rFonts w:ascii="Arial" w:cs="Arial" w:eastAsia="Arial" w:hAnsi="Arial"/>
                <w:sz w:val="17"/>
                <w:szCs w:val="17"/>
                <w:b w:val="1"/>
                <w:bCs w:val="1"/>
                <w:color w:val="auto"/>
                <w:w w:val="90"/>
              </w:rPr>
              <w:t>(Dollars in thousands)</w:t>
            </w: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Completed technology</w:t>
            </w:r>
          </w:p>
        </w:tc>
        <w:tc>
          <w:tcPr>
            <w:tcW w:w="1560" w:type="dxa"/>
            <w:vAlign w:val="bottom"/>
            <w:shd w:val="clear" w:color="auto" w:fill="CCEEFF"/>
          </w:tcPr>
          <w:p>
            <w:pPr>
              <w:jc w:val="center"/>
              <w:ind w:right="135"/>
              <w:spacing w:after="0"/>
              <w:rPr>
                <w:sz w:val="20"/>
                <w:szCs w:val="20"/>
                <w:color w:val="auto"/>
              </w:rPr>
            </w:pPr>
            <w:r>
              <w:rPr>
                <w:rFonts w:ascii="Arial" w:cs="Arial" w:eastAsia="Arial" w:hAnsi="Arial"/>
                <w:sz w:val="17"/>
                <w:szCs w:val="17"/>
                <w:color w:val="auto"/>
                <w:w w:val="88"/>
              </w:rPr>
              <w:t>19 years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896,478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(248,088)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648,390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2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1560" w:type="dxa"/>
            <w:vAlign w:val="bottom"/>
          </w:tcPr>
          <w:p>
            <w:pPr>
              <w:jc w:val="center"/>
              <w:ind w:right="135"/>
              <w:spacing w:after="0"/>
              <w:rPr>
                <w:sz w:val="20"/>
                <w:szCs w:val="20"/>
                <w:color w:val="auto"/>
              </w:rPr>
            </w:pPr>
            <w:r>
              <w:rPr>
                <w:rFonts w:ascii="Arial" w:cs="Arial" w:eastAsia="Arial" w:hAnsi="Arial"/>
                <w:sz w:val="17"/>
                <w:szCs w:val="17"/>
                <w:color w:val="auto"/>
                <w:w w:val="88"/>
              </w:rPr>
              <w:t>12 years</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213,270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7"/>
                <w:szCs w:val="17"/>
                <w:color w:val="auto"/>
              </w:rPr>
              <w:t>(132,838)</w:t>
            </w: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80,432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Trademarks/brand names</w:t>
            </w:r>
          </w:p>
        </w:tc>
        <w:tc>
          <w:tcPr>
            <w:tcW w:w="1560" w:type="dxa"/>
            <w:vAlign w:val="bottom"/>
            <w:shd w:val="clear" w:color="auto" w:fill="CCEEFF"/>
          </w:tcPr>
          <w:p>
            <w:pPr>
              <w:jc w:val="center"/>
              <w:ind w:right="135"/>
              <w:spacing w:after="0"/>
              <w:rPr>
                <w:sz w:val="20"/>
                <w:szCs w:val="20"/>
                <w:color w:val="auto"/>
              </w:rPr>
            </w:pPr>
            <w:r>
              <w:rPr>
                <w:rFonts w:ascii="Arial" w:cs="Arial" w:eastAsia="Arial" w:hAnsi="Arial"/>
                <w:sz w:val="17"/>
                <w:szCs w:val="17"/>
                <w:color w:val="auto"/>
                <w:w w:val="88"/>
              </w:rPr>
              <w:t>28 years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104,209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(31,767)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72,442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20" w:type="dxa"/>
            <w:vAlign w:val="bottom"/>
            <w:gridSpan w:val="2"/>
          </w:tcPr>
          <w:p>
            <w:pPr>
              <w:ind w:left="20"/>
              <w:spacing w:after="0"/>
              <w:rPr>
                <w:sz w:val="20"/>
                <w:szCs w:val="20"/>
                <w:color w:val="auto"/>
              </w:rPr>
            </w:pPr>
            <w:r>
              <w:rPr>
                <w:rFonts w:ascii="Arial" w:cs="Arial" w:eastAsia="Arial" w:hAnsi="Arial"/>
                <w:sz w:val="17"/>
                <w:szCs w:val="17"/>
                <w:color w:val="auto"/>
              </w:rPr>
              <w:t>Codman tradename</w:t>
            </w:r>
          </w:p>
        </w:tc>
        <w:tc>
          <w:tcPr>
            <w:tcW w:w="1560" w:type="dxa"/>
            <w:vAlign w:val="bottom"/>
          </w:tcPr>
          <w:p>
            <w:pPr>
              <w:jc w:val="center"/>
              <w:ind w:right="135"/>
              <w:spacing w:after="0"/>
              <w:rPr>
                <w:sz w:val="20"/>
                <w:szCs w:val="20"/>
                <w:color w:val="auto"/>
              </w:rPr>
            </w:pPr>
            <w:r>
              <w:rPr>
                <w:rFonts w:ascii="Arial" w:cs="Arial" w:eastAsia="Arial" w:hAnsi="Arial"/>
                <w:sz w:val="17"/>
                <w:szCs w:val="17"/>
                <w:color w:val="auto"/>
                <w:w w:val="95"/>
              </w:rPr>
              <w:t>Indefinite</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170,226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170,226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Supplier relationships</w:t>
            </w:r>
          </w:p>
        </w:tc>
        <w:tc>
          <w:tcPr>
            <w:tcW w:w="1560" w:type="dxa"/>
            <w:vAlign w:val="bottom"/>
            <w:shd w:val="clear" w:color="auto" w:fill="CCEEFF"/>
          </w:tcPr>
          <w:p>
            <w:pPr>
              <w:jc w:val="center"/>
              <w:ind w:right="135"/>
              <w:spacing w:after="0"/>
              <w:rPr>
                <w:sz w:val="20"/>
                <w:szCs w:val="20"/>
                <w:color w:val="auto"/>
              </w:rPr>
            </w:pPr>
            <w:r>
              <w:rPr>
                <w:rFonts w:ascii="Arial" w:cs="Arial" w:eastAsia="Arial" w:hAnsi="Arial"/>
                <w:sz w:val="17"/>
                <w:szCs w:val="17"/>
                <w:color w:val="auto"/>
                <w:w w:val="88"/>
              </w:rPr>
              <w:t>27 years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30,211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(15,203)</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All other </w:t>
            </w:r>
            <w:r>
              <w:rPr>
                <w:rFonts w:ascii="Arial" w:cs="Arial" w:eastAsia="Arial" w:hAnsi="Arial"/>
                <w:sz w:val="22"/>
                <w:szCs w:val="22"/>
                <w:color w:val="auto"/>
                <w:vertAlign w:val="superscript"/>
              </w:rPr>
              <w:t>(1)</w:t>
            </w:r>
          </w:p>
        </w:tc>
        <w:tc>
          <w:tcPr>
            <w:tcW w:w="1560" w:type="dxa"/>
            <w:vAlign w:val="bottom"/>
          </w:tcPr>
          <w:p>
            <w:pPr>
              <w:jc w:val="center"/>
              <w:ind w:right="155"/>
              <w:spacing w:after="0"/>
              <w:rPr>
                <w:sz w:val="20"/>
                <w:szCs w:val="20"/>
                <w:color w:val="auto"/>
              </w:rPr>
            </w:pPr>
            <w:r>
              <w:rPr>
                <w:rFonts w:ascii="Arial" w:cs="Arial" w:eastAsia="Arial" w:hAnsi="Arial"/>
                <w:sz w:val="17"/>
                <w:szCs w:val="17"/>
                <w:color w:val="auto"/>
                <w:w w:val="86"/>
              </w:rPr>
              <w:t>4 years</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6,693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7"/>
                <w:szCs w:val="17"/>
                <w:color w:val="auto"/>
              </w:rPr>
              <w:t>(3,755)</w:t>
            </w: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19"/>
                <w:szCs w:val="19"/>
                <w:color w:val="auto"/>
              </w:rPr>
            </w:pPr>
          </w:p>
        </w:tc>
        <w:tc>
          <w:tcPr>
            <w:tcW w:w="49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1,421,087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(431,651)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989,436</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Prior period amounts were reclassified as it relates to All other within this table to conform to the current period presentation.</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increase in the Company's identifiable intangible assets at March 31, 2021 as compared to the year ended December 31, 2020, was primarily driven from intangible assets acquired in conjunction with the ACell Inc. acquisition. See Note 2,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for details.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quarter-end exchange rates, amortization expense (including amounts reported in cost of product revenues) is expected to be approximately $60.7 million for the remainder of 2021, $78.8 million in 2022, $78.0 million in 2023, $77.3 million in 2024, $77.3 million in 2025, $77.2 million in 2026 and $582.7 million thereafter.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the Sixth Amended and Restated Senior Credit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3, 2020, the Company entered into the sixth amendment and restatement (the "February 2020 Amendment") of its Senior Credit Facility (the "Senior Credit Facility") with a syndicate of lending banks with Bank of America, N.A., as Administrative Agent. The February 2020 Amendment extended the maturity date to February 3, 2025. The Company continues to have the aggregate principal amount of up to approximately $2.2 billion available to it through the following facilities: (i) a $877.5 million Term Loan facility, and (ii) a $1.3 billion revolving credit facility, which includes a $60 million sublimit for the issuance of standby letters of credit and a $60 million sublimit for swingline loans.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14, 2020, the Company entered into an amendment (the "July 2020 Amendment") to the February 2020 Amendment of the Senior Credit Facility to increase financial flexibility in light of the unprecedented impact and uncertainty of the COVID-19 pandemic on the global economy. The July 2020 amendment does not increase the Company’s total indebtedness.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July 14, 2020 amendment, the Company’s maximum consolidated total leverage ratio in the financial covenants (as defined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Senior Credit Facility) was modified to the following: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6660" w:type="dxa"/>
            <w:vAlign w:val="bottom"/>
            <w:vMerge w:val="restart"/>
          </w:tcPr>
          <w:p>
            <w:pPr>
              <w:spacing w:after="0"/>
              <w:rPr>
                <w:sz w:val="20"/>
                <w:szCs w:val="20"/>
                <w:color w:val="auto"/>
              </w:rPr>
            </w:pPr>
            <w:r>
              <w:rPr>
                <w:rFonts w:ascii="Arial" w:cs="Arial" w:eastAsia="Arial" w:hAnsi="Arial"/>
                <w:sz w:val="14"/>
                <w:szCs w:val="14"/>
                <w:b w:val="1"/>
                <w:bCs w:val="1"/>
                <w:color w:val="auto"/>
              </w:rPr>
              <w:t>Fiscal Quarter</w:t>
            </w:r>
          </w:p>
        </w:tc>
        <w:tc>
          <w:tcPr>
            <w:tcW w:w="120" w:type="dxa"/>
            <w:vAlign w:val="bottom"/>
            <w:vMerge w:val="restart"/>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Consolidated Total</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Leverage Ratio</w:t>
            </w:r>
          </w:p>
        </w:tc>
        <w:tc>
          <w:tcPr>
            <w:tcW w:w="0" w:type="dxa"/>
            <w:vAlign w:val="bottom"/>
          </w:tcPr>
          <w:p>
            <w:pPr>
              <w:spacing w:after="0"/>
              <w:rPr>
                <w:sz w:val="1"/>
                <w:szCs w:val="1"/>
                <w:color w:val="auto"/>
              </w:rPr>
            </w:pPr>
          </w:p>
        </w:tc>
      </w:tr>
      <w:tr>
        <w:trPr>
          <w:trHeight w:val="305"/>
        </w:trPr>
        <w:tc>
          <w:tcPr>
            <w:tcW w:w="6780" w:type="dxa"/>
            <w:vAlign w:val="bottom"/>
            <w:gridSpan w:val="2"/>
          </w:tcPr>
          <w:p>
            <w:pPr>
              <w:spacing w:after="0"/>
              <w:rPr>
                <w:sz w:val="20"/>
                <w:szCs w:val="20"/>
                <w:color w:val="auto"/>
              </w:rPr>
            </w:pPr>
            <w:r>
              <w:rPr>
                <w:rFonts w:ascii="Arial" w:cs="Arial" w:eastAsia="Arial" w:hAnsi="Arial"/>
                <w:sz w:val="18"/>
                <w:szCs w:val="18"/>
                <w:color w:val="auto"/>
              </w:rPr>
              <w:t>Execution of July 2020 Amendment through June 30, 2021</w:t>
            </w:r>
          </w:p>
        </w:tc>
        <w:tc>
          <w:tcPr>
            <w:tcW w:w="2080" w:type="dxa"/>
            <w:vAlign w:val="bottom"/>
          </w:tcPr>
          <w:p>
            <w:pPr>
              <w:jc w:val="center"/>
              <w:spacing w:after="0"/>
              <w:rPr>
                <w:sz w:val="20"/>
                <w:szCs w:val="20"/>
                <w:color w:val="auto"/>
              </w:rPr>
            </w:pPr>
            <w:r>
              <w:rPr>
                <w:rFonts w:ascii="Arial" w:cs="Arial" w:eastAsia="Arial" w:hAnsi="Arial"/>
                <w:sz w:val="18"/>
                <w:szCs w:val="18"/>
                <w:color w:val="auto"/>
                <w:w w:val="90"/>
              </w:rPr>
              <w:t>5.50 to 1.00</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2021 through June 30, 2022</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 to 1.00</w:t>
            </w:r>
          </w:p>
        </w:tc>
        <w:tc>
          <w:tcPr>
            <w:tcW w:w="0" w:type="dxa"/>
            <w:vAlign w:val="bottom"/>
          </w:tcPr>
          <w:p>
            <w:pPr>
              <w:spacing w:after="0"/>
              <w:rPr>
                <w:sz w:val="1"/>
                <w:szCs w:val="1"/>
                <w:color w:val="auto"/>
              </w:rPr>
            </w:pPr>
          </w:p>
        </w:tc>
      </w:tr>
      <w:tr>
        <w:trPr>
          <w:trHeight w:val="270"/>
        </w:trPr>
        <w:tc>
          <w:tcPr>
            <w:tcW w:w="6780" w:type="dxa"/>
            <w:vAlign w:val="bottom"/>
            <w:gridSpan w:val="2"/>
          </w:tcPr>
          <w:p>
            <w:pPr>
              <w:spacing w:after="0"/>
              <w:rPr>
                <w:sz w:val="20"/>
                <w:szCs w:val="20"/>
                <w:color w:val="auto"/>
              </w:rPr>
            </w:pPr>
            <w:r>
              <w:rPr>
                <w:rFonts w:ascii="Arial" w:cs="Arial" w:eastAsia="Arial" w:hAnsi="Arial"/>
                <w:sz w:val="18"/>
                <w:szCs w:val="18"/>
                <w:color w:val="auto"/>
              </w:rPr>
              <w:t>September 30, 2022 through June 30, 2023</w:t>
            </w:r>
          </w:p>
        </w:tc>
        <w:tc>
          <w:tcPr>
            <w:tcW w:w="2080" w:type="dxa"/>
            <w:vAlign w:val="bottom"/>
          </w:tcPr>
          <w:p>
            <w:pPr>
              <w:jc w:val="center"/>
              <w:spacing w:after="0"/>
              <w:rPr>
                <w:sz w:val="20"/>
                <w:szCs w:val="20"/>
                <w:color w:val="auto"/>
              </w:rPr>
            </w:pPr>
            <w:r>
              <w:rPr>
                <w:rFonts w:ascii="Arial" w:cs="Arial" w:eastAsia="Arial" w:hAnsi="Arial"/>
                <w:sz w:val="18"/>
                <w:szCs w:val="18"/>
                <w:color w:val="auto"/>
                <w:w w:val="90"/>
              </w:rPr>
              <w:t>4.50 to 1.00</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2023 and the last day of each fiscal quarter thereafter</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 to 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63" w:lineRule="exact"/>
        <w:rPr>
          <w:sz w:val="20"/>
          <w:szCs w:val="20"/>
          <w:color w:val="auto"/>
        </w:rPr>
      </w:pPr>
    </w:p>
    <w:p>
      <w:pPr>
        <w:ind w:left="660" w:hanging="328"/>
        <w:spacing w:after="0" w:line="277" w:lineRule="auto"/>
        <w:tabs>
          <w:tab w:leader="none" w:pos="64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2.25%),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3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as of such date less cash that is not subject to any restriction on the use or investment thereof to (b) consolidated EBITDA as defined by the July 2020 amendment, for the period of four consecutive fiscal quarters ending on such date).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pay an annual commitment fee (ranging from 0.15% to 0.30%), based on the Company's consolidated total leverage ratio, on the amount available for borrowing under the revolving credit facility.</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March 31, 2021, the Company was in compliance with all such covenants. In connection with the February 2020 Amendment, the Company capitalized $4.6 million of financing costs in connection with modification of the Senior Credit Facility and wrote off $1.2 million of previously capitalized financing costs during the first quarter of 2020. In connection with the July 2020 amendment, the Company expensed $3.3 million of incremental financing costs in connection with the modification of the Senior Credit Facility during the third quarter of 2020.</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2021 and December 31, 2020, there was $97.5 million outstanding under the revolving credit component of the Senior Credit Facility at weighted average interest rates of 1.5%. At March 31, 2021 and December 31, 2020, there was $877.5 million outstanding under the Term Loan component of the Senior Credit Facility at a weighted average interest rate of 1.5%. At March 31, 2021, $45.0 million of the Term Loan component of the Senior Credit Facility is classified as current on the consolidated balance sheet as the first mandatory repayment is due June 30, 2021.</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outstanding borrowings of the Senior Credit Facility's revolving credit and Term Loan components at March 31, 2021 were $98.5 million and $884.9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outstanding as of March 31, 2021 and December 31, 2020 totaled $1.6 million. There were no amounts drawn as of March 31,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the Senior Credit Facility are due as follows: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920" w:type="dxa"/>
            <w:vAlign w:val="bottom"/>
          </w:tcPr>
          <w:p>
            <w:pPr>
              <w:spacing w:after="0"/>
              <w:rPr>
                <w:sz w:val="20"/>
                <w:szCs w:val="20"/>
                <w:color w:val="auto"/>
              </w:rPr>
            </w:pPr>
            <w:r>
              <w:rPr>
                <w:rFonts w:ascii="Arial" w:cs="Arial" w:eastAsia="Arial" w:hAnsi="Arial"/>
                <w:sz w:val="14"/>
                <w:szCs w:val="14"/>
                <w:b w:val="1"/>
                <w:bCs w:val="1"/>
                <w:color w:val="auto"/>
                <w:w w:val="94"/>
              </w:rPr>
              <w:t>Quarter Ended March 31, 2021</w:t>
            </w:r>
          </w:p>
        </w:tc>
        <w:tc>
          <w:tcPr>
            <w:tcW w:w="3960" w:type="dxa"/>
            <w:vAlign w:val="bottom"/>
            <w:gridSpan w:val="2"/>
          </w:tcPr>
          <w:p>
            <w:pPr>
              <w:spacing w:after="0"/>
              <w:rPr>
                <w:sz w:val="14"/>
                <w:szCs w:val="14"/>
                <w:color w:val="auto"/>
              </w:rPr>
            </w:pPr>
          </w:p>
        </w:tc>
        <w:tc>
          <w:tcPr>
            <w:tcW w:w="1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Principal Repayment</w:t>
            </w:r>
          </w:p>
        </w:tc>
      </w:tr>
      <w:tr>
        <w:trPr>
          <w:trHeight w:val="203"/>
        </w:trPr>
        <w:tc>
          <w:tcPr>
            <w:tcW w:w="334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480" w:type="dxa"/>
            <w:vAlign w:val="bottom"/>
          </w:tcPr>
          <w:p>
            <w:pPr>
              <w:spacing w:after="0"/>
              <w:rPr>
                <w:sz w:val="17"/>
                <w:szCs w:val="17"/>
                <w:color w:val="auto"/>
              </w:rPr>
            </w:pPr>
          </w:p>
        </w:tc>
      </w:tr>
      <w:tr>
        <w:trPr>
          <w:trHeight w:val="23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58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33,750</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2022</w:t>
            </w:r>
          </w:p>
        </w:tc>
        <w:tc>
          <w:tcPr>
            <w:tcW w:w="19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3"/>
          </w:tcPr>
          <w:p>
            <w:pPr>
              <w:jc w:val="right"/>
              <w:ind w:right="80"/>
              <w:spacing w:after="0"/>
              <w:rPr>
                <w:sz w:val="20"/>
                <w:szCs w:val="20"/>
                <w:color w:val="auto"/>
              </w:rPr>
            </w:pPr>
            <w:r>
              <w:rPr>
                <w:rFonts w:ascii="Arial" w:cs="Arial" w:eastAsia="Arial" w:hAnsi="Arial"/>
                <w:sz w:val="18"/>
                <w:szCs w:val="18"/>
                <w:color w:val="auto"/>
              </w:rPr>
              <w:t>45,000</w:t>
            </w: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92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61,875</w:t>
            </w: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2024</w:t>
            </w:r>
          </w:p>
        </w:tc>
        <w:tc>
          <w:tcPr>
            <w:tcW w:w="19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3"/>
          </w:tcPr>
          <w:p>
            <w:pPr>
              <w:jc w:val="right"/>
              <w:ind w:right="80"/>
              <w:spacing w:after="0"/>
              <w:rPr>
                <w:sz w:val="20"/>
                <w:szCs w:val="20"/>
                <w:color w:val="auto"/>
              </w:rPr>
            </w:pPr>
            <w:r>
              <w:rPr>
                <w:rFonts w:ascii="Arial" w:cs="Arial" w:eastAsia="Arial" w:hAnsi="Arial"/>
                <w:sz w:val="18"/>
                <w:szCs w:val="18"/>
                <w:color w:val="auto"/>
              </w:rPr>
              <w:t>67,500</w:t>
            </w: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92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669,375</w:t>
            </w:r>
          </w:p>
        </w:tc>
      </w:tr>
      <w:tr>
        <w:trPr>
          <w:trHeight w:val="223"/>
        </w:trPr>
        <w:tc>
          <w:tcPr>
            <w:tcW w:w="3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877,500</w:t>
            </w:r>
          </w:p>
        </w:tc>
      </w:tr>
      <w:tr>
        <w:trPr>
          <w:trHeight w:val="21"/>
        </w:trPr>
        <w:tc>
          <w:tcPr>
            <w:tcW w:w="3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the revolving credit component of the Senior Credit Facility is due on February 3,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4, 2020, the Company issued $575.0 million aggregate principal amount of its 0.5% Convertible Senior Notes due 2025 (the "2025 Notes"). The 2025 Notes will mature on August 15, 2025 and bear interest at a rate of 0.5% per annum payable semi-annually in arrears, unless earlier converted, repurchased or redeemed in accordance with the terms of the Notes. The portion of debt proceeds that was classified as equity at the time of the offering was $104.5 million. The effective interest rate implicit in the liability component was 4.2%. In connection with this offering, the Company capitalized $13.2 million of financing fees.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2025 Notes are senior, unsecured obligations of the Company, and are convertible into cash and shares of its common stock based on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as defined in the indenture; (3) at any time on or after February 20, 2023; or (4) if specified corporate transactions occur. As of March 31, 2021, none of these conditions existed with respect to the 2025 Notes and as a result the 2025 Notes are classified as long term.</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9, 2020, the Company entered into the First Supplemental Indenture to the original agreement dated as of February 4, 2020 between the Company and Citibank, N.A., as trustee, governing the Company’s outstanding 2025 Notes. The Company irrevocably elected (1) to eliminate the Company’s option to choose physical settlement on any conversion of the 2025 Notes that occurs on or after the date of the First Supplemental Indenture and (2) with respect to any Combination Settlement for a conversion of the 2025 Notes, the Specified Dollar Amount that will be settled in cash per $1,000 principal amount of the 2025 Notes shall be no lower than $1,000.</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the Notes will have the right to require the Company to repurchase for cash all or a portion of their Notes at 100% of their principal amount, plus any accrued and unpaid interest, upon the occurrence of a fundamental change (as defined in the indenture relating to the Notes). The Company will also be required to increase the conversion rate for holders who convert their Notes in connection with certain fundamental changes occurring prior to the maturity date or following delivery by the Company of a notice of redemption.</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At December 31, 2020, the carrying amount of the liability component was $485.9 million, the remaining unamortized discount was $89.1 million, and the principal amount outstanding was $575.0 million. On January 1, 2021, the Company adopted ASU 2020-06 using the modified retrospective method.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xml:space="preserve"> for further details. At March 31, 2021, in conjunction with the adoption of the ASU, the carrying amount of the liability was $575.0 million. The fair value of the 2025 Notes at March 31, 2021 was $642.1 million. Factors that the Company considered when estimating the fair value of the 2025 Notes included recent quoted market prices or dealer quote. The level of the 2025 Notes is considered as Level 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During the three months ended March 31, 2020, the Company recognized cash interest of $0.4 million and amortization of the discount on the liability component of $2.5 million for a total interest charge of $2.9 million on the 2020 Notes. On January 1, 2021, the Company adopted ASU 2020-06 using the modified retrospective method.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xml:space="preserve"> for further details. During the three months ended March 31, 2021, as a result of the adoption of the ASU, the Company recognized only cash interest related to the contractual interest coupon of $0.7 million on the 2025 Notes.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is for an initial three-year term and may be extended. The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March 31, 2021, the Company was in compliance with the covenants and none of the termination events had occurred. At March 31, 2021 and December 31, 2020, the Company had $110.9 million and $112.5 million, respectively, of outstanding borrowings under its Securitization Facility at a weighted average interest rate of 1.3%. At March 31, 2021, the total amount outstanding under the Securitization Facility is classified as current on the consolidated balance sheet as the total amount is due on December 21, 2021.</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outstanding borrowing of the Securitization Facility at March 31, 2021 was $110.8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LIBOR-indexed floating-rate borrowings.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interest rate swaps as of March 31, 2021 and December 31, 2020 (dollar amounts in thousands):</w:t>
      </w:r>
    </w:p>
    <w:p>
      <w:pPr>
        <w:spacing w:after="0" w:line="248"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gridSpan w:val="3"/>
          </w:tcPr>
          <w:p>
            <w:pPr>
              <w:jc w:val="center"/>
              <w:ind w:right="17"/>
              <w:spacing w:after="0"/>
              <w:rPr>
                <w:sz w:val="20"/>
                <w:szCs w:val="20"/>
                <w:color w:val="auto"/>
              </w:rPr>
            </w:pPr>
            <w:r>
              <w:rPr>
                <w:rFonts w:ascii="Arial" w:cs="Arial" w:eastAsia="Arial" w:hAnsi="Arial"/>
                <w:sz w:val="13"/>
                <w:szCs w:val="13"/>
                <w:b w:val="1"/>
                <w:bCs w:val="1"/>
                <w:color w:val="auto"/>
                <w:w w:val="90"/>
              </w:rPr>
              <w:t>March 31, 2021  December 31, 2020</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9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Hedged Item</w:t>
            </w:r>
          </w:p>
        </w:tc>
        <w:tc>
          <w:tcPr>
            <w:tcW w:w="108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w w:val="89"/>
              </w:rPr>
              <w:t>Notional Amount</w:t>
            </w:r>
          </w:p>
        </w:tc>
        <w:tc>
          <w:tcPr>
            <w:tcW w:w="120" w:type="dxa"/>
            <w:vAlign w:val="bottom"/>
          </w:tcPr>
          <w:p>
            <w:pPr>
              <w:spacing w:after="0"/>
              <w:rPr>
                <w:sz w:val="10"/>
                <w:szCs w:val="10"/>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6"/>
              </w:rPr>
              <w:t>Designation Date</w:t>
            </w: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6"/>
              </w:rPr>
              <w:t>Effective Date</w:t>
            </w: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Termination Date</w:t>
            </w:r>
          </w:p>
        </w:tc>
        <w:tc>
          <w:tcPr>
            <w:tcW w:w="900" w:type="dxa"/>
            <w:vAlign w:val="bottom"/>
            <w:gridSpan w:val="3"/>
          </w:tcPr>
          <w:p>
            <w:pPr>
              <w:jc w:val="right"/>
              <w:spacing w:after="0" w:line="122" w:lineRule="exact"/>
              <w:rPr>
                <w:sz w:val="20"/>
                <w:szCs w:val="20"/>
                <w:color w:val="auto"/>
              </w:rPr>
            </w:pPr>
            <w:r>
              <w:rPr>
                <w:rFonts w:ascii="Arial" w:cs="Arial" w:eastAsia="Arial" w:hAnsi="Arial"/>
                <w:sz w:val="13"/>
                <w:szCs w:val="13"/>
                <w:b w:val="1"/>
                <w:bCs w:val="1"/>
                <w:color w:val="auto"/>
                <w:w w:val="99"/>
              </w:rPr>
              <w:t>Fixed Interest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vMerge w:val="restart"/>
          </w:tcPr>
          <w:p>
            <w:pPr>
              <w:jc w:val="center"/>
              <w:ind w:left="237"/>
              <w:spacing w:after="0"/>
              <w:rPr>
                <w:sz w:val="20"/>
                <w:szCs w:val="20"/>
                <w:color w:val="auto"/>
              </w:rPr>
            </w:pPr>
            <w:r>
              <w:rPr>
                <w:rFonts w:ascii="Arial" w:cs="Arial" w:eastAsia="Arial" w:hAnsi="Arial"/>
                <w:sz w:val="13"/>
                <w:szCs w:val="13"/>
                <w:b w:val="1"/>
                <w:bCs w:val="1"/>
                <w:color w:val="auto"/>
                <w:w w:val="89"/>
              </w:rPr>
              <w:t>Estimated Fair Value</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920" w:type="dxa"/>
            <w:vAlign w:val="bottom"/>
            <w:gridSpan w:val="3"/>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Rate</w:t>
            </w: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4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jc w:val="center"/>
              <w:ind w:left="237"/>
              <w:spacing w:after="0"/>
              <w:rPr>
                <w:sz w:val="20"/>
                <w:szCs w:val="20"/>
                <w:color w:val="auto"/>
              </w:rPr>
            </w:pPr>
            <w:r>
              <w:rPr>
                <w:rFonts w:ascii="Arial" w:cs="Arial" w:eastAsia="Arial" w:hAnsi="Arial"/>
                <w:sz w:val="13"/>
                <w:szCs w:val="13"/>
                <w:b w:val="1"/>
                <w:bCs w:val="1"/>
                <w:color w:val="auto"/>
                <w:w w:val="88"/>
              </w:rPr>
              <w:t>Asset (Liability)</w:t>
            </w:r>
          </w:p>
        </w:tc>
        <w:tc>
          <w:tcPr>
            <w:tcW w:w="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40" w:type="dxa"/>
            <w:vAlign w:val="bottom"/>
          </w:tcPr>
          <w:p>
            <w:pPr>
              <w:spacing w:after="0"/>
              <w:rPr>
                <w:sz w:val="20"/>
                <w:szCs w:val="20"/>
                <w:color w:val="auto"/>
              </w:rPr>
            </w:pPr>
            <w:r>
              <w:rPr>
                <w:rFonts w:ascii="Arial" w:cs="Arial" w:eastAsia="Arial" w:hAnsi="Arial"/>
                <w:sz w:val="13"/>
                <w:szCs w:val="13"/>
                <w:color w:val="auto"/>
              </w:rPr>
              <w:t>1-</w:t>
            </w: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month USD LIBOR Loan</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88"/>
              </w:rPr>
              <w:t>March 27, 2017</w:t>
            </w: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5"/>
              </w:rPr>
              <w:t>December 31, 2017</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June 30, 2021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597"/>
              <w:spacing w:after="0"/>
              <w:rPr>
                <w:sz w:val="20"/>
                <w:szCs w:val="20"/>
                <w:color w:val="auto"/>
              </w:rPr>
            </w:pPr>
            <w:r>
              <w:rPr>
                <w:rFonts w:ascii="Arial" w:cs="Arial" w:eastAsia="Arial" w:hAnsi="Arial"/>
                <w:sz w:val="13"/>
                <w:szCs w:val="13"/>
                <w:color w:val="auto"/>
              </w:rPr>
              <w:t>(463)</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0" w:type="dxa"/>
            <w:vAlign w:val="bottom"/>
          </w:tcPr>
          <w:p>
            <w:pPr>
              <w:spacing w:after="0"/>
              <w:rPr>
                <w:sz w:val="1"/>
                <w:szCs w:val="1"/>
                <w:color w:val="auto"/>
              </w:rPr>
            </w:pPr>
          </w:p>
        </w:tc>
      </w:tr>
      <w:tr>
        <w:trPr>
          <w:trHeight w:val="160"/>
        </w:trPr>
        <w:tc>
          <w:tcPr>
            <w:tcW w:w="140" w:type="dxa"/>
            <w:vAlign w:val="bottom"/>
          </w:tcPr>
          <w:p>
            <w:pPr>
              <w:spacing w:after="0"/>
              <w:rPr>
                <w:sz w:val="20"/>
                <w:szCs w:val="20"/>
                <w:color w:val="auto"/>
              </w:rPr>
            </w:pPr>
            <w:r>
              <w:rPr>
                <w:rFonts w:ascii="Arial" w:cs="Arial" w:eastAsia="Arial" w:hAnsi="Arial"/>
                <w:sz w:val="13"/>
                <w:szCs w:val="13"/>
                <w:color w:val="auto"/>
              </w:rPr>
              <w:t>1-</w:t>
            </w:r>
          </w:p>
        </w:tc>
        <w:tc>
          <w:tcPr>
            <w:tcW w:w="1780" w:type="dxa"/>
            <w:vAlign w:val="bottom"/>
            <w:gridSpan w:val="2"/>
          </w:tcPr>
          <w:p>
            <w:pPr>
              <w:spacing w:after="0"/>
              <w:rPr>
                <w:sz w:val="20"/>
                <w:szCs w:val="20"/>
                <w:color w:val="auto"/>
              </w:rPr>
            </w:pPr>
            <w:r>
              <w:rPr>
                <w:rFonts w:ascii="Arial" w:cs="Arial" w:eastAsia="Arial" w:hAnsi="Arial"/>
                <w:sz w:val="13"/>
                <w:szCs w:val="13"/>
                <w:color w:val="auto"/>
              </w:rPr>
              <w:t>month USD LIBOR Loan</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300,000</w:t>
            </w:r>
          </w:p>
        </w:tc>
        <w:tc>
          <w:tcPr>
            <w:tcW w:w="12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color w:val="auto"/>
                <w:w w:val="85"/>
              </w:rPr>
              <w:t>December 13, 2017</w:t>
            </w:r>
          </w:p>
        </w:tc>
        <w:tc>
          <w:tcPr>
            <w:tcW w:w="1420" w:type="dxa"/>
            <w:vAlign w:val="bottom"/>
            <w:gridSpan w:val="2"/>
          </w:tcPr>
          <w:p>
            <w:pPr>
              <w:jc w:val="center"/>
              <w:ind w:right="280"/>
              <w:spacing w:after="0"/>
              <w:rPr>
                <w:sz w:val="20"/>
                <w:szCs w:val="20"/>
                <w:color w:val="auto"/>
              </w:rPr>
            </w:pPr>
            <w:r>
              <w:rPr>
                <w:rFonts w:ascii="Arial" w:cs="Arial" w:eastAsia="Arial" w:hAnsi="Arial"/>
                <w:sz w:val="13"/>
                <w:szCs w:val="13"/>
                <w:color w:val="auto"/>
                <w:w w:val="87"/>
              </w:rPr>
              <w:t>January 1, 2018</w:t>
            </w:r>
          </w:p>
        </w:tc>
        <w:tc>
          <w:tcPr>
            <w:tcW w:w="1180" w:type="dxa"/>
            <w:vAlign w:val="bottom"/>
          </w:tcPr>
          <w:p>
            <w:pPr>
              <w:jc w:val="center"/>
              <w:spacing w:after="0"/>
              <w:rPr>
                <w:sz w:val="20"/>
                <w:szCs w:val="20"/>
                <w:color w:val="auto"/>
              </w:rPr>
            </w:pPr>
            <w:r>
              <w:rPr>
                <w:rFonts w:ascii="Arial" w:cs="Arial" w:eastAsia="Arial" w:hAnsi="Arial"/>
                <w:sz w:val="13"/>
                <w:szCs w:val="13"/>
                <w:color w:val="auto"/>
                <w:w w:val="85"/>
              </w:rPr>
              <w:t>December 31, 2022</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2.201%</w:t>
            </w:r>
          </w:p>
        </w:tc>
        <w:tc>
          <w:tcPr>
            <w:tcW w:w="40" w:type="dxa"/>
            <w:vAlign w:val="bottom"/>
          </w:tcPr>
          <w:p>
            <w:pPr>
              <w:spacing w:after="0"/>
              <w:rPr>
                <w:sz w:val="13"/>
                <w:szCs w:val="13"/>
                <w:color w:val="auto"/>
              </w:rPr>
            </w:pPr>
          </w:p>
        </w:tc>
        <w:tc>
          <w:tcPr>
            <w:tcW w:w="1560" w:type="dxa"/>
            <w:vAlign w:val="bottom"/>
            <w:gridSpan w:val="2"/>
          </w:tcPr>
          <w:p>
            <w:pPr>
              <w:jc w:val="right"/>
              <w:ind w:right="597"/>
              <w:spacing w:after="0"/>
              <w:rPr>
                <w:sz w:val="20"/>
                <w:szCs w:val="20"/>
                <w:color w:val="auto"/>
              </w:rPr>
            </w:pPr>
            <w:r>
              <w:rPr>
                <w:rFonts w:ascii="Arial" w:cs="Arial" w:eastAsia="Arial" w:hAnsi="Arial"/>
                <w:sz w:val="13"/>
                <w:szCs w:val="13"/>
                <w:color w:val="auto"/>
              </w:rPr>
              <w:t>(10,526)</w:t>
            </w:r>
          </w:p>
        </w:tc>
        <w:tc>
          <w:tcPr>
            <w:tcW w:w="480" w:type="dxa"/>
            <w:vAlign w:val="bottom"/>
          </w:tcPr>
          <w:p>
            <w:pPr>
              <w:jc w:val="right"/>
              <w:spacing w:after="0"/>
              <w:rPr>
                <w:sz w:val="20"/>
                <w:szCs w:val="20"/>
                <w:color w:val="auto"/>
              </w:rPr>
            </w:pPr>
            <w:r>
              <w:rPr>
                <w:rFonts w:ascii="Arial" w:cs="Arial" w:eastAsia="Arial" w:hAnsi="Arial"/>
                <w:sz w:val="13"/>
                <w:szCs w:val="13"/>
                <w:color w:val="auto"/>
                <w:w w:val="86"/>
              </w:rPr>
              <w:t>(12,557)</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20"/>
                <w:szCs w:val="20"/>
                <w:color w:val="auto"/>
              </w:rPr>
            </w:pPr>
            <w:r>
              <w:rPr>
                <w:rFonts w:ascii="Arial" w:cs="Arial" w:eastAsia="Arial" w:hAnsi="Arial"/>
                <w:sz w:val="13"/>
                <w:szCs w:val="13"/>
                <w:color w:val="auto"/>
              </w:rPr>
              <w:t>1-</w:t>
            </w: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month USD LIBOR Loan</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150,000</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5"/>
              </w:rPr>
              <w:t>December 13, 2017</w:t>
            </w: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8"/>
              </w:rPr>
              <w:t>July 1, 2019</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June 30, 2024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2.423%</w:t>
            </w:r>
          </w:p>
        </w:tc>
        <w:tc>
          <w:tcPr>
            <w:tcW w:w="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597"/>
              <w:spacing w:after="0"/>
              <w:rPr>
                <w:sz w:val="20"/>
                <w:szCs w:val="20"/>
                <w:color w:val="auto"/>
              </w:rPr>
            </w:pPr>
            <w:r>
              <w:rPr>
                <w:rFonts w:ascii="Arial" w:cs="Arial" w:eastAsia="Arial" w:hAnsi="Arial"/>
                <w:sz w:val="13"/>
                <w:szCs w:val="13"/>
                <w:color w:val="auto"/>
              </w:rPr>
              <w:t>(9,413)</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(11,502)</w:t>
            </w:r>
          </w:p>
        </w:tc>
        <w:tc>
          <w:tcPr>
            <w:tcW w:w="0" w:type="dxa"/>
            <w:vAlign w:val="bottom"/>
          </w:tcPr>
          <w:p>
            <w:pPr>
              <w:spacing w:after="0"/>
              <w:rPr>
                <w:sz w:val="1"/>
                <w:szCs w:val="1"/>
                <w:color w:val="auto"/>
              </w:rPr>
            </w:pPr>
          </w:p>
        </w:tc>
      </w:tr>
      <w:tr>
        <w:trPr>
          <w:trHeight w:val="160"/>
        </w:trPr>
        <w:tc>
          <w:tcPr>
            <w:tcW w:w="140" w:type="dxa"/>
            <w:vAlign w:val="bottom"/>
          </w:tcPr>
          <w:p>
            <w:pPr>
              <w:spacing w:after="0"/>
              <w:rPr>
                <w:sz w:val="20"/>
                <w:szCs w:val="20"/>
                <w:color w:val="auto"/>
              </w:rPr>
            </w:pPr>
            <w:r>
              <w:rPr>
                <w:rFonts w:ascii="Arial" w:cs="Arial" w:eastAsia="Arial" w:hAnsi="Arial"/>
                <w:sz w:val="13"/>
                <w:szCs w:val="13"/>
                <w:color w:val="auto"/>
              </w:rPr>
              <w:t>1-</w:t>
            </w:r>
          </w:p>
        </w:tc>
        <w:tc>
          <w:tcPr>
            <w:tcW w:w="1780" w:type="dxa"/>
            <w:vAlign w:val="bottom"/>
            <w:gridSpan w:val="2"/>
          </w:tcPr>
          <w:p>
            <w:pPr>
              <w:spacing w:after="0"/>
              <w:rPr>
                <w:sz w:val="20"/>
                <w:szCs w:val="20"/>
                <w:color w:val="auto"/>
              </w:rPr>
            </w:pPr>
            <w:r>
              <w:rPr>
                <w:rFonts w:ascii="Arial" w:cs="Arial" w:eastAsia="Arial" w:hAnsi="Arial"/>
                <w:sz w:val="13"/>
                <w:szCs w:val="13"/>
                <w:color w:val="auto"/>
              </w:rPr>
              <w:t>month USD LIBOR Loan</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200,000</w:t>
            </w:r>
          </w:p>
        </w:tc>
        <w:tc>
          <w:tcPr>
            <w:tcW w:w="12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color w:val="auto"/>
                <w:w w:val="85"/>
              </w:rPr>
              <w:t>December 13, 2017</w:t>
            </w:r>
          </w:p>
        </w:tc>
        <w:tc>
          <w:tcPr>
            <w:tcW w:w="1420" w:type="dxa"/>
            <w:vAlign w:val="bottom"/>
            <w:gridSpan w:val="2"/>
          </w:tcPr>
          <w:p>
            <w:pPr>
              <w:jc w:val="center"/>
              <w:ind w:right="280"/>
              <w:spacing w:after="0"/>
              <w:rPr>
                <w:sz w:val="20"/>
                <w:szCs w:val="20"/>
                <w:color w:val="auto"/>
              </w:rPr>
            </w:pPr>
            <w:r>
              <w:rPr>
                <w:rFonts w:ascii="Arial" w:cs="Arial" w:eastAsia="Arial" w:hAnsi="Arial"/>
                <w:sz w:val="13"/>
                <w:szCs w:val="13"/>
                <w:color w:val="auto"/>
                <w:w w:val="87"/>
              </w:rPr>
              <w:t>January 1, 2018</w:t>
            </w:r>
          </w:p>
        </w:tc>
        <w:tc>
          <w:tcPr>
            <w:tcW w:w="1180" w:type="dxa"/>
            <w:vAlign w:val="bottom"/>
          </w:tcPr>
          <w:p>
            <w:pPr>
              <w:jc w:val="center"/>
              <w:spacing w:after="0"/>
              <w:rPr>
                <w:sz w:val="20"/>
                <w:szCs w:val="20"/>
                <w:color w:val="auto"/>
              </w:rPr>
            </w:pPr>
            <w:r>
              <w:rPr>
                <w:rFonts w:ascii="Arial" w:cs="Arial" w:eastAsia="Arial" w:hAnsi="Arial"/>
                <w:sz w:val="13"/>
                <w:szCs w:val="13"/>
                <w:color w:val="auto"/>
                <w:w w:val="85"/>
              </w:rPr>
              <w:t>December 31, 2024</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2.313%</w:t>
            </w:r>
          </w:p>
        </w:tc>
        <w:tc>
          <w:tcPr>
            <w:tcW w:w="40" w:type="dxa"/>
            <w:vAlign w:val="bottom"/>
          </w:tcPr>
          <w:p>
            <w:pPr>
              <w:spacing w:after="0"/>
              <w:rPr>
                <w:sz w:val="13"/>
                <w:szCs w:val="13"/>
                <w:color w:val="auto"/>
              </w:rPr>
            </w:pPr>
          </w:p>
        </w:tc>
        <w:tc>
          <w:tcPr>
            <w:tcW w:w="1560" w:type="dxa"/>
            <w:vAlign w:val="bottom"/>
            <w:gridSpan w:val="2"/>
          </w:tcPr>
          <w:p>
            <w:pPr>
              <w:jc w:val="right"/>
              <w:ind w:right="597"/>
              <w:spacing w:after="0"/>
              <w:rPr>
                <w:sz w:val="20"/>
                <w:szCs w:val="20"/>
                <w:color w:val="auto"/>
              </w:rPr>
            </w:pPr>
            <w:r>
              <w:rPr>
                <w:rFonts w:ascii="Arial" w:cs="Arial" w:eastAsia="Arial" w:hAnsi="Arial"/>
                <w:sz w:val="13"/>
                <w:szCs w:val="13"/>
                <w:color w:val="auto"/>
              </w:rPr>
              <w:t>(12,293)</w:t>
            </w:r>
          </w:p>
        </w:tc>
        <w:tc>
          <w:tcPr>
            <w:tcW w:w="480" w:type="dxa"/>
            <w:vAlign w:val="bottom"/>
          </w:tcPr>
          <w:p>
            <w:pPr>
              <w:jc w:val="right"/>
              <w:spacing w:after="0"/>
              <w:rPr>
                <w:sz w:val="20"/>
                <w:szCs w:val="20"/>
                <w:color w:val="auto"/>
              </w:rPr>
            </w:pPr>
            <w:r>
              <w:rPr>
                <w:rFonts w:ascii="Arial" w:cs="Arial" w:eastAsia="Arial" w:hAnsi="Arial"/>
                <w:sz w:val="13"/>
                <w:szCs w:val="13"/>
                <w:color w:val="auto"/>
                <w:w w:val="86"/>
              </w:rPr>
              <w:t>(16,243)</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20"/>
                <w:szCs w:val="20"/>
                <w:color w:val="auto"/>
              </w:rPr>
            </w:pPr>
            <w:r>
              <w:rPr>
                <w:rFonts w:ascii="Arial" w:cs="Arial" w:eastAsia="Arial" w:hAnsi="Arial"/>
                <w:sz w:val="13"/>
                <w:szCs w:val="13"/>
                <w:color w:val="auto"/>
              </w:rPr>
              <w:t>1-</w:t>
            </w: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month USD LIBOR Loan</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75,000</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87"/>
              </w:rPr>
              <w:t>October 10, 2018</w:t>
            </w: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8"/>
              </w:rPr>
              <w:t>July 1, 2020</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June 30, 2025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3.220%</w:t>
            </w:r>
          </w:p>
        </w:tc>
        <w:tc>
          <w:tcPr>
            <w:tcW w:w="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597"/>
              <w:spacing w:after="0"/>
              <w:rPr>
                <w:sz w:val="20"/>
                <w:szCs w:val="20"/>
                <w:color w:val="auto"/>
              </w:rPr>
            </w:pPr>
            <w:r>
              <w:rPr>
                <w:rFonts w:ascii="Arial" w:cs="Arial" w:eastAsia="Arial" w:hAnsi="Arial"/>
                <w:sz w:val="13"/>
                <w:szCs w:val="13"/>
                <w:color w:val="auto"/>
              </w:rPr>
              <w:t>(7,842)</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(9,836)</w:t>
            </w:r>
          </w:p>
        </w:tc>
        <w:tc>
          <w:tcPr>
            <w:tcW w:w="0" w:type="dxa"/>
            <w:vAlign w:val="bottom"/>
          </w:tcPr>
          <w:p>
            <w:pPr>
              <w:spacing w:after="0"/>
              <w:rPr>
                <w:sz w:val="1"/>
                <w:szCs w:val="1"/>
                <w:color w:val="auto"/>
              </w:rPr>
            </w:pPr>
          </w:p>
        </w:tc>
      </w:tr>
      <w:tr>
        <w:trPr>
          <w:trHeight w:val="160"/>
        </w:trPr>
        <w:tc>
          <w:tcPr>
            <w:tcW w:w="140" w:type="dxa"/>
            <w:vAlign w:val="bottom"/>
          </w:tcPr>
          <w:p>
            <w:pPr>
              <w:spacing w:after="0"/>
              <w:rPr>
                <w:sz w:val="20"/>
                <w:szCs w:val="20"/>
                <w:color w:val="auto"/>
              </w:rPr>
            </w:pPr>
            <w:r>
              <w:rPr>
                <w:rFonts w:ascii="Arial" w:cs="Arial" w:eastAsia="Arial" w:hAnsi="Arial"/>
                <w:sz w:val="13"/>
                <w:szCs w:val="13"/>
                <w:color w:val="auto"/>
              </w:rPr>
              <w:t>1-</w:t>
            </w:r>
          </w:p>
        </w:tc>
        <w:tc>
          <w:tcPr>
            <w:tcW w:w="1780" w:type="dxa"/>
            <w:vAlign w:val="bottom"/>
            <w:gridSpan w:val="2"/>
          </w:tcPr>
          <w:p>
            <w:pPr>
              <w:spacing w:after="0"/>
              <w:rPr>
                <w:sz w:val="20"/>
                <w:szCs w:val="20"/>
                <w:color w:val="auto"/>
              </w:rPr>
            </w:pPr>
            <w:r>
              <w:rPr>
                <w:rFonts w:ascii="Arial" w:cs="Arial" w:eastAsia="Arial" w:hAnsi="Arial"/>
                <w:sz w:val="13"/>
                <w:szCs w:val="13"/>
                <w:color w:val="auto"/>
              </w:rPr>
              <w:t>month USD LIBOR Loan</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75,000</w:t>
            </w:r>
          </w:p>
        </w:tc>
        <w:tc>
          <w:tcPr>
            <w:tcW w:w="120" w:type="dxa"/>
            <w:vAlign w:val="bottom"/>
          </w:tcPr>
          <w:p>
            <w:pPr>
              <w:spacing w:after="0"/>
              <w:rPr>
                <w:sz w:val="13"/>
                <w:szCs w:val="13"/>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3"/>
                <w:szCs w:val="13"/>
                <w:color w:val="auto"/>
                <w:w w:val="87"/>
              </w:rPr>
              <w:t>October 10, 2018</w:t>
            </w:r>
          </w:p>
        </w:tc>
        <w:tc>
          <w:tcPr>
            <w:tcW w:w="1420" w:type="dxa"/>
            <w:vAlign w:val="bottom"/>
            <w:gridSpan w:val="2"/>
          </w:tcPr>
          <w:p>
            <w:pPr>
              <w:jc w:val="center"/>
              <w:ind w:right="280"/>
              <w:spacing w:after="0"/>
              <w:rPr>
                <w:sz w:val="20"/>
                <w:szCs w:val="20"/>
                <w:color w:val="auto"/>
              </w:rPr>
            </w:pPr>
            <w:r>
              <w:rPr>
                <w:rFonts w:ascii="Arial" w:cs="Arial" w:eastAsia="Arial" w:hAnsi="Arial"/>
                <w:sz w:val="13"/>
                <w:szCs w:val="13"/>
                <w:color w:val="auto"/>
                <w:w w:val="88"/>
              </w:rPr>
              <w:t>July 1, 2020</w:t>
            </w:r>
          </w:p>
        </w:tc>
        <w:tc>
          <w:tcPr>
            <w:tcW w:w="1180" w:type="dxa"/>
            <w:vAlign w:val="bottom"/>
          </w:tcPr>
          <w:p>
            <w:pPr>
              <w:jc w:val="center"/>
              <w:spacing w:after="0"/>
              <w:rPr>
                <w:sz w:val="20"/>
                <w:szCs w:val="20"/>
                <w:color w:val="auto"/>
              </w:rPr>
            </w:pPr>
            <w:r>
              <w:rPr>
                <w:rFonts w:ascii="Arial" w:cs="Arial" w:eastAsia="Arial" w:hAnsi="Arial"/>
                <w:sz w:val="13"/>
                <w:szCs w:val="13"/>
                <w:color w:val="auto"/>
                <w:w w:val="84"/>
              </w:rPr>
              <w:t>June 30, 2025</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3.199%</w:t>
            </w:r>
          </w:p>
        </w:tc>
        <w:tc>
          <w:tcPr>
            <w:tcW w:w="40" w:type="dxa"/>
            <w:vAlign w:val="bottom"/>
          </w:tcPr>
          <w:p>
            <w:pPr>
              <w:spacing w:after="0"/>
              <w:rPr>
                <w:sz w:val="13"/>
                <w:szCs w:val="13"/>
                <w:color w:val="auto"/>
              </w:rPr>
            </w:pPr>
          </w:p>
        </w:tc>
        <w:tc>
          <w:tcPr>
            <w:tcW w:w="1560" w:type="dxa"/>
            <w:vAlign w:val="bottom"/>
            <w:gridSpan w:val="2"/>
          </w:tcPr>
          <w:p>
            <w:pPr>
              <w:jc w:val="right"/>
              <w:ind w:right="597"/>
              <w:spacing w:after="0"/>
              <w:rPr>
                <w:sz w:val="20"/>
                <w:szCs w:val="20"/>
                <w:color w:val="auto"/>
              </w:rPr>
            </w:pPr>
            <w:r>
              <w:rPr>
                <w:rFonts w:ascii="Arial" w:cs="Arial" w:eastAsia="Arial" w:hAnsi="Arial"/>
                <w:sz w:val="13"/>
                <w:szCs w:val="13"/>
                <w:color w:val="auto"/>
              </w:rPr>
              <w:t>(7,805)</w:t>
            </w:r>
          </w:p>
        </w:tc>
        <w:tc>
          <w:tcPr>
            <w:tcW w:w="480" w:type="dxa"/>
            <w:vAlign w:val="bottom"/>
          </w:tcPr>
          <w:p>
            <w:pPr>
              <w:jc w:val="right"/>
              <w:spacing w:after="0"/>
              <w:rPr>
                <w:sz w:val="20"/>
                <w:szCs w:val="20"/>
                <w:color w:val="auto"/>
              </w:rPr>
            </w:pPr>
            <w:r>
              <w:rPr>
                <w:rFonts w:ascii="Arial" w:cs="Arial" w:eastAsia="Arial" w:hAnsi="Arial"/>
                <w:sz w:val="13"/>
                <w:szCs w:val="13"/>
                <w:color w:val="auto"/>
              </w:rPr>
              <w:t>(9,826)</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20"/>
                <w:szCs w:val="20"/>
                <w:color w:val="auto"/>
              </w:rPr>
            </w:pPr>
            <w:r>
              <w:rPr>
                <w:rFonts w:ascii="Arial" w:cs="Arial" w:eastAsia="Arial" w:hAnsi="Arial"/>
                <w:sz w:val="13"/>
                <w:szCs w:val="13"/>
                <w:color w:val="auto"/>
              </w:rPr>
              <w:t>1-</w:t>
            </w: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month USD LIBOR Loan</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75,000</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87"/>
              </w:rPr>
              <w:t>October 10, 2018</w:t>
            </w: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8"/>
              </w:rPr>
              <w:t>July 1, 2020</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June 30, 2025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3.209%</w:t>
            </w:r>
          </w:p>
        </w:tc>
        <w:tc>
          <w:tcPr>
            <w:tcW w:w="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597"/>
              <w:spacing w:after="0"/>
              <w:rPr>
                <w:sz w:val="20"/>
                <w:szCs w:val="20"/>
                <w:color w:val="auto"/>
              </w:rPr>
            </w:pPr>
            <w:r>
              <w:rPr>
                <w:rFonts w:ascii="Arial" w:cs="Arial" w:eastAsia="Arial" w:hAnsi="Arial"/>
                <w:sz w:val="13"/>
                <w:szCs w:val="13"/>
                <w:color w:val="auto"/>
              </w:rPr>
              <w:t>(7,849)</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(9,783)</w:t>
            </w:r>
          </w:p>
        </w:tc>
        <w:tc>
          <w:tcPr>
            <w:tcW w:w="0" w:type="dxa"/>
            <w:vAlign w:val="bottom"/>
          </w:tcPr>
          <w:p>
            <w:pPr>
              <w:spacing w:after="0"/>
              <w:rPr>
                <w:sz w:val="1"/>
                <w:szCs w:val="1"/>
                <w:color w:val="auto"/>
              </w:rPr>
            </w:pPr>
          </w:p>
        </w:tc>
      </w:tr>
      <w:tr>
        <w:trPr>
          <w:trHeight w:val="160"/>
        </w:trPr>
        <w:tc>
          <w:tcPr>
            <w:tcW w:w="140" w:type="dxa"/>
            <w:vAlign w:val="bottom"/>
          </w:tcPr>
          <w:p>
            <w:pPr>
              <w:spacing w:after="0"/>
              <w:rPr>
                <w:sz w:val="20"/>
                <w:szCs w:val="20"/>
                <w:color w:val="auto"/>
              </w:rPr>
            </w:pPr>
            <w:r>
              <w:rPr>
                <w:rFonts w:ascii="Arial" w:cs="Arial" w:eastAsia="Arial" w:hAnsi="Arial"/>
                <w:sz w:val="13"/>
                <w:szCs w:val="13"/>
                <w:color w:val="auto"/>
              </w:rPr>
              <w:t>1-</w:t>
            </w:r>
          </w:p>
        </w:tc>
        <w:tc>
          <w:tcPr>
            <w:tcW w:w="1780" w:type="dxa"/>
            <w:vAlign w:val="bottom"/>
            <w:gridSpan w:val="2"/>
          </w:tcPr>
          <w:p>
            <w:pPr>
              <w:spacing w:after="0"/>
              <w:rPr>
                <w:sz w:val="20"/>
                <w:szCs w:val="20"/>
                <w:color w:val="auto"/>
              </w:rPr>
            </w:pPr>
            <w:r>
              <w:rPr>
                <w:rFonts w:ascii="Arial" w:cs="Arial" w:eastAsia="Arial" w:hAnsi="Arial"/>
                <w:sz w:val="13"/>
                <w:szCs w:val="13"/>
                <w:color w:val="auto"/>
              </w:rPr>
              <w:t>month USD LIBOR Loan</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100,000</w:t>
            </w:r>
          </w:p>
        </w:tc>
        <w:tc>
          <w:tcPr>
            <w:tcW w:w="12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color w:val="auto"/>
                <w:w w:val="85"/>
              </w:rPr>
              <w:t>December 18, 2018</w:t>
            </w:r>
          </w:p>
        </w:tc>
        <w:tc>
          <w:tcPr>
            <w:tcW w:w="1420" w:type="dxa"/>
            <w:vAlign w:val="bottom"/>
            <w:gridSpan w:val="2"/>
          </w:tcPr>
          <w:p>
            <w:pPr>
              <w:jc w:val="center"/>
              <w:ind w:right="280"/>
              <w:spacing w:after="0"/>
              <w:rPr>
                <w:sz w:val="20"/>
                <w:szCs w:val="20"/>
                <w:color w:val="auto"/>
              </w:rPr>
            </w:pPr>
            <w:r>
              <w:rPr>
                <w:rFonts w:ascii="Arial" w:cs="Arial" w:eastAsia="Arial" w:hAnsi="Arial"/>
                <w:sz w:val="13"/>
                <w:szCs w:val="13"/>
                <w:color w:val="auto"/>
                <w:w w:val="85"/>
              </w:rPr>
              <w:t>December 30, 2022</w:t>
            </w:r>
          </w:p>
        </w:tc>
        <w:tc>
          <w:tcPr>
            <w:tcW w:w="1180" w:type="dxa"/>
            <w:vAlign w:val="bottom"/>
          </w:tcPr>
          <w:p>
            <w:pPr>
              <w:jc w:val="center"/>
              <w:spacing w:after="0"/>
              <w:rPr>
                <w:sz w:val="20"/>
                <w:szCs w:val="20"/>
                <w:color w:val="auto"/>
              </w:rPr>
            </w:pPr>
            <w:r>
              <w:rPr>
                <w:rFonts w:ascii="Arial" w:cs="Arial" w:eastAsia="Arial" w:hAnsi="Arial"/>
                <w:sz w:val="13"/>
                <w:szCs w:val="13"/>
                <w:color w:val="auto"/>
                <w:w w:val="85"/>
              </w:rPr>
              <w:t>December 31, 2027</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2.885%</w:t>
            </w:r>
          </w:p>
        </w:tc>
        <w:tc>
          <w:tcPr>
            <w:tcW w:w="40" w:type="dxa"/>
            <w:vAlign w:val="bottom"/>
          </w:tcPr>
          <w:p>
            <w:pPr>
              <w:spacing w:after="0"/>
              <w:rPr>
                <w:sz w:val="13"/>
                <w:szCs w:val="13"/>
                <w:color w:val="auto"/>
              </w:rPr>
            </w:pPr>
          </w:p>
        </w:tc>
        <w:tc>
          <w:tcPr>
            <w:tcW w:w="1560" w:type="dxa"/>
            <w:vAlign w:val="bottom"/>
            <w:gridSpan w:val="2"/>
          </w:tcPr>
          <w:p>
            <w:pPr>
              <w:jc w:val="right"/>
              <w:ind w:right="597"/>
              <w:spacing w:after="0"/>
              <w:rPr>
                <w:sz w:val="20"/>
                <w:szCs w:val="20"/>
                <w:color w:val="auto"/>
              </w:rPr>
            </w:pPr>
            <w:r>
              <w:rPr>
                <w:rFonts w:ascii="Arial" w:cs="Arial" w:eastAsia="Arial" w:hAnsi="Arial"/>
                <w:sz w:val="13"/>
                <w:szCs w:val="13"/>
                <w:color w:val="auto"/>
              </w:rPr>
              <w:t>(6,037)</w:t>
            </w:r>
          </w:p>
        </w:tc>
        <w:tc>
          <w:tcPr>
            <w:tcW w:w="480" w:type="dxa"/>
            <w:vAlign w:val="bottom"/>
          </w:tcPr>
          <w:p>
            <w:pPr>
              <w:jc w:val="right"/>
              <w:spacing w:after="0"/>
              <w:rPr>
                <w:sz w:val="20"/>
                <w:szCs w:val="20"/>
                <w:color w:val="auto"/>
              </w:rPr>
            </w:pPr>
            <w:r>
              <w:rPr>
                <w:rFonts w:ascii="Arial" w:cs="Arial" w:eastAsia="Arial" w:hAnsi="Arial"/>
                <w:sz w:val="13"/>
                <w:szCs w:val="13"/>
                <w:color w:val="auto"/>
                <w:w w:val="86"/>
              </w:rPr>
              <w:t>(10,407)</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20"/>
                <w:szCs w:val="20"/>
                <w:color w:val="auto"/>
              </w:rPr>
            </w:pPr>
            <w:r>
              <w:rPr>
                <w:rFonts w:ascii="Arial" w:cs="Arial" w:eastAsia="Arial" w:hAnsi="Arial"/>
                <w:sz w:val="13"/>
                <w:szCs w:val="13"/>
                <w:color w:val="auto"/>
              </w:rPr>
              <w:t>1-</w:t>
            </w: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month USD LIBOR Loan</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5"/>
              </w:rPr>
              <w:t>December 18, 2018</w:t>
            </w: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5"/>
              </w:rPr>
              <w:t>December 30, 2022</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December 31, 2027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2.867%</w:t>
            </w:r>
          </w:p>
        </w:tc>
        <w:tc>
          <w:tcPr>
            <w:tcW w:w="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597"/>
              <w:spacing w:after="0"/>
              <w:rPr>
                <w:sz w:val="20"/>
                <w:szCs w:val="20"/>
                <w:color w:val="auto"/>
              </w:rPr>
            </w:pPr>
            <w:r>
              <w:rPr>
                <w:rFonts w:ascii="Arial" w:cs="Arial" w:eastAsia="Arial" w:hAnsi="Arial"/>
                <w:sz w:val="13"/>
                <w:szCs w:val="13"/>
                <w:color w:val="auto"/>
              </w:rPr>
              <w:t>(5,826)</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(10,431)</w:t>
            </w:r>
          </w:p>
        </w:tc>
        <w:tc>
          <w:tcPr>
            <w:tcW w:w="0" w:type="dxa"/>
            <w:vAlign w:val="bottom"/>
          </w:tcPr>
          <w:p>
            <w:pPr>
              <w:spacing w:after="0"/>
              <w:rPr>
                <w:sz w:val="1"/>
                <w:szCs w:val="1"/>
                <w:color w:val="auto"/>
              </w:rPr>
            </w:pPr>
          </w:p>
        </w:tc>
      </w:tr>
      <w:tr>
        <w:trPr>
          <w:trHeight w:val="160"/>
        </w:trPr>
        <w:tc>
          <w:tcPr>
            <w:tcW w:w="140" w:type="dxa"/>
            <w:vAlign w:val="bottom"/>
          </w:tcPr>
          <w:p>
            <w:pPr>
              <w:spacing w:after="0"/>
              <w:rPr>
                <w:sz w:val="20"/>
                <w:szCs w:val="20"/>
                <w:color w:val="auto"/>
              </w:rPr>
            </w:pPr>
            <w:r>
              <w:rPr>
                <w:rFonts w:ascii="Arial" w:cs="Arial" w:eastAsia="Arial" w:hAnsi="Arial"/>
                <w:sz w:val="13"/>
                <w:szCs w:val="13"/>
                <w:color w:val="auto"/>
              </w:rPr>
              <w:t>1-</w:t>
            </w:r>
          </w:p>
        </w:tc>
        <w:tc>
          <w:tcPr>
            <w:tcW w:w="1780" w:type="dxa"/>
            <w:vAlign w:val="bottom"/>
            <w:gridSpan w:val="2"/>
          </w:tcPr>
          <w:p>
            <w:pPr>
              <w:spacing w:after="0"/>
              <w:rPr>
                <w:sz w:val="20"/>
                <w:szCs w:val="20"/>
                <w:color w:val="auto"/>
              </w:rPr>
            </w:pPr>
            <w:r>
              <w:rPr>
                <w:rFonts w:ascii="Arial" w:cs="Arial" w:eastAsia="Arial" w:hAnsi="Arial"/>
                <w:sz w:val="13"/>
                <w:szCs w:val="13"/>
                <w:color w:val="auto"/>
              </w:rPr>
              <w:t>month USD LIBOR Loan</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575,000</w:t>
            </w:r>
          </w:p>
        </w:tc>
        <w:tc>
          <w:tcPr>
            <w:tcW w:w="12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color w:val="auto"/>
                <w:w w:val="85"/>
              </w:rPr>
              <w:t>December 15, 2020</w:t>
            </w:r>
          </w:p>
        </w:tc>
        <w:tc>
          <w:tcPr>
            <w:tcW w:w="1420" w:type="dxa"/>
            <w:vAlign w:val="bottom"/>
            <w:gridSpan w:val="2"/>
          </w:tcPr>
          <w:p>
            <w:pPr>
              <w:jc w:val="center"/>
              <w:ind w:right="280"/>
              <w:spacing w:after="0"/>
              <w:rPr>
                <w:sz w:val="20"/>
                <w:szCs w:val="20"/>
                <w:color w:val="auto"/>
              </w:rPr>
            </w:pPr>
            <w:r>
              <w:rPr>
                <w:rFonts w:ascii="Arial" w:cs="Arial" w:eastAsia="Arial" w:hAnsi="Arial"/>
                <w:sz w:val="13"/>
                <w:szCs w:val="13"/>
                <w:color w:val="auto"/>
                <w:w w:val="90"/>
              </w:rPr>
              <w:t>July 31, 2025</w:t>
            </w:r>
          </w:p>
        </w:tc>
        <w:tc>
          <w:tcPr>
            <w:tcW w:w="1180" w:type="dxa"/>
            <w:vAlign w:val="bottom"/>
          </w:tcPr>
          <w:p>
            <w:pPr>
              <w:jc w:val="center"/>
              <w:spacing w:after="0"/>
              <w:rPr>
                <w:sz w:val="20"/>
                <w:szCs w:val="20"/>
                <w:color w:val="auto"/>
              </w:rPr>
            </w:pPr>
            <w:r>
              <w:rPr>
                <w:rFonts w:ascii="Arial" w:cs="Arial" w:eastAsia="Arial" w:hAnsi="Arial"/>
                <w:sz w:val="13"/>
                <w:szCs w:val="13"/>
                <w:color w:val="auto"/>
                <w:w w:val="85"/>
              </w:rPr>
              <w:t>December 31, 2027</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1.415%</w:t>
            </w:r>
          </w:p>
        </w:tc>
        <w:tc>
          <w:tcPr>
            <w:tcW w:w="40" w:type="dxa"/>
            <w:vAlign w:val="bottom"/>
          </w:tcPr>
          <w:p>
            <w:pPr>
              <w:spacing w:after="0"/>
              <w:rPr>
                <w:sz w:val="13"/>
                <w:szCs w:val="13"/>
                <w:color w:val="auto"/>
              </w:rPr>
            </w:pPr>
          </w:p>
        </w:tc>
        <w:tc>
          <w:tcPr>
            <w:tcW w:w="1560" w:type="dxa"/>
            <w:vAlign w:val="bottom"/>
            <w:gridSpan w:val="2"/>
          </w:tcPr>
          <w:p>
            <w:pPr>
              <w:jc w:val="right"/>
              <w:ind w:right="637"/>
              <w:spacing w:after="0"/>
              <w:rPr>
                <w:sz w:val="20"/>
                <w:szCs w:val="20"/>
                <w:color w:val="auto"/>
              </w:rPr>
            </w:pPr>
            <w:r>
              <w:rPr>
                <w:rFonts w:ascii="Arial" w:cs="Arial" w:eastAsia="Arial" w:hAnsi="Arial"/>
                <w:sz w:val="13"/>
                <w:szCs w:val="13"/>
                <w:color w:val="auto"/>
              </w:rPr>
              <w:t>11,810</w:t>
            </w:r>
          </w:p>
        </w:tc>
        <w:tc>
          <w:tcPr>
            <w:tcW w:w="480" w:type="dxa"/>
            <w:vAlign w:val="bottom"/>
          </w:tcPr>
          <w:p>
            <w:pPr>
              <w:jc w:val="right"/>
              <w:spacing w:after="0"/>
              <w:rPr>
                <w:sz w:val="20"/>
                <w:szCs w:val="20"/>
                <w:color w:val="auto"/>
              </w:rPr>
            </w:pPr>
            <w:r>
              <w:rPr>
                <w:rFonts w:ascii="Arial" w:cs="Arial" w:eastAsia="Arial" w:hAnsi="Arial"/>
                <w:sz w:val="13"/>
                <w:szCs w:val="13"/>
                <w:color w:val="auto"/>
              </w:rPr>
              <w:t>(1,907)</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20"/>
                <w:szCs w:val="20"/>
                <w:color w:val="auto"/>
              </w:rPr>
            </w:pPr>
            <w:r>
              <w:rPr>
                <w:rFonts w:ascii="Arial" w:cs="Arial" w:eastAsia="Arial" w:hAnsi="Arial"/>
                <w:sz w:val="13"/>
                <w:szCs w:val="13"/>
                <w:color w:val="auto"/>
              </w:rPr>
              <w:t>1-</w:t>
            </w:r>
          </w:p>
        </w:tc>
        <w:tc>
          <w:tcPr>
            <w:tcW w:w="1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month USD LIBOR Loan</w:t>
            </w:r>
          </w:p>
        </w:tc>
        <w:tc>
          <w:tcPr>
            <w:tcW w:w="6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125,000</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5"/>
              </w:rPr>
              <w:t>December 15, 2020</w:t>
            </w: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8"/>
              </w:rPr>
              <w:t>July 1, 2025</w:t>
            </w: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December 31, 2027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1.404%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rPr>
              <w:t>2,697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02"/>
        </w:trPr>
        <w:tc>
          <w:tcPr>
            <w:tcW w:w="140" w:type="dxa"/>
            <w:vAlign w:val="bottom"/>
          </w:tcPr>
          <w:p>
            <w:pPr>
              <w:spacing w:after="0"/>
              <w:rPr>
                <w:sz w:val="8"/>
                <w:szCs w:val="8"/>
                <w:color w:val="auto"/>
              </w:rPr>
            </w:pPr>
          </w:p>
        </w:tc>
        <w:tc>
          <w:tcPr>
            <w:tcW w:w="1780" w:type="dxa"/>
            <w:vAlign w:val="bottom"/>
            <w:gridSpan w:val="2"/>
          </w:tcPr>
          <w:p>
            <w:pPr>
              <w:ind w:left="20"/>
              <w:spacing w:after="0" w:line="102" w:lineRule="exact"/>
              <w:rPr>
                <w:sz w:val="20"/>
                <w:szCs w:val="20"/>
                <w:color w:val="auto"/>
              </w:rPr>
            </w:pPr>
            <w:r>
              <w:rPr>
                <w:rFonts w:ascii="Arial" w:cs="Arial" w:eastAsia="Arial" w:hAnsi="Arial"/>
                <w:sz w:val="10"/>
                <w:szCs w:val="10"/>
                <w:color w:val="auto"/>
              </w:rPr>
              <w:t>Total interest rate derivatives</w:t>
            </w:r>
          </w:p>
        </w:tc>
        <w:tc>
          <w:tcPr>
            <w:tcW w:w="1080" w:type="dxa"/>
            <w:vAlign w:val="bottom"/>
            <w:gridSpan w:val="2"/>
            <w:vMerge w:val="restart"/>
          </w:tcPr>
          <w:p>
            <w:pPr>
              <w:jc w:val="right"/>
              <w:spacing w:after="0"/>
              <w:rPr>
                <w:sz w:val="20"/>
                <w:szCs w:val="20"/>
                <w:color w:val="auto"/>
              </w:rPr>
            </w:pPr>
            <w:r>
              <w:rPr>
                <w:rFonts w:ascii="Arial" w:cs="Arial" w:eastAsia="Arial" w:hAnsi="Arial"/>
                <w:sz w:val="13"/>
                <w:szCs w:val="13"/>
                <w:color w:val="auto"/>
              </w:rPr>
              <w:t>1,875,000</w:t>
            </w: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40" w:type="dxa"/>
            <w:vAlign w:val="bottom"/>
            <w:gridSpan w:val="4"/>
            <w:vMerge w:val="restart"/>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2"/>
            <w:vMerge w:val="restart"/>
          </w:tcPr>
          <w:p>
            <w:pPr>
              <w:jc w:val="right"/>
              <w:ind w:right="537"/>
              <w:spacing w:after="0"/>
              <w:rPr>
                <w:sz w:val="20"/>
                <w:szCs w:val="20"/>
                <w:color w:val="auto"/>
              </w:rPr>
            </w:pPr>
            <w:r>
              <w:rPr>
                <w:rFonts w:ascii="Arial" w:cs="Arial" w:eastAsia="Arial" w:hAnsi="Arial"/>
                <w:sz w:val="13"/>
                <w:szCs w:val="13"/>
                <w:color w:val="auto"/>
              </w:rPr>
              <w:t>(53,547)$</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w w:val="86"/>
              </w:rPr>
              <w:t>(93,769)</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780" w:type="dxa"/>
            <w:vAlign w:val="bottom"/>
            <w:gridSpan w:val="2"/>
          </w:tcPr>
          <w:p>
            <w:pPr>
              <w:ind w:left="180"/>
              <w:spacing w:after="0" w:line="149" w:lineRule="exact"/>
              <w:rPr>
                <w:sz w:val="20"/>
                <w:szCs w:val="20"/>
                <w:color w:val="auto"/>
              </w:rPr>
            </w:pPr>
            <w:r>
              <w:rPr>
                <w:rFonts w:ascii="Arial" w:cs="Arial" w:eastAsia="Arial" w:hAnsi="Arial"/>
                <w:sz w:val="10"/>
                <w:szCs w:val="10"/>
                <w:color w:val="auto"/>
              </w:rPr>
              <w:t>designated as cash flow hedge</w:t>
            </w:r>
            <w:r>
              <w:rPr>
                <w:rFonts w:ascii="Arial" w:cs="Arial" w:eastAsia="Arial" w:hAnsi="Arial"/>
                <w:sz w:val="17"/>
                <w:szCs w:val="17"/>
                <w:color w:val="auto"/>
                <w:vertAlign w:val="superscript"/>
              </w:rPr>
              <w:t>$</w:t>
            </w: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loss (“AOCL”),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AOCL to interest expense at that time.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AOCL, net of tax. Those amounts are subsequently reclassified to earnings from AOCL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spacing w:after="0" w:line="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fourth quarter of 2020, the Company entered into foreign currency forward contracts, with a notional amount of $9.7 million to mitigate the foreign exchange risk related to certain intercompany loans denominated in Canadian Dollar ("CAD") and intercompany receivables denominated in Japanese Yen ("JPY"). The contracts are not designated as hedging instruments. The Company recognized a $0.2 million loss from the change in fair value of the contracts, which was included in other income, net in the consolidated statement of operations as of March 31, 2021. The Company subsequently settled its foreign currency forward contracts associated with the intercompany receivables denominated in JPY during the first quarter of 2021. The fair value of the foreign currency forward contracts denominated in CAD was $0.2 million as of March 31, 2021.</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Rate Swaps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 2017, the Company entered into cross-currency swap agreements to convert a notional amount of $300.0 million equivalent to 291.2 million of Swiss Francs ("CHF") denominated intercompany loans into U.S. dollars. The CHF-denominated intercompany loans were the result of the purchase of intellectual property by a subsidiary in Switzerland as part of an acquisition.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21, 2020, the Company entered into cross-currency swap agreements to convert a notional amount of $471.6 million equivalent to 420.1 million of a CHF denominated intercompany loan into U.S. dollars. The CHF denominated intercompany loan was the result of an intra-entity transfer of certain intellectual property rights to a subsidiary in Switzerland completed during the fourth quarter of 2020. The intercompany loan requires quarterly payments of CHF 5.8 million plus accrued interest. As a result, the aggregate notional amount of the related cross-currency swaps will decrease by a corresponding amount.</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March 31, 2021 and December 31, 2020 (dollar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jc w:val="right"/>
              <w:ind w:right="95"/>
              <w:spacing w:after="0"/>
              <w:rPr>
                <w:sz w:val="20"/>
                <w:szCs w:val="20"/>
                <w:color w:val="auto"/>
              </w:rPr>
            </w:pPr>
            <w:r>
              <w:rPr>
                <w:rFonts w:ascii="Arial" w:cs="Arial" w:eastAsia="Arial" w:hAnsi="Arial"/>
                <w:sz w:val="14"/>
                <w:szCs w:val="14"/>
                <w:b w:val="1"/>
                <w:bCs w:val="1"/>
                <w:color w:val="auto"/>
              </w:rPr>
              <w:t>March 31,</w:t>
            </w: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vMerge w:val="restart"/>
          </w:tcPr>
          <w:p>
            <w:pPr>
              <w:jc w:val="right"/>
              <w:ind w:right="136"/>
              <w:spacing w:after="0"/>
              <w:rPr>
                <w:sz w:val="20"/>
                <w:szCs w:val="20"/>
                <w:color w:val="auto"/>
              </w:rPr>
            </w:pPr>
            <w:r>
              <w:rPr>
                <w:rFonts w:ascii="Arial" w:cs="Arial" w:eastAsia="Arial" w:hAnsi="Arial"/>
                <w:sz w:val="14"/>
                <w:szCs w:val="14"/>
                <w:b w:val="1"/>
                <w:bCs w:val="1"/>
                <w:color w:val="auto"/>
              </w:rPr>
              <w:t>March 31, 2021</w:t>
            </w:r>
          </w:p>
        </w:tc>
        <w:tc>
          <w:tcPr>
            <w:tcW w:w="126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30"/>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Effective Date</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Fixed Rate</w:t>
            </w:r>
          </w:p>
        </w:tc>
        <w:tc>
          <w:tcPr>
            <w:tcW w:w="290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Aggregate Notional Amount</w:t>
            </w:r>
          </w:p>
        </w:tc>
        <w:tc>
          <w:tcPr>
            <w:tcW w:w="340" w:type="dxa"/>
            <w:vAlign w:val="bottom"/>
          </w:tcPr>
          <w:p>
            <w:pPr>
              <w:spacing w:after="0"/>
              <w:rPr>
                <w:sz w:val="11"/>
                <w:szCs w:val="11"/>
                <w:color w:val="auto"/>
              </w:rPr>
            </w:pPr>
          </w:p>
        </w:tc>
        <w:tc>
          <w:tcPr>
            <w:tcW w:w="1440" w:type="dxa"/>
            <w:vAlign w:val="bottom"/>
            <w:gridSpan w:val="2"/>
          </w:tcPr>
          <w:p>
            <w:pPr>
              <w:jc w:val="center"/>
              <w:ind w:left="316"/>
              <w:spacing w:after="0" w:line="130" w:lineRule="exact"/>
              <w:rPr>
                <w:sz w:val="20"/>
                <w:szCs w:val="20"/>
                <w:color w:val="auto"/>
              </w:rPr>
            </w:pPr>
            <w:r>
              <w:rPr>
                <w:rFonts w:ascii="Arial" w:cs="Arial" w:eastAsia="Arial" w:hAnsi="Arial"/>
                <w:sz w:val="14"/>
                <w:szCs w:val="14"/>
                <w:b w:val="1"/>
                <w:bCs w:val="1"/>
                <w:color w:val="auto"/>
                <w:w w:val="95"/>
              </w:rPr>
              <w:t>Fair Value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900" w:type="dxa"/>
            <w:vAlign w:val="bottom"/>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tcPr>
          <w:p>
            <w:pPr>
              <w:jc w:val="center"/>
              <w:ind w:left="296"/>
              <w:spacing w:after="0"/>
              <w:rPr>
                <w:sz w:val="20"/>
                <w:szCs w:val="20"/>
                <w:color w:val="auto"/>
              </w:rPr>
            </w:pPr>
            <w:r>
              <w:rPr>
                <w:rFonts w:ascii="Arial" w:cs="Arial" w:eastAsia="Arial" w:hAnsi="Arial"/>
                <w:sz w:val="14"/>
                <w:szCs w:val="14"/>
                <w:b w:val="1"/>
                <w:bCs w:val="1"/>
                <w:color w:val="auto"/>
                <w:w w:val="93"/>
              </w:rPr>
              <w:t>Asset (Liability)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Pay CHF</w:t>
            </w:r>
          </w:p>
        </w:tc>
        <w:tc>
          <w:tcPr>
            <w:tcW w:w="100" w:type="dxa"/>
            <w:vAlign w:val="bottom"/>
            <w:shd w:val="clear" w:color="auto" w:fill="CCEEFF"/>
          </w:tcPr>
          <w:p>
            <w:pPr>
              <w:spacing w:after="0"/>
              <w:rPr>
                <w:sz w:val="23"/>
                <w:szCs w:val="23"/>
                <w:color w:val="auto"/>
              </w:rPr>
            </w:pPr>
          </w:p>
        </w:tc>
        <w:tc>
          <w:tcPr>
            <w:tcW w:w="14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1"/>
              </w:rPr>
              <w:t>October 2, 2017</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2021</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CHF</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48,533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48,533</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(955)</w:t>
            </w:r>
          </w:p>
        </w:tc>
        <w:tc>
          <w:tcPr>
            <w:tcW w:w="520" w:type="dxa"/>
            <w:vAlign w:val="bottom"/>
            <w:shd w:val="clear" w:color="auto" w:fill="CCEEFF"/>
          </w:tcPr>
          <w:p>
            <w:pPr>
              <w:spacing w:after="0"/>
              <w:rPr>
                <w:sz w:val="23"/>
                <w:szCs w:val="2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108"/>
        </w:trPr>
        <w:tc>
          <w:tcPr>
            <w:tcW w:w="1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Receive U.S.$</w:t>
            </w:r>
          </w:p>
        </w:tc>
        <w:tc>
          <w:tcPr>
            <w:tcW w:w="100" w:type="dxa"/>
            <w:vAlign w:val="bottom"/>
            <w:shd w:val="clear" w:color="auto" w:fill="CCEEFF"/>
          </w:tcPr>
          <w:p>
            <w:pPr>
              <w:spacing w:after="0"/>
              <w:rPr>
                <w:sz w:val="9"/>
                <w:szCs w:val="9"/>
                <w:color w:val="auto"/>
              </w:rPr>
            </w:pPr>
          </w:p>
        </w:tc>
        <w:tc>
          <w:tcPr>
            <w:tcW w:w="144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4.46%</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50,000</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4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Pay CHF</w:t>
            </w:r>
          </w:p>
        </w:tc>
        <w:tc>
          <w:tcPr>
            <w:tcW w:w="100" w:type="dxa"/>
            <w:vAlign w:val="bottom"/>
            <w:shd w:val="clear" w:color="auto" w:fill="CCEEFF"/>
          </w:tcPr>
          <w:p>
            <w:pPr>
              <w:spacing w:after="0"/>
              <w:rPr>
                <w:sz w:val="23"/>
                <w:szCs w:val="23"/>
                <w:color w:val="auto"/>
              </w:rPr>
            </w:pPr>
          </w:p>
        </w:tc>
        <w:tc>
          <w:tcPr>
            <w:tcW w:w="14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1"/>
              </w:rPr>
              <w:t>October 2, 2017</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2022</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CHF</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145,598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145,598</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(868)</w:t>
            </w:r>
          </w:p>
        </w:tc>
        <w:tc>
          <w:tcPr>
            <w:tcW w:w="520" w:type="dxa"/>
            <w:vAlign w:val="bottom"/>
            <w:shd w:val="clear" w:color="auto" w:fill="CCEEFF"/>
          </w:tcPr>
          <w:p>
            <w:pPr>
              <w:spacing w:after="0"/>
              <w:rPr>
                <w:sz w:val="23"/>
                <w:szCs w:val="2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(11,262)</w:t>
            </w:r>
          </w:p>
        </w:tc>
        <w:tc>
          <w:tcPr>
            <w:tcW w:w="0" w:type="dxa"/>
            <w:vAlign w:val="bottom"/>
          </w:tcPr>
          <w:p>
            <w:pPr>
              <w:spacing w:after="0"/>
              <w:rPr>
                <w:sz w:val="1"/>
                <w:szCs w:val="1"/>
                <w:color w:val="auto"/>
              </w:rPr>
            </w:pPr>
          </w:p>
        </w:tc>
      </w:tr>
      <w:tr>
        <w:trPr>
          <w:trHeight w:val="108"/>
        </w:trPr>
        <w:tc>
          <w:tcPr>
            <w:tcW w:w="1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Receive U.S.$</w:t>
            </w:r>
          </w:p>
        </w:tc>
        <w:tc>
          <w:tcPr>
            <w:tcW w:w="100" w:type="dxa"/>
            <w:vAlign w:val="bottom"/>
            <w:shd w:val="clear" w:color="auto" w:fill="CCEEFF"/>
          </w:tcPr>
          <w:p>
            <w:pPr>
              <w:spacing w:after="0"/>
              <w:rPr>
                <w:sz w:val="9"/>
                <w:szCs w:val="9"/>
                <w:color w:val="auto"/>
              </w:rPr>
            </w:pPr>
          </w:p>
        </w:tc>
        <w:tc>
          <w:tcPr>
            <w:tcW w:w="144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4.52%</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150,000</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4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Pay CHF</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December 21,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CHF</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414,387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420,137</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rPr>
              <w:t>17,314</w:t>
            </w:r>
          </w:p>
        </w:tc>
        <w:tc>
          <w:tcPr>
            <w:tcW w:w="520" w:type="dxa"/>
            <w:vAlign w:val="bottom"/>
            <w:shd w:val="clear" w:color="auto" w:fill="CCEEFF"/>
          </w:tcPr>
          <w:p>
            <w:pPr>
              <w:spacing w:after="0"/>
              <w:rPr>
                <w:sz w:val="21"/>
                <w:szCs w:val="2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135"/>
        </w:trPr>
        <w:tc>
          <w:tcPr>
            <w:tcW w:w="1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Receive U.S.$</w:t>
            </w:r>
          </w:p>
        </w:tc>
        <w:tc>
          <w:tcPr>
            <w:tcW w:w="10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3.98%</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465,185</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471,640</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4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540" w:type="dxa"/>
            <w:vAlign w:val="bottom"/>
            <w:tcBorders>
              <w:bottom w:val="single" w:sz="8" w:color="CCEEFF"/>
            </w:tcBorders>
            <w:gridSpan w:val="2"/>
          </w:tcPr>
          <w:p>
            <w:pPr>
              <w:spacing w:after="0"/>
              <w:rPr>
                <w:sz w:val="9"/>
                <w:szCs w:val="9"/>
                <w:color w:val="auto"/>
              </w:rPr>
            </w:pPr>
          </w:p>
        </w:tc>
        <w:tc>
          <w:tcPr>
            <w:tcW w:w="13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4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80" w:type="dxa"/>
            <w:vAlign w:val="bottom"/>
            <w:tcBorders>
              <w:bottom w:val="single" w:sz="8" w:color="CCEEFF"/>
            </w:tcBorders>
          </w:tcPr>
          <w:p>
            <w:pPr>
              <w:spacing w:after="0"/>
              <w:rPr>
                <w:sz w:val="9"/>
                <w:szCs w:val="9"/>
                <w:color w:val="auto"/>
              </w:rPr>
            </w:pPr>
          </w:p>
        </w:tc>
        <w:tc>
          <w:tcPr>
            <w:tcW w:w="900" w:type="dxa"/>
            <w:vAlign w:val="bottom"/>
            <w:tcBorders>
              <w:bottom w:val="single" w:sz="8" w:color="CCEEFF"/>
            </w:tcBorders>
          </w:tcPr>
          <w:p>
            <w:pPr>
              <w:spacing w:after="0"/>
              <w:rPr>
                <w:sz w:val="9"/>
                <w:szCs w:val="9"/>
                <w:color w:val="auto"/>
              </w:rPr>
            </w:pPr>
          </w:p>
        </w:tc>
        <w:tc>
          <w:tcPr>
            <w:tcW w:w="112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1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15,491</w:t>
            </w:r>
          </w:p>
        </w:tc>
        <w:tc>
          <w:tcPr>
            <w:tcW w:w="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(23,441)</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cross-currency swaps are carried on the consolidated balance sheet at fair value, and changes in the fair values are recorded as unrealized gains or losses in AOCL. For the three months ended March 31, 2021 and 2020, the Company recorded a gain of $42.9 million and a loss of $1.7 million, respectively, in other income, net related to change in fair value related to the foreign currency rate translation to offset the gains or losses recognized on the intercompany loans.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and 2020, the Company recorded gains of $40.2 million and $5.9 million in AOCL, respectively, related to change in fair value of the cross-currency swaps.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and 2020, the Company recorded gains of $1.3 million and $1.5 million, respectively, in other income, net included in the consolidated statements of operations related to the interest rate differential of the cross-currency swaps.</w:t>
      </w:r>
    </w:p>
    <w:p>
      <w:pPr>
        <w:spacing w:after="0" w:line="6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estimated gain that is expected to be reclassified to other income (expense), net from AOCL as of March 31, 2021 within the next twelve months is $9.1 million. As of March 31, 2021, the Company does not expect any gains or losses will be reclassified into earnings as a result of the discontinuance of these cash flow hedges because the original forecasted transaction will not occur.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and December 16, 2020, the Company entered into cross-currency swap agreements designated as net investment hedges to partially offset the effects of foreign currency on foreign subsidiaries.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the following cross-currency rate swaps designated as net investment hedges as of March 31, 2021 and December 31, 2020, respectively (dollar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Effective Date</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Fixed Rate</w:t>
            </w: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Aggregate Notional</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0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auto"/>
              </w:rPr>
              <w:t>Fair Value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3340" w:type="dxa"/>
            <w:vAlign w:val="bottom"/>
            <w:gridSpan w:val="4"/>
          </w:tcPr>
          <w:p>
            <w:pPr>
              <w:jc w:val="right"/>
              <w:ind w:right="1213"/>
              <w:spacing w:after="0"/>
              <w:rPr>
                <w:sz w:val="20"/>
                <w:szCs w:val="20"/>
                <w:color w:val="auto"/>
              </w:rPr>
            </w:pPr>
            <w:r>
              <w:rPr>
                <w:rFonts w:ascii="Arial" w:cs="Arial" w:eastAsia="Arial" w:hAnsi="Arial"/>
                <w:sz w:val="14"/>
                <w:szCs w:val="14"/>
                <w:b w:val="1"/>
                <w:bCs w:val="1"/>
                <w:color w:val="auto"/>
              </w:rPr>
              <w:t>Asset (Liability)</w:t>
            </w:r>
          </w:p>
        </w:tc>
        <w:tc>
          <w:tcPr>
            <w:tcW w:w="0" w:type="dxa"/>
            <w:vAlign w:val="bottom"/>
          </w:tcPr>
          <w:p>
            <w:pPr>
              <w:spacing w:after="0"/>
              <w:rPr>
                <w:sz w:val="1"/>
                <w:szCs w:val="1"/>
                <w:color w:val="auto"/>
              </w:rPr>
            </w:pPr>
          </w:p>
        </w:tc>
      </w:tr>
      <w:tr>
        <w:trPr>
          <w:trHeight w:val="89"/>
        </w:trPr>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3"/>
                <w:szCs w:val="23"/>
                <w:color w:val="auto"/>
              </w:rPr>
            </w:pPr>
          </w:p>
        </w:tc>
        <w:tc>
          <w:tcPr>
            <w:tcW w:w="158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8"/>
                <w:szCs w:val="18"/>
                <w:color w:val="auto"/>
                <w:w w:val="89"/>
              </w:rPr>
              <w:t>October 3, 2018</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September 30, 2021</w:t>
            </w: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EUR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44,859</w:t>
            </w:r>
          </w:p>
        </w:tc>
        <w:tc>
          <w:tcPr>
            <w:tcW w:w="100" w:type="dxa"/>
            <w:vAlign w:val="bottom"/>
            <w:shd w:val="clear" w:color="auto" w:fill="CCEEFF"/>
          </w:tcPr>
          <w:p>
            <w:pPr>
              <w:spacing w:after="0"/>
              <w:rPr>
                <w:sz w:val="23"/>
                <w:szCs w:val="2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3"/>
                <w:szCs w:val="2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58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3.01%</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100" w:type="dxa"/>
            <w:vAlign w:val="bottom"/>
            <w:shd w:val="clear" w:color="auto" w:fill="CCEEFF"/>
          </w:tcPr>
          <w:p>
            <w:pPr>
              <w:spacing w:after="0"/>
              <w:rPr>
                <w:sz w:val="9"/>
                <w:szCs w:val="9"/>
                <w:color w:val="auto"/>
              </w:rPr>
            </w:pPr>
          </w:p>
        </w:tc>
        <w:tc>
          <w:tcPr>
            <w:tcW w:w="260" w:type="dxa"/>
            <w:vAlign w:val="bottom"/>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3"/>
                <w:szCs w:val="23"/>
                <w:color w:val="auto"/>
              </w:rPr>
            </w:pPr>
          </w:p>
        </w:tc>
        <w:tc>
          <w:tcPr>
            <w:tcW w:w="158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8"/>
                <w:szCs w:val="18"/>
                <w:color w:val="auto"/>
                <w:w w:val="89"/>
              </w:rPr>
              <w:t>October 3, 2018</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September 30, 2023</w:t>
            </w: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EUR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58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2.57%</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3"/>
                <w:szCs w:val="23"/>
                <w:color w:val="auto"/>
              </w:rPr>
            </w:pPr>
          </w:p>
        </w:tc>
        <w:tc>
          <w:tcPr>
            <w:tcW w:w="158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8"/>
                <w:szCs w:val="18"/>
                <w:color w:val="auto"/>
                <w:w w:val="89"/>
              </w:rPr>
              <w:t>October 3, 2018</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September 30, 2025</w:t>
            </w: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EUR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58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2.19%</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December 16,</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December 16, 2027</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CHF</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240" w:type="dxa"/>
            <w:vAlign w:val="bottom"/>
            <w:shd w:val="clear" w:color="auto" w:fill="CCEEFF"/>
          </w:tcPr>
          <w:p>
            <w:pPr>
              <w:spacing w:after="0"/>
              <w:rPr>
                <w:sz w:val="11"/>
                <w:szCs w:val="11"/>
                <w:color w:val="auto"/>
              </w:rPr>
            </w:pPr>
          </w:p>
        </w:tc>
        <w:tc>
          <w:tcPr>
            <w:tcW w:w="1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1.10%</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95"/>
        </w:trPr>
        <w:tc>
          <w:tcPr>
            <w:tcW w:w="1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5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780" w:type="dxa"/>
            <w:vAlign w:val="bottom"/>
            <w:tcBorders>
              <w:bottom w:val="single" w:sz="8" w:color="CCEEFF"/>
            </w:tcBorders>
            <w:gridSpan w:val="2"/>
          </w:tcPr>
          <w:p>
            <w:pPr>
              <w:spacing w:after="0"/>
              <w:rPr>
                <w:sz w:val="9"/>
                <w:szCs w:val="9"/>
                <w:color w:val="auto"/>
              </w:rPr>
            </w:pPr>
          </w:p>
        </w:tc>
        <w:tc>
          <w:tcPr>
            <w:tcW w:w="134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15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74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cross-currency swaps were carried on the consolidated balance sheet at fair value and changes in the fair values were recorded as unrealized gains or losses in AOCL. For the three months ended March 31, 2021 and 2020, the Company recorded gains of $11.9 million and $16.7 million in AOCL related to the change in fair value of the cross-currency swaps.</w:t>
      </w:r>
    </w:p>
    <w:p>
      <w:pPr>
        <w:spacing w:after="0" w:line="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the three months ended March 31, 2021 and 2020, the Company recorded gains of $1.7 million and $2.2 million in interest income included in the consolidated statements of operations related to the interest rate differential of the cross-currency swaps.</w:t>
      </w:r>
    </w:p>
    <w:p>
      <w:pPr>
        <w:spacing w:after="0" w:line="62" w:lineRule="exact"/>
        <w:rPr>
          <w:sz w:val="20"/>
          <w:szCs w:val="20"/>
          <w:color w:val="auto"/>
        </w:rPr>
      </w:pPr>
    </w:p>
    <w:p>
      <w:pPr>
        <w:ind w:right="240"/>
        <w:spacing w:after="0" w:line="367" w:lineRule="auto"/>
        <w:rPr>
          <w:sz w:val="20"/>
          <w:szCs w:val="20"/>
          <w:color w:val="auto"/>
        </w:rPr>
      </w:pPr>
      <w:r>
        <w:rPr>
          <w:rFonts w:ascii="Arial" w:cs="Arial" w:eastAsia="Arial" w:hAnsi="Arial"/>
          <w:sz w:val="18"/>
          <w:szCs w:val="18"/>
          <w:color w:val="auto"/>
        </w:rPr>
        <w:t xml:space="preserve">The estimated gain that is expected to be reclassified to interest income from AOCL as of March 31, 2021 within the next twelve months is $5.2 million. </w:t>
      </w:r>
      <w:r>
        <w:rPr>
          <w:rFonts w:ascii="Arial" w:cs="Arial" w:eastAsia="Arial" w:hAnsi="Arial"/>
          <w:sz w:val="18"/>
          <w:szCs w:val="18"/>
          <w:b w:val="1"/>
          <w:bCs w:val="1"/>
          <w:i w:val="1"/>
          <w:iCs w:val="1"/>
          <w:color w:val="auto"/>
        </w:rPr>
        <w:t>Counterparty Credit Risk</w:t>
      </w:r>
    </w:p>
    <w:p>
      <w:pPr>
        <w:spacing w:after="0" w:line="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for derivatives designated as hedging instruments in the condensed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December 31,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3"/>
          </w:tcPr>
          <w:p>
            <w:pPr>
              <w:jc w:val="right"/>
              <w:ind w:right="1191"/>
              <w:spacing w:after="0"/>
              <w:rPr>
                <w:sz w:val="20"/>
                <w:szCs w:val="20"/>
                <w:color w:val="auto"/>
              </w:rPr>
            </w:pPr>
            <w:r>
              <w:rPr>
                <w:rFonts w:ascii="Arial" w:cs="Arial" w:eastAsia="Arial" w:hAnsi="Arial"/>
                <w:sz w:val="14"/>
                <w:szCs w:val="14"/>
                <w:b w:val="1"/>
                <w:bCs w:val="1"/>
                <w:color w:val="auto"/>
              </w:rPr>
              <w:t>Fair Value as of</w:t>
            </w:r>
          </w:p>
        </w:tc>
      </w:tr>
      <w:tr>
        <w:trPr>
          <w:trHeight w:val="189"/>
        </w:trPr>
        <w:tc>
          <w:tcPr>
            <w:tcW w:w="7680" w:type="dxa"/>
            <w:vAlign w:val="bottom"/>
            <w:gridSpan w:val="5"/>
          </w:tcPr>
          <w:p>
            <w:pPr>
              <w:ind w:left="20"/>
              <w:spacing w:after="0" w:line="189" w:lineRule="exact"/>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480" w:type="dxa"/>
            <w:vAlign w:val="bottom"/>
          </w:tcPr>
          <w:p>
            <w:pPr>
              <w:jc w:val="right"/>
              <w:ind w:right="313"/>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2020</w:t>
            </w:r>
          </w:p>
        </w:tc>
      </w:tr>
      <w:tr>
        <w:trPr>
          <w:trHeight w:val="181"/>
        </w:trPr>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280" w:type="dxa"/>
            <w:vAlign w:val="bottom"/>
            <w:tcBorders>
              <w:top w:val="single" w:sz="8" w:color="auto"/>
            </w:tcBorders>
            <w:gridSpan w:val="3"/>
          </w:tcPr>
          <w:p>
            <w:pPr>
              <w:jc w:val="right"/>
              <w:ind w:right="1231"/>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68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hedges — Assets:</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7680" w:type="dxa"/>
            <w:vAlign w:val="bottom"/>
            <w:gridSpan w:val="5"/>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96"/>
        </w:trPr>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90"/>
              </w:rPr>
              <w:t>Cash Flow Hedges</w:t>
            </w:r>
          </w:p>
        </w:tc>
        <w:tc>
          <w:tcPr>
            <w:tcW w:w="6220" w:type="dxa"/>
            <w:vAlign w:val="bottom"/>
            <w:tcBorders>
              <w:bottom w:val="single" w:sz="8" w:color="CCEEFF"/>
            </w:tcBorders>
            <w:gridSpan w:val="3"/>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229"/>
        </w:trPr>
        <w:tc>
          <w:tcPr>
            <w:tcW w:w="220" w:type="dxa"/>
            <w:vAlign w:val="bottom"/>
          </w:tcPr>
          <w:p>
            <w:pPr>
              <w:spacing w:after="0"/>
              <w:rPr>
                <w:sz w:val="19"/>
                <w:szCs w:val="19"/>
                <w:color w:val="auto"/>
              </w:rPr>
            </w:pPr>
          </w:p>
        </w:tc>
        <w:tc>
          <w:tcPr>
            <w:tcW w:w="7460" w:type="dxa"/>
            <w:vAlign w:val="bottom"/>
            <w:gridSpan w:val="4"/>
          </w:tcPr>
          <w:p>
            <w:pPr>
              <w:ind w:left="140"/>
              <w:spacing w:after="0"/>
              <w:rPr>
                <w:sz w:val="20"/>
                <w:szCs w:val="20"/>
                <w:color w:val="auto"/>
              </w:rPr>
            </w:pPr>
            <w:r>
              <w:rPr>
                <w:rFonts w:ascii="Arial" w:cs="Arial" w:eastAsia="Arial" w:hAnsi="Arial"/>
                <w:sz w:val="18"/>
                <w:szCs w:val="18"/>
                <w:color w:val="auto"/>
              </w:rPr>
              <w:t>Cross-currency swap</w:t>
            </w:r>
          </w:p>
        </w:tc>
        <w:tc>
          <w:tcPr>
            <w:tcW w:w="240" w:type="dxa"/>
            <w:vAlign w:val="bottom"/>
          </w:tcPr>
          <w:p>
            <w:pPr>
              <w:spacing w:after="0"/>
              <w:rPr>
                <w:sz w:val="19"/>
                <w:szCs w:val="19"/>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10,083</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7,623</w:t>
            </w:r>
          </w:p>
        </w:tc>
      </w:tr>
      <w:tr>
        <w:trPr>
          <w:trHeight w:val="176"/>
        </w:trPr>
        <w:tc>
          <w:tcPr>
            <w:tcW w:w="220" w:type="dxa"/>
            <w:vAlign w:val="bottom"/>
            <w:shd w:val="clear" w:color="auto" w:fill="CCEEFF"/>
          </w:tcPr>
          <w:p>
            <w:pPr>
              <w:spacing w:after="0"/>
              <w:rPr>
                <w:sz w:val="15"/>
                <w:szCs w:val="15"/>
                <w:color w:val="auto"/>
              </w:rPr>
            </w:pPr>
          </w:p>
        </w:tc>
        <w:tc>
          <w:tcPr>
            <w:tcW w:w="7460" w:type="dxa"/>
            <w:vAlign w:val="bottom"/>
            <w:gridSpan w:val="4"/>
            <w:shd w:val="clear" w:color="auto" w:fill="CCEEFF"/>
          </w:tcPr>
          <w:p>
            <w:pPr>
              <w:spacing w:after="0" w:line="175" w:lineRule="exact"/>
              <w:rPr>
                <w:sz w:val="20"/>
                <w:szCs w:val="20"/>
                <w:color w:val="auto"/>
              </w:rPr>
            </w:pPr>
            <w:r>
              <w:rPr>
                <w:rFonts w:ascii="Arial" w:cs="Arial" w:eastAsia="Arial" w:hAnsi="Arial"/>
                <w:sz w:val="16"/>
                <w:szCs w:val="16"/>
                <w:color w:val="auto"/>
              </w:rPr>
              <w:t>Net Investment Hedges</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20" w:type="dxa"/>
            <w:vAlign w:val="bottom"/>
          </w:tcPr>
          <w:p>
            <w:pPr>
              <w:spacing w:after="0"/>
              <w:rPr>
                <w:sz w:val="19"/>
                <w:szCs w:val="19"/>
                <w:color w:val="auto"/>
              </w:rPr>
            </w:pPr>
          </w:p>
        </w:tc>
        <w:tc>
          <w:tcPr>
            <w:tcW w:w="7460" w:type="dxa"/>
            <w:vAlign w:val="bottom"/>
            <w:gridSpan w:val="4"/>
          </w:tcPr>
          <w:p>
            <w:pPr>
              <w:ind w:left="140"/>
              <w:spacing w:after="0"/>
              <w:rPr>
                <w:sz w:val="20"/>
                <w:szCs w:val="20"/>
                <w:color w:val="auto"/>
              </w:rPr>
            </w:pPr>
            <w:r>
              <w:rPr>
                <w:rFonts w:ascii="Arial" w:cs="Arial" w:eastAsia="Arial" w:hAnsi="Arial"/>
                <w:sz w:val="18"/>
                <w:szCs w:val="18"/>
                <w:color w:val="auto"/>
              </w:rPr>
              <w:t>Cross-currency swap</w:t>
            </w:r>
          </w:p>
        </w:tc>
        <w:tc>
          <w:tcPr>
            <w:tcW w:w="240" w:type="dxa"/>
            <w:vAlign w:val="bottom"/>
          </w:tcPr>
          <w:p>
            <w:pPr>
              <w:spacing w:after="0"/>
              <w:rPr>
                <w:sz w:val="19"/>
                <w:szCs w:val="19"/>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5,209</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5,297</w:t>
            </w:r>
          </w:p>
        </w:tc>
      </w:tr>
      <w:tr>
        <w:trPr>
          <w:trHeight w:val="229"/>
        </w:trPr>
        <w:tc>
          <w:tcPr>
            <w:tcW w:w="76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176"/>
        </w:trPr>
        <w:tc>
          <w:tcPr>
            <w:tcW w:w="7680" w:type="dxa"/>
            <w:vAlign w:val="bottom"/>
            <w:gridSpan w:val="5"/>
          </w:tcPr>
          <w:p>
            <w:pPr>
              <w:ind w:left="220"/>
              <w:spacing w:after="0" w:line="175" w:lineRule="exact"/>
              <w:rPr>
                <w:sz w:val="20"/>
                <w:szCs w:val="20"/>
                <w:color w:val="auto"/>
              </w:rPr>
            </w:pPr>
            <w:r>
              <w:rPr>
                <w:rFonts w:ascii="Arial" w:cs="Arial" w:eastAsia="Arial" w:hAnsi="Arial"/>
                <w:sz w:val="16"/>
                <w:szCs w:val="16"/>
                <w:color w:val="auto"/>
              </w:rPr>
              <w:t>Cash Flow Hedges</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
        </w:trPr>
        <w:tc>
          <w:tcPr>
            <w:tcW w:w="2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0"/>
        </w:trPr>
        <w:tc>
          <w:tcPr>
            <w:tcW w:w="220" w:type="dxa"/>
            <w:vAlign w:val="bottom"/>
            <w:shd w:val="clear" w:color="auto" w:fill="CCEEFF"/>
          </w:tcPr>
          <w:p>
            <w:pPr>
              <w:spacing w:after="0"/>
              <w:rPr>
                <w:sz w:val="19"/>
                <w:szCs w:val="19"/>
                <w:color w:val="auto"/>
              </w:rPr>
            </w:pPr>
          </w:p>
        </w:tc>
        <w:tc>
          <w:tcPr>
            <w:tcW w:w="7460" w:type="dxa"/>
            <w:vAlign w:val="bottom"/>
            <w:gridSpan w:val="4"/>
            <w:shd w:val="clear" w:color="auto" w:fill="CCEEFF"/>
          </w:tcPr>
          <w:p>
            <w:pPr>
              <w:ind w:left="140"/>
              <w:spacing w:after="0" w:line="23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14,507</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20" w:type="dxa"/>
            <w:vAlign w:val="bottom"/>
          </w:tcPr>
          <w:p>
            <w:pPr>
              <w:spacing w:after="0"/>
              <w:rPr>
                <w:sz w:val="19"/>
                <w:szCs w:val="19"/>
                <w:color w:val="auto"/>
              </w:rPr>
            </w:pPr>
          </w:p>
        </w:tc>
        <w:tc>
          <w:tcPr>
            <w:tcW w:w="7460" w:type="dxa"/>
            <w:vAlign w:val="bottom"/>
            <w:gridSpan w:val="4"/>
          </w:tcPr>
          <w:p>
            <w:pPr>
              <w:ind w:left="140"/>
              <w:spacing w:after="0"/>
              <w:rPr>
                <w:sz w:val="20"/>
                <w:szCs w:val="20"/>
                <w:color w:val="auto"/>
              </w:rPr>
            </w:pPr>
            <w:r>
              <w:rPr>
                <w:rFonts w:ascii="Arial" w:cs="Arial" w:eastAsia="Arial" w:hAnsi="Arial"/>
                <w:sz w:val="18"/>
                <w:szCs w:val="18"/>
                <w:color w:val="auto"/>
              </w:rPr>
              <w:t>Cross-currency swap</w:t>
            </w:r>
          </w:p>
        </w:tc>
        <w:tc>
          <w:tcPr>
            <w:tcW w:w="240" w:type="dxa"/>
            <w:vAlign w:val="bottom"/>
          </w:tcPr>
          <w:p>
            <w:pPr>
              <w:spacing w:after="0"/>
              <w:rPr>
                <w:sz w:val="19"/>
                <w:szCs w:val="19"/>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10,978</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76"/>
        </w:trPr>
        <w:tc>
          <w:tcPr>
            <w:tcW w:w="220" w:type="dxa"/>
            <w:vAlign w:val="bottom"/>
            <w:shd w:val="clear" w:color="auto" w:fill="CCEEFF"/>
          </w:tcPr>
          <w:p>
            <w:pPr>
              <w:spacing w:after="0"/>
              <w:rPr>
                <w:sz w:val="15"/>
                <w:szCs w:val="15"/>
                <w:color w:val="auto"/>
              </w:rPr>
            </w:pPr>
          </w:p>
        </w:tc>
        <w:tc>
          <w:tcPr>
            <w:tcW w:w="7460" w:type="dxa"/>
            <w:vAlign w:val="bottom"/>
            <w:gridSpan w:val="4"/>
            <w:shd w:val="clear" w:color="auto" w:fill="CCEEFF"/>
          </w:tcPr>
          <w:p>
            <w:pPr>
              <w:spacing w:after="0" w:line="175" w:lineRule="exact"/>
              <w:rPr>
                <w:sz w:val="20"/>
                <w:szCs w:val="20"/>
                <w:color w:val="auto"/>
              </w:rPr>
            </w:pPr>
            <w:r>
              <w:rPr>
                <w:rFonts w:ascii="Arial" w:cs="Arial" w:eastAsia="Arial" w:hAnsi="Arial"/>
                <w:sz w:val="16"/>
                <w:szCs w:val="16"/>
                <w:color w:val="auto"/>
              </w:rPr>
              <w:t>Net Investment Hedges</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4"/>
          </w:tcPr>
          <w:p>
            <w:pPr>
              <w:ind w:left="140"/>
              <w:spacing w:after="0"/>
              <w:rPr>
                <w:sz w:val="20"/>
                <w:szCs w:val="20"/>
                <w:color w:val="auto"/>
              </w:rPr>
            </w:pPr>
            <w:r>
              <w:rPr>
                <w:rFonts w:ascii="Arial" w:cs="Arial" w:eastAsia="Arial" w:hAnsi="Arial"/>
                <w:sz w:val="18"/>
                <w:szCs w:val="18"/>
                <w:color w:val="auto"/>
              </w:rPr>
              <w:t>Cross-currency swap</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656</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6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derivatives designated as hedges —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41,433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12,920</w:t>
            </w: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768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680" w:type="dxa"/>
            <w:vAlign w:val="bottom"/>
            <w:gridSpan w:val="5"/>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96"/>
        </w:trPr>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90"/>
              </w:rPr>
              <w:t>Cash Flow Hedges</w:t>
            </w:r>
          </w:p>
        </w:tc>
        <w:tc>
          <w:tcPr>
            <w:tcW w:w="6220" w:type="dxa"/>
            <w:vAlign w:val="bottom"/>
            <w:tcBorders>
              <w:bottom w:val="single" w:sz="8" w:color="CCEEFF"/>
            </w:tcBorders>
            <w:gridSpan w:val="3"/>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230"/>
        </w:trPr>
        <w:tc>
          <w:tcPr>
            <w:tcW w:w="220" w:type="dxa"/>
            <w:vAlign w:val="bottom"/>
          </w:tcPr>
          <w:p>
            <w:pPr>
              <w:spacing w:after="0"/>
              <w:rPr>
                <w:sz w:val="19"/>
                <w:szCs w:val="19"/>
                <w:color w:val="auto"/>
              </w:rPr>
            </w:pPr>
          </w:p>
        </w:tc>
        <w:tc>
          <w:tcPr>
            <w:tcW w:w="7460" w:type="dxa"/>
            <w:vAlign w:val="bottom"/>
            <w:gridSpan w:val="4"/>
          </w:tcPr>
          <w:p>
            <w:pPr>
              <w:ind w:left="140"/>
              <w:spacing w:after="0" w:line="23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21,337</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22,033</w:t>
            </w:r>
          </w:p>
        </w:tc>
      </w:tr>
      <w:tr>
        <w:trPr>
          <w:trHeight w:val="229"/>
        </w:trPr>
        <w:tc>
          <w:tcPr>
            <w:tcW w:w="220" w:type="dxa"/>
            <w:vAlign w:val="bottom"/>
            <w:shd w:val="clear" w:color="auto" w:fill="CCEEFF"/>
          </w:tcPr>
          <w:p>
            <w:pPr>
              <w:spacing w:after="0"/>
              <w:rPr>
                <w:sz w:val="19"/>
                <w:szCs w:val="19"/>
                <w:color w:val="auto"/>
              </w:rPr>
            </w:pPr>
          </w:p>
        </w:tc>
        <w:tc>
          <w:tcPr>
            <w:tcW w:w="74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Cross-currency swap</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955</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r>
      <w:tr>
        <w:trPr>
          <w:trHeight w:val="176"/>
        </w:trPr>
        <w:tc>
          <w:tcPr>
            <w:tcW w:w="7680" w:type="dxa"/>
            <w:vAlign w:val="bottom"/>
            <w:gridSpan w:val="5"/>
          </w:tcPr>
          <w:p>
            <w:pPr>
              <w:ind w:left="220"/>
              <w:spacing w:after="0" w:line="175" w:lineRule="exact"/>
              <w:rPr>
                <w:sz w:val="20"/>
                <w:szCs w:val="20"/>
                <w:color w:val="auto"/>
              </w:rPr>
            </w:pPr>
            <w:r>
              <w:rPr>
                <w:rFonts w:ascii="Arial" w:cs="Arial" w:eastAsia="Arial" w:hAnsi="Arial"/>
                <w:sz w:val="16"/>
                <w:szCs w:val="16"/>
                <w:color w:val="auto"/>
              </w:rPr>
              <w:t>Net Investment Hedges</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
        </w:trPr>
        <w:tc>
          <w:tcPr>
            <w:tcW w:w="2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0"/>
        </w:trPr>
        <w:tc>
          <w:tcPr>
            <w:tcW w:w="220" w:type="dxa"/>
            <w:vAlign w:val="bottom"/>
            <w:shd w:val="clear" w:color="auto" w:fill="CCEEFF"/>
          </w:tcPr>
          <w:p>
            <w:pPr>
              <w:spacing w:after="0"/>
              <w:rPr>
                <w:sz w:val="19"/>
                <w:szCs w:val="19"/>
                <w:color w:val="auto"/>
              </w:rPr>
            </w:pPr>
          </w:p>
        </w:tc>
        <w:tc>
          <w:tcPr>
            <w:tcW w:w="74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Cross-currency swap</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r>
      <w:tr>
        <w:trPr>
          <w:trHeight w:val="230"/>
        </w:trPr>
        <w:tc>
          <w:tcPr>
            <w:tcW w:w="7680" w:type="dxa"/>
            <w:vAlign w:val="bottom"/>
            <w:gridSpan w:val="5"/>
          </w:tcPr>
          <w:p>
            <w:pPr>
              <w:ind w:left="1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96"/>
        </w:trPr>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90"/>
              </w:rPr>
              <w:t>Cash Flow Hedges</w:t>
            </w:r>
          </w:p>
        </w:tc>
        <w:tc>
          <w:tcPr>
            <w:tcW w:w="6220" w:type="dxa"/>
            <w:vAlign w:val="bottom"/>
            <w:tcBorders>
              <w:bottom w:val="single" w:sz="8" w:color="CCEEFF"/>
            </w:tcBorders>
            <w:gridSpan w:val="3"/>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230"/>
        </w:trPr>
        <w:tc>
          <w:tcPr>
            <w:tcW w:w="220" w:type="dxa"/>
            <w:vAlign w:val="bottom"/>
          </w:tcPr>
          <w:p>
            <w:pPr>
              <w:spacing w:after="0"/>
              <w:rPr>
                <w:sz w:val="19"/>
                <w:szCs w:val="19"/>
                <w:color w:val="auto"/>
              </w:rPr>
            </w:pPr>
          </w:p>
        </w:tc>
        <w:tc>
          <w:tcPr>
            <w:tcW w:w="7460" w:type="dxa"/>
            <w:vAlign w:val="bottom"/>
            <w:gridSpan w:val="4"/>
          </w:tcPr>
          <w:p>
            <w:pPr>
              <w:ind w:left="140"/>
              <w:spacing w:after="0" w:line="23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46,717</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71,736</w:t>
            </w:r>
          </w:p>
        </w:tc>
      </w:tr>
      <w:tr>
        <w:trPr>
          <w:trHeight w:val="230"/>
        </w:trPr>
        <w:tc>
          <w:tcPr>
            <w:tcW w:w="220" w:type="dxa"/>
            <w:vAlign w:val="bottom"/>
            <w:shd w:val="clear" w:color="auto" w:fill="CCEEFF"/>
          </w:tcPr>
          <w:p>
            <w:pPr>
              <w:spacing w:after="0"/>
              <w:rPr>
                <w:sz w:val="19"/>
                <w:szCs w:val="19"/>
                <w:color w:val="auto"/>
              </w:rPr>
            </w:pPr>
          </w:p>
        </w:tc>
        <w:tc>
          <w:tcPr>
            <w:tcW w:w="74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Cross-currency swap</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4,615</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26,728</w:t>
            </w:r>
          </w:p>
        </w:tc>
      </w:tr>
      <w:tr>
        <w:trPr>
          <w:trHeight w:val="175"/>
        </w:trPr>
        <w:tc>
          <w:tcPr>
            <w:tcW w:w="7680" w:type="dxa"/>
            <w:vAlign w:val="bottom"/>
            <w:gridSpan w:val="5"/>
          </w:tcPr>
          <w:p>
            <w:pPr>
              <w:ind w:left="220"/>
              <w:spacing w:after="0" w:line="175" w:lineRule="exact"/>
              <w:rPr>
                <w:sz w:val="20"/>
                <w:szCs w:val="20"/>
                <w:color w:val="auto"/>
              </w:rPr>
            </w:pPr>
            <w:r>
              <w:rPr>
                <w:rFonts w:ascii="Arial" w:cs="Arial" w:eastAsia="Arial" w:hAnsi="Arial"/>
                <w:sz w:val="16"/>
                <w:szCs w:val="16"/>
                <w:color w:val="auto"/>
              </w:rPr>
              <w:t>Net Investment Hedges</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
        </w:trPr>
        <w:tc>
          <w:tcPr>
            <w:tcW w:w="2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0"/>
        </w:trPr>
        <w:tc>
          <w:tcPr>
            <w:tcW w:w="220" w:type="dxa"/>
            <w:vAlign w:val="bottom"/>
            <w:shd w:val="clear" w:color="auto" w:fill="CCEEFF"/>
          </w:tcPr>
          <w:p>
            <w:pPr>
              <w:spacing w:after="0"/>
              <w:rPr>
                <w:sz w:val="19"/>
                <w:szCs w:val="19"/>
                <w:color w:val="auto"/>
              </w:rPr>
            </w:pPr>
          </w:p>
        </w:tc>
        <w:tc>
          <w:tcPr>
            <w:tcW w:w="74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Cross-currency swap</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9,449</w:t>
            </w:r>
          </w:p>
        </w:tc>
      </w:tr>
      <w:tr>
        <w:trPr>
          <w:trHeight w:val="223"/>
        </w:trPr>
        <w:tc>
          <w:tcPr>
            <w:tcW w:w="7680" w:type="dxa"/>
            <w:vAlign w:val="bottom"/>
            <w:gridSpan w:val="5"/>
          </w:tcPr>
          <w:p>
            <w:pPr>
              <w:ind w:left="2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73,652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136,165</w:t>
            </w:r>
          </w:p>
        </w:tc>
      </w:tr>
      <w:tr>
        <w:trPr>
          <w:trHeight w:val="20"/>
        </w:trPr>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Company classifies derivative assets and liabilities as current based on the cash flows expected to be incurred within the following 12 months.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At March 31, 2021 and December 31, 2020, the total notional amounts related to the Company’s interest rate swaps both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were $1.9 billion.</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 of operations during the three months ended March 31, 2021 and 2020: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4"/>
                <w:szCs w:val="14"/>
                <w:color w:val="auto"/>
              </w:rPr>
            </w:pPr>
          </w:p>
        </w:tc>
        <w:tc>
          <w:tcPr>
            <w:tcW w:w="13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Amount of Gain</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6"/>
              </w:rPr>
              <w:t>Balance in AOCL</w:t>
            </w:r>
          </w:p>
        </w:tc>
        <w:tc>
          <w:tcPr>
            <w:tcW w:w="2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0"/>
              </w:rPr>
              <w:t>(Loss)</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58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w w:val="93"/>
              </w:rPr>
              <w:t>Gain (Loss)</w:t>
            </w:r>
          </w:p>
        </w:tc>
        <w:tc>
          <w:tcPr>
            <w:tcW w:w="160" w:type="dxa"/>
            <w:vAlign w:val="bottom"/>
          </w:tcPr>
          <w:p>
            <w:pPr>
              <w:spacing w:after="0"/>
              <w:rPr>
                <w:sz w:val="11"/>
                <w:szCs w:val="11"/>
                <w:color w:val="auto"/>
              </w:rPr>
            </w:pPr>
          </w:p>
        </w:tc>
        <w:tc>
          <w:tcPr>
            <w:tcW w:w="130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0"/>
              </w:rPr>
              <w:t>Reclassified from</w:t>
            </w: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6"/>
              </w:rPr>
              <w:t>Balance in AOCL</w:t>
            </w:r>
          </w:p>
        </w:tc>
        <w:tc>
          <w:tcPr>
            <w:tcW w:w="2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1"/>
                <w:szCs w:val="11"/>
                <w:color w:val="auto"/>
              </w:rPr>
            </w:pPr>
          </w:p>
        </w:tc>
        <w:tc>
          <w:tcPr>
            <w:tcW w:w="128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11"/>
                <w:szCs w:val="11"/>
                <w:color w:val="auto"/>
              </w:rPr>
            </w:pPr>
          </w:p>
        </w:tc>
        <w:tc>
          <w:tcPr>
            <w:tcW w:w="130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AOCL into</w:t>
            </w:r>
          </w:p>
        </w:tc>
        <w:tc>
          <w:tcPr>
            <w:tcW w:w="1200" w:type="dxa"/>
            <w:vAlign w:val="bottom"/>
            <w:gridSpan w:val="2"/>
            <w:vMerge w:val="continue"/>
          </w:tcPr>
          <w:p>
            <w:pPr>
              <w:spacing w:after="0"/>
              <w:rPr>
                <w:sz w:val="11"/>
                <w:szCs w:val="11"/>
                <w:color w:val="auto"/>
              </w:rPr>
            </w:pPr>
          </w:p>
        </w:tc>
        <w:tc>
          <w:tcPr>
            <w:tcW w:w="258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AOCL</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3"/>
              </w:rPr>
              <w:t>End of Quarter</w:t>
            </w:r>
          </w:p>
        </w:tc>
        <w:tc>
          <w:tcPr>
            <w:tcW w:w="25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ind w:left="500"/>
              <w:spacing w:after="0"/>
              <w:rPr>
                <w:sz w:val="20"/>
                <w:szCs w:val="20"/>
                <w:color w:val="auto"/>
              </w:rPr>
            </w:pPr>
            <w:r>
              <w:rPr>
                <w:rFonts w:ascii="Arial" w:cs="Arial" w:eastAsia="Arial" w:hAnsi="Arial"/>
                <w:sz w:val="14"/>
                <w:szCs w:val="14"/>
                <w:b w:val="1"/>
                <w:bCs w:val="1"/>
                <w:color w:val="auto"/>
                <w:w w:val="97"/>
              </w:rPr>
              <w:t>(In thousands)</w:t>
            </w:r>
          </w:p>
        </w:tc>
        <w:tc>
          <w:tcPr>
            <w:tcW w:w="10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2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March 31, 2021</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9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27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(93,769)</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(5,705)</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(53,546)</w:t>
            </w:r>
          </w:p>
        </w:tc>
        <w:tc>
          <w:tcPr>
            <w:tcW w:w="2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2780" w:type="dxa"/>
            <w:vAlign w:val="bottom"/>
            <w:gridSpan w:val="3"/>
          </w:tcPr>
          <w:p>
            <w:pPr>
              <w:ind w:left="80"/>
              <w:spacing w:after="0"/>
              <w:rPr>
                <w:sz w:val="20"/>
                <w:szCs w:val="20"/>
                <w:color w:val="auto"/>
              </w:rPr>
            </w:pPr>
            <w:r>
              <w:rPr>
                <w:rFonts w:ascii="Arial" w:cs="Arial" w:eastAsia="Arial" w:hAnsi="Arial"/>
                <w:sz w:val="14"/>
                <w:szCs w:val="14"/>
                <w:color w:val="auto"/>
              </w:rPr>
              <w:t>Cross-currency swap</w:t>
            </w:r>
          </w:p>
        </w:tc>
        <w:tc>
          <w:tcPr>
            <w:tcW w:w="1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(1,073)</w:t>
            </w:r>
          </w:p>
        </w:tc>
        <w:tc>
          <w:tcPr>
            <w:tcW w:w="22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40,194</w:t>
            </w:r>
          </w:p>
        </w:tc>
        <w:tc>
          <w:tcPr>
            <w:tcW w:w="160" w:type="dxa"/>
            <w:vAlign w:val="bottom"/>
          </w:tcPr>
          <w:p>
            <w:pPr>
              <w:spacing w:after="0"/>
              <w:rPr>
                <w:sz w:val="16"/>
                <w:szCs w:val="16"/>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44,150</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(5,029)</w:t>
            </w:r>
          </w:p>
        </w:tc>
        <w:tc>
          <w:tcPr>
            <w:tcW w:w="2580" w:type="dxa"/>
            <w:vAlign w:val="bottom"/>
          </w:tcPr>
          <w:p>
            <w:pPr>
              <w:ind w:left="120"/>
              <w:spacing w:after="0"/>
              <w:rPr>
                <w:sz w:val="20"/>
                <w:szCs w:val="20"/>
                <w:color w:val="auto"/>
              </w:rPr>
            </w:pPr>
            <w:r>
              <w:rPr>
                <w:rFonts w:ascii="Arial" w:cs="Arial" w:eastAsia="Arial" w:hAnsi="Arial"/>
                <w:sz w:val="14"/>
                <w:szCs w:val="14"/>
                <w:color w:val="auto"/>
              </w:rPr>
              <w:t>Other income (expense),net</w:t>
            </w:r>
          </w:p>
        </w:tc>
        <w:tc>
          <w:tcPr>
            <w:tcW w:w="0" w:type="dxa"/>
            <w:vAlign w:val="bottom"/>
          </w:tcPr>
          <w:p>
            <w:pPr>
              <w:spacing w:after="0"/>
              <w:rPr>
                <w:sz w:val="1"/>
                <w:szCs w:val="1"/>
                <w:color w:val="auto"/>
              </w:rPr>
            </w:pPr>
          </w:p>
        </w:tc>
      </w:tr>
      <w:tr>
        <w:trPr>
          <w:trHeight w:val="172"/>
        </w:trPr>
        <w:tc>
          <w:tcPr>
            <w:tcW w:w="14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auto"/>
            </w:tcBorders>
            <w:gridSpan w:val="2"/>
            <w:shd w:val="clear" w:color="auto" w:fill="CCEEFF"/>
          </w:tcPr>
          <w:p>
            <w:pPr>
              <w:spacing w:after="0" w:line="152" w:lineRule="exact"/>
              <w:rPr>
                <w:sz w:val="20"/>
                <w:szCs w:val="20"/>
                <w:color w:val="auto"/>
              </w:rPr>
            </w:pPr>
            <w:r>
              <w:rPr>
                <w:rFonts w:ascii="Arial" w:cs="Arial" w:eastAsia="Arial" w:hAnsi="Arial"/>
                <w:sz w:val="14"/>
                <w:szCs w:val="14"/>
                <w:color w:val="auto"/>
                <w:w w:val="91"/>
              </w:rPr>
              <w:t>Net Investment Hedges</w:t>
            </w:r>
          </w:p>
        </w:tc>
        <w:tc>
          <w:tcPr>
            <w:tcW w:w="14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5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Cross-currency swap</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(12,291)</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13,573</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1,711</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w:t>
            </w:r>
          </w:p>
        </w:tc>
        <w:tc>
          <w:tcPr>
            <w:tcW w:w="2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Interest income</w:t>
            </w:r>
          </w:p>
        </w:tc>
        <w:tc>
          <w:tcPr>
            <w:tcW w:w="0" w:type="dxa"/>
            <w:vAlign w:val="bottom"/>
          </w:tcPr>
          <w:p>
            <w:pPr>
              <w:spacing w:after="0"/>
              <w:rPr>
                <w:sz w:val="1"/>
                <w:szCs w:val="1"/>
                <w:color w:val="auto"/>
              </w:rPr>
            </w:pPr>
          </w:p>
        </w:tc>
      </w:tr>
      <w:tr>
        <w:trPr>
          <w:trHeight w:val="208"/>
        </w:trPr>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(107,133)</w:t>
            </w: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88,285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40,156</w:t>
            </w:r>
          </w:p>
        </w:tc>
        <w:tc>
          <w:tcPr>
            <w:tcW w:w="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(59,004)</w:t>
            </w:r>
          </w:p>
        </w:tc>
        <w:tc>
          <w:tcPr>
            <w:tcW w:w="2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2020</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9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line="150" w:lineRule="exact"/>
              <w:rPr>
                <w:sz w:val="20"/>
                <w:szCs w:val="20"/>
                <w:color w:val="auto"/>
              </w:rPr>
            </w:pPr>
            <w:r>
              <w:rPr>
                <w:rFonts w:ascii="Arial" w:cs="Arial" w:eastAsia="Arial" w:hAnsi="Arial"/>
                <w:sz w:val="14"/>
                <w:szCs w:val="14"/>
                <w:color w:val="auto"/>
                <w:w w:val="91"/>
              </w:rPr>
              <w:t>Cash Flow Hedges</w:t>
            </w:r>
          </w:p>
        </w:tc>
        <w:tc>
          <w:tcPr>
            <w:tcW w:w="1680" w:type="dxa"/>
            <w:vAlign w:val="bottom"/>
            <w:tcBorders>
              <w:bottom w:val="single" w:sz="8" w:color="CCEEFF"/>
            </w:tcBorders>
            <w:gridSpan w:val="2"/>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5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2780" w:type="dxa"/>
            <w:vAlign w:val="bottom"/>
            <w:gridSpan w:val="3"/>
          </w:tcPr>
          <w:p>
            <w:pPr>
              <w:ind w:left="80"/>
              <w:spacing w:after="0"/>
              <w:rPr>
                <w:sz w:val="20"/>
                <w:szCs w:val="20"/>
                <w:color w:val="auto"/>
              </w:rPr>
            </w:pPr>
            <w:r>
              <w:rPr>
                <w:rFonts w:ascii="Arial" w:cs="Arial" w:eastAsia="Arial" w:hAnsi="Arial"/>
                <w:sz w:val="14"/>
                <w:szCs w:val="14"/>
                <w:color w:val="auto"/>
              </w:rPr>
              <w:t>Interest rate swap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(45,145)</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(51,651)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(1,043)</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(95,753)</w:t>
            </w:r>
          </w:p>
        </w:tc>
        <w:tc>
          <w:tcPr>
            <w:tcW w:w="258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192"/>
        </w:trPr>
        <w:tc>
          <w:tcPr>
            <w:tcW w:w="140" w:type="dxa"/>
            <w:vAlign w:val="bottom"/>
            <w:shd w:val="clear" w:color="auto" w:fill="CCEEFF"/>
          </w:tcPr>
          <w:p>
            <w:pPr>
              <w:spacing w:after="0"/>
              <w:rPr>
                <w:sz w:val="16"/>
                <w:szCs w:val="16"/>
                <w:color w:val="auto"/>
              </w:rPr>
            </w:pPr>
          </w:p>
        </w:tc>
        <w:tc>
          <w:tcPr>
            <w:tcW w:w="27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Cross-currency swap</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5,907</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6,266</w:t>
            </w:r>
          </w:p>
        </w:tc>
        <w:tc>
          <w:tcPr>
            <w:tcW w:w="2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income (expense),net</w:t>
            </w:r>
          </w:p>
        </w:tc>
        <w:tc>
          <w:tcPr>
            <w:tcW w:w="0" w:type="dxa"/>
            <w:vAlign w:val="bottom"/>
          </w:tcPr>
          <w:p>
            <w:pPr>
              <w:spacing w:after="0"/>
              <w:rPr>
                <w:sz w:val="1"/>
                <w:szCs w:val="1"/>
                <w:color w:val="auto"/>
              </w:rPr>
            </w:pPr>
          </w:p>
        </w:tc>
      </w:tr>
      <w:tr>
        <w:trPr>
          <w:trHeight w:val="148"/>
        </w:trPr>
        <w:tc>
          <w:tcPr>
            <w:tcW w:w="29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Net Investment Hedges</w:t>
            </w: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40" w:type="dxa"/>
            <w:vAlign w:val="bottom"/>
            <w:shd w:val="clear" w:color="auto" w:fill="CCEEFF"/>
          </w:tcPr>
          <w:p>
            <w:pPr>
              <w:spacing w:after="0"/>
              <w:rPr>
                <w:sz w:val="16"/>
                <w:szCs w:val="16"/>
                <w:color w:val="auto"/>
              </w:rPr>
            </w:pPr>
          </w:p>
        </w:tc>
        <w:tc>
          <w:tcPr>
            <w:tcW w:w="27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Cross-currency swap</w:t>
            </w: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10,229</w:t>
            </w: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18,897</w:t>
            </w: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2,180</w:t>
            </w: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26,946</w:t>
            </w:r>
          </w:p>
        </w:tc>
        <w:tc>
          <w:tcPr>
            <w:tcW w:w="2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income</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(34,739)</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955</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(62,541)</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the Company had stock options, restricted stock awards, performance stock awards, contract stock awards and restricted stock unit awards outstanding under the 2003 Equity Incentive Plan (the “2003 Plan”). The 2000 and 2001 Equity Incentive Plans were terminated as of February 19, 2021, and no further awards may be issued under the plans.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 options issued under the 2003 Plan become exercisable over specified periods, generally within four years from the date of grant for officers and employees, and within one year from date of grant for directors and generally expire eight years from the grant date for employees, and from six to ten years for directors and certain executive officers. The Company values stock option grants using the binomial distribution model. Restricted stock issued under the Plans vests over specified periods, generally three years after the date of grant. The vesting of performance stock issued under the Plans is subject to service and performance conditions.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March 31, 2021, there were approximately $7.7 million of total unrecognized compensation costs related to unvested stock options. These costs are expected to be recognized over a weighted-average period of approximately three years. There were 149,558 stock options granted during the three months ended March 31, 2021. For the three months ended March 31, 2021, the weighted average grant date fair value for stock options was $22.59 per option.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Performance stock and restricted stock awards generally have requisite service periods of three years. Performance stock units are subject to graded vesting conditions based on revenue goals of the Company. The Company expenses the fair value of restricted stock awards on a straight-line basis over the requisite service period. As of March 31, 2021, there was approximately $42.4 million of total unrecognized compensation costs related to these unvested awards. The Company expects to recognize these costs over a weighted-average period of approximately two years. The Company granted 211,262 restricted stock awards and 176,147 performance stock awards during the three months ended March 31, 2021. For the three months ended March 31, 2021, the weighted average grant date fair value for restricted stock awards and performance stock units was $68.00 and $68.10 per award, respectively.</w:t>
      </w:r>
    </w:p>
    <w:p>
      <w:pPr>
        <w:spacing w:after="0" w:line="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defined benefit pension plans that cover certain employees in France, Japan, Germany and Switzerland.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periodic benefit costs for the Company’s defined benefit pension plans for the three months ended March 31, 2021 were $0.6 million. The components of the net periodic benefit costs other than the service cost component of $0.8 million for the three months ended March 31, 2021, are included in other income (expense), net in the consolidated statements of operations.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periodic benefit costs for the Company’s defined benefit pension plans for the three months ended March 31, 2020 was $1.0 million. The components of the net periodic benefit costs other than the service cost component of $0.9 million for the three months ended March 31, 2020, are included in other income (expense), net in the consolidated statements of operations.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plan assets were $32.8 million and $37.8 million as of March 31, 2021 and December 31, 2020, respectively. The net plan assets of the pension plans are invested in common trusts as of March 31, 2021 and December 31, 2020.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maintains a Deferred Compensation Plan in which certain employees of the Company may defer the payment and taxation of up to 75% of their base salary and up to 100% of bonus amounts and other eligible cash compensation.</w:t>
      </w:r>
    </w:p>
    <w:p>
      <w:pPr>
        <w:spacing w:after="0" w:line="4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During the first quarter of 2020, employees participating in the Company's deferred compensation plan began to defer their compensation. 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at March 31, 2021 was $2.9 million. Offsetting liabilities relating to the deferred compensation plan are included in Other liabilities.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 AND RELATED PARTY LEASES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leases administrative, manufacturing, research and distribution facilities and vehicles through operating lease agreements. The Company has no finance leases as of March 31, 2021.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operating lease expense for the three months ended March 31, 2021 and March 31, 2020 was $5.3 million and $4.8 million respectively, which includes $0.1 million, in related party operating lease expense.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were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528955</wp:posOffset>
            </wp:positionV>
            <wp:extent cx="28975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March 31, 2021</w:t>
            </w: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6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80" w:type="dxa"/>
            <w:vAlign w:val="bottom"/>
            <w:gridSpan w:val="3"/>
            <w:shd w:val="clear" w:color="auto" w:fill="CCEEFF"/>
          </w:tcPr>
          <w:p>
            <w:pPr>
              <w:jc w:val="right"/>
              <w:ind w:right="632"/>
              <w:spacing w:after="0"/>
              <w:rPr>
                <w:sz w:val="20"/>
                <w:szCs w:val="20"/>
                <w:color w:val="auto"/>
              </w:rPr>
            </w:pPr>
            <w:r>
              <w:rPr>
                <w:rFonts w:ascii="Arial" w:cs="Arial" w:eastAsia="Arial" w:hAnsi="Arial"/>
                <w:sz w:val="14"/>
                <w:szCs w:val="14"/>
                <w:b w:val="1"/>
                <w:bCs w:val="1"/>
                <w:color w:val="auto"/>
              </w:rPr>
              <w:t>(In thousands, except lease term and discount rate)</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ROU assets</w:t>
            </w:r>
          </w:p>
        </w:tc>
        <w:tc>
          <w:tcPr>
            <w:tcW w:w="380" w:type="dxa"/>
            <w:vAlign w:val="bottom"/>
          </w:tcPr>
          <w:p>
            <w:pPr>
              <w:spacing w:after="0"/>
              <w:rPr>
                <w:sz w:val="19"/>
                <w:szCs w:val="19"/>
                <w:color w:val="auto"/>
              </w:rPr>
            </w:pPr>
          </w:p>
        </w:tc>
        <w:tc>
          <w:tcPr>
            <w:tcW w:w="1900" w:type="dxa"/>
            <w:vAlign w:val="bottom"/>
          </w:tcPr>
          <w:p>
            <w:pPr>
              <w:jc w:val="right"/>
              <w:ind w:right="134"/>
              <w:spacing w:after="0"/>
              <w:rPr>
                <w:sz w:val="20"/>
                <w:szCs w:val="20"/>
                <w:color w:val="auto"/>
              </w:rPr>
            </w:pPr>
            <w:r>
              <w:rPr>
                <w:rFonts w:ascii="Arial" w:cs="Arial" w:eastAsia="Arial" w:hAnsi="Arial"/>
                <w:sz w:val="18"/>
                <w:szCs w:val="18"/>
                <w:color w:val="auto"/>
              </w:rPr>
              <w:t>91,174</w:t>
            </w:r>
          </w:p>
        </w:tc>
        <w:tc>
          <w:tcPr>
            <w:tcW w:w="340" w:type="dxa"/>
            <w:vAlign w:val="bottom"/>
          </w:tcPr>
          <w:p>
            <w:pPr>
              <w:spacing w:after="0"/>
              <w:rPr>
                <w:sz w:val="19"/>
                <w:szCs w:val="19"/>
                <w:color w:val="auto"/>
              </w:rPr>
            </w:pP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83,635</w:t>
            </w:r>
          </w:p>
        </w:tc>
      </w:tr>
      <w:tr>
        <w:trPr>
          <w:trHeight w:val="270"/>
        </w:trPr>
        <w:tc>
          <w:tcPr>
            <w:tcW w:w="6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380" w:type="dxa"/>
            <w:vAlign w:val="bottom"/>
          </w:tcPr>
          <w:p>
            <w:pPr>
              <w:spacing w:after="0"/>
              <w:rPr>
                <w:sz w:val="19"/>
                <w:szCs w:val="19"/>
                <w:color w:val="auto"/>
              </w:rPr>
            </w:pPr>
          </w:p>
        </w:tc>
        <w:tc>
          <w:tcPr>
            <w:tcW w:w="1900" w:type="dxa"/>
            <w:vAlign w:val="bottom"/>
          </w:tcPr>
          <w:p>
            <w:pPr>
              <w:jc w:val="right"/>
              <w:ind w:right="134"/>
              <w:spacing w:after="0"/>
              <w:rPr>
                <w:sz w:val="20"/>
                <w:szCs w:val="20"/>
                <w:color w:val="auto"/>
              </w:rPr>
            </w:pPr>
            <w:r>
              <w:rPr>
                <w:rFonts w:ascii="Arial" w:cs="Arial" w:eastAsia="Arial" w:hAnsi="Arial"/>
                <w:sz w:val="18"/>
                <w:szCs w:val="18"/>
                <w:color w:val="auto"/>
              </w:rPr>
              <w:t>13,900</w:t>
            </w:r>
          </w:p>
        </w:tc>
        <w:tc>
          <w:tcPr>
            <w:tcW w:w="340" w:type="dxa"/>
            <w:vAlign w:val="bottom"/>
          </w:tcPr>
          <w:p>
            <w:pPr>
              <w:spacing w:after="0"/>
              <w:rPr>
                <w:sz w:val="19"/>
                <w:szCs w:val="19"/>
                <w:color w:val="auto"/>
              </w:rPr>
            </w:pP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12,818</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95,549</w:t>
            </w:r>
          </w:p>
        </w:tc>
        <w:tc>
          <w:tcPr>
            <w:tcW w:w="3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88,118</w:t>
            </w:r>
          </w:p>
        </w:tc>
      </w:tr>
      <w:tr>
        <w:trPr>
          <w:trHeight w:val="223"/>
        </w:trPr>
        <w:tc>
          <w:tcPr>
            <w:tcW w:w="6680" w:type="dxa"/>
            <w:vAlign w:val="bottom"/>
          </w:tcPr>
          <w:p>
            <w:pPr>
              <w:ind w:left="22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109,449</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100,936</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7"/>
        </w:trPr>
        <w:tc>
          <w:tcPr>
            <w:tcW w:w="6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Leased facilities</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years</w:t>
            </w:r>
          </w:p>
        </w:tc>
        <w:tc>
          <w:tcPr>
            <w:tcW w:w="3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years</w:t>
            </w:r>
          </w:p>
        </w:tc>
      </w:tr>
      <w:tr>
        <w:trPr>
          <w:trHeight w:val="229"/>
        </w:trPr>
        <w:tc>
          <w:tcPr>
            <w:tcW w:w="6680" w:type="dxa"/>
            <w:vAlign w:val="bottom"/>
          </w:tcPr>
          <w:p>
            <w:pPr>
              <w:ind w:left="220"/>
              <w:spacing w:after="0"/>
              <w:rPr>
                <w:sz w:val="20"/>
                <w:szCs w:val="20"/>
                <w:color w:val="auto"/>
              </w:rPr>
            </w:pPr>
            <w:r>
              <w:rPr>
                <w:rFonts w:ascii="Arial" w:cs="Arial" w:eastAsia="Arial" w:hAnsi="Arial"/>
                <w:sz w:val="18"/>
                <w:szCs w:val="18"/>
                <w:color w:val="auto"/>
              </w:rPr>
              <w:t>Leased vehicles</w:t>
            </w:r>
          </w:p>
        </w:tc>
        <w:tc>
          <w:tcPr>
            <w:tcW w:w="3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 years</w:t>
            </w: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 years</w:t>
            </w:r>
          </w:p>
        </w:tc>
      </w:tr>
      <w:tr>
        <w:trPr>
          <w:trHeight w:val="270"/>
        </w:trPr>
        <w:tc>
          <w:tcPr>
            <w:tcW w:w="6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Leased facilities</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3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Leased vehicles</w:t>
            </w:r>
          </w:p>
        </w:tc>
        <w:tc>
          <w:tcPr>
            <w:tcW w:w="3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2.7 %</w:t>
            </w:r>
          </w:p>
        </w:tc>
        <w:tc>
          <w:tcPr>
            <w:tcW w:w="3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2.3 %</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three months ended March 31,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160655</wp:posOffset>
            </wp:positionV>
            <wp:extent cx="23317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11" w:lineRule="exact"/>
        <w:rPr>
          <w:sz w:val="20"/>
          <w:szCs w:val="20"/>
          <w:color w:val="auto"/>
        </w:rPr>
      </w:pPr>
    </w:p>
    <w:p>
      <w:pPr>
        <w:ind w:left="7300"/>
        <w:spacing w:after="0"/>
        <w:rPr>
          <w:sz w:val="20"/>
          <w:szCs w:val="20"/>
          <w:color w:val="auto"/>
        </w:rPr>
      </w:pPr>
      <w:r>
        <w:rPr>
          <w:rFonts w:ascii="Arial" w:cs="Arial" w:eastAsia="Arial" w:hAnsi="Arial"/>
          <w:sz w:val="13"/>
          <w:szCs w:val="13"/>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65405</wp:posOffset>
            </wp:positionV>
            <wp:extent cx="638619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6195" cy="128905"/>
                    </a:xfrm>
                    <a:prstGeom prst="rect">
                      <a:avLst/>
                    </a:prstGeom>
                    <a:noFill/>
                  </pic:spPr>
                </pic:pic>
              </a:graphicData>
            </a:graphic>
          </wp:anchor>
        </w:drawing>
      </w:r>
    </w:p>
    <w:p>
      <w:pPr>
        <w:spacing w:after="0" w:line="87" w:lineRule="exact"/>
        <w:rPr>
          <w:sz w:val="20"/>
          <w:szCs w:val="20"/>
          <w:color w:val="auto"/>
        </w:rPr>
      </w:pPr>
    </w:p>
    <w:p>
      <w:pPr>
        <w:ind w:left="734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March 31, 2020</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thousands)</w:t>
      </w:r>
    </w:p>
    <w:p>
      <w:pPr>
        <w:spacing w:after="0" w:line="37" w:lineRule="exact"/>
        <w:rPr>
          <w:sz w:val="20"/>
          <w:szCs w:val="20"/>
          <w:color w:val="auto"/>
        </w:rPr>
      </w:pPr>
    </w:p>
    <w:p>
      <w:pPr>
        <w:sectPr>
          <w:pgSz w:w="11900" w:h="16838" w:orient="portrait"/>
          <w:cols w:equalWidth="0" w:num="2">
            <w:col w:w="8580" w:space="720"/>
            <w:col w:w="1940"/>
          </w:cols>
          <w:pgMar w:left="320" w:top="121" w:right="339" w:bottom="1440" w:gutter="0" w:footer="0" w:header="0"/>
          <w:type w:val="continuous"/>
        </w:sectPr>
      </w:pPr>
    </w:p>
    <w:tbl>
      <w:tblPr>
        <w:tblLayout w:type="fixed"/>
        <w:tblInd w:w="600" w:type="dxa"/>
        <w:tblCellMar>
          <w:top w:w="0" w:type="dxa"/>
          <w:left w:w="0" w:type="dxa"/>
          <w:bottom w:w="0" w:type="dxa"/>
          <w:right w:w="0" w:type="dxa"/>
        </w:tblCellMar>
      </w:tblPr>
      <w:tr>
        <w:trPr>
          <w:trHeight w:val="222"/>
        </w:trPr>
        <w:tc>
          <w:tcPr>
            <w:tcW w:w="638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29"/>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r>
      <w:tr>
        <w:trPr>
          <w:trHeight w:val="270"/>
        </w:trPr>
        <w:tc>
          <w:tcPr>
            <w:tcW w:w="6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9,662</w:t>
            </w:r>
          </w:p>
        </w:tc>
        <w:tc>
          <w:tcPr>
            <w:tcW w:w="320" w:type="dxa"/>
            <w:vAlign w:val="bottom"/>
          </w:tcPr>
          <w:p>
            <w:pPr>
              <w:spacing w:after="0"/>
              <w:rPr>
                <w:sz w:val="20"/>
                <w:szCs w:val="20"/>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5,808</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March 31, 2021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Third Parties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Related Parties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Total</w:t>
            </w:r>
          </w:p>
        </w:tc>
      </w:tr>
      <w:tr>
        <w:trPr>
          <w:trHeight w:val="187"/>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11,859</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16,627</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11,706</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9,968</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73,691</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Total minimum lease payments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148,205</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38,756</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109,449</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lease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95,549</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leases its manufacturing facility in Plainsboro, New Jersey, from a general partnership that is 50% owned by a corporation whose shareholders are trusts, whose beneficiaries include family members of the Company’s principal stockholder and former director. The term of the current lease agreement is through October 31, 2029 at an annual rate of approximately $0.3 million per year.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TREASURY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and December 31, 2020, there were 4.9 million shares of treasury stock outstanding with a cost of $234.5 million and $235.1 million, respectively, at a weighted average cost per share of $47.86.</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7, 2020, the Board of Directors of the Company authorized the Company to repurchase up to $225.0 million of the Company’s common stock. The program allows the Company to repurchase its shares opportunistically from time to time. The repurchase authorization expires in December 2022. The Company has $225.0 million remaining under the share repurchase of its Common Stock.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twelve months ended December 31, 2020, the Company repurchased 2.1 million shares of Integra’s common stock as part of the previous share repurchase authorization. The Company utilized $100.0 million of net proceeds from the offering of the Convertible Senior Notes to execute the share repurchase transactions. This included $7.6 million from certain purchasers of the convertible notes in conjunction with the closing of the offering. On February 5, 2020, the Company entered into a $92.4 million accelerated share repurchase ("ASR") to complete the remaining $100.0 million of share repurchase. The Company received 1.3 million shares at inception of the ASR, which represented approximately 80% of the expected total shares. Upon settlement of the ASR in June 2020, the Company received an additional 0.6 million shares determined using the volume-weighted average price of the Company's common stock during the term of the transaction.</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136"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6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7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2020</w:t>
            </w:r>
          </w:p>
        </w:tc>
      </w:tr>
      <w:tr>
        <w:trPr>
          <w:trHeight w:val="249"/>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tax rate</w:t>
            </w:r>
          </w:p>
        </w:tc>
        <w:tc>
          <w:tcPr>
            <w:tcW w:w="1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income tax rates for the three months ended March 31, 2021 and 2020 were 32.5% and 19.8%, respectively. For the three months ended March 31, 2021, the primary driver of the higher tax rate is the tax impact of the gain on the sale of the business which closed during the first quarter of 2021. For the three months ended March 31, 2020, the primary drivers of the rate were lower income impacted by the COVID-19 pandemic, coupled with a $3.3 million valuation allowance on certain foreign deferred tax assets.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2021, the Company has not provided deferred income taxes on unrepatriated earnings from foreign subsidiaries as they are deemed indefinitely reinvested. Such taxes would primarily be attributable to foreign withholding taxes and local income taxes when such earnings are distributed. As such, the Company has determined the tax impact of repatriating these earnings would not be material as of March 31, 2021. The Company does not anticipate the need to repatriate earnings from foreign subsidiaries as a result of the impact of the COVID-19 pandemic.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r>
      <w:tr>
        <w:trPr>
          <w:trHeight w:val="340"/>
        </w:trPr>
        <w:tc>
          <w:tcPr>
            <w:tcW w:w="20" w:type="dxa"/>
            <w:vAlign w:val="bottom"/>
            <w:tcBorders>
              <w:bottom w:val="single" w:sz="8" w:color="CCEEFF"/>
            </w:tcBorders>
          </w:tcPr>
          <w:p>
            <w:pPr>
              <w:spacing w:after="0"/>
              <w:rPr>
                <w:sz w:val="24"/>
                <w:szCs w:val="24"/>
                <w:color w:val="auto"/>
              </w:rPr>
            </w:pPr>
          </w:p>
        </w:tc>
        <w:tc>
          <w:tcPr>
            <w:tcW w:w="2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840" w:type="dxa"/>
            <w:vAlign w:val="bottom"/>
            <w:tcBorders>
              <w:bottom w:val="single" w:sz="8" w:color="CCEEFF"/>
            </w:tcBorders>
          </w:tcPr>
          <w:p>
            <w:pPr>
              <w:spacing w:after="0"/>
              <w:rPr>
                <w:sz w:val="24"/>
                <w:szCs w:val="24"/>
                <w:color w:val="auto"/>
              </w:rPr>
            </w:pPr>
          </w:p>
        </w:tc>
        <w:tc>
          <w:tcPr>
            <w:tcW w:w="310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(In thousands, except per share amounts)</w:t>
            </w:r>
          </w:p>
        </w:tc>
      </w:tr>
      <w:tr>
        <w:trPr>
          <w:trHeight w:val="196"/>
        </w:trPr>
        <w:tc>
          <w:tcPr>
            <w:tcW w:w="20" w:type="dxa"/>
            <w:vAlign w:val="bottom"/>
            <w:shd w:val="clear" w:color="auto" w:fill="CCEEFF"/>
          </w:tcPr>
          <w:p>
            <w:pPr>
              <w:spacing w:after="0"/>
              <w:rPr>
                <w:sz w:val="17"/>
                <w:szCs w:val="17"/>
                <w:color w:val="auto"/>
              </w:rPr>
            </w:pPr>
          </w:p>
        </w:tc>
        <w:tc>
          <w:tcPr>
            <w:tcW w:w="8120" w:type="dxa"/>
            <w:vAlign w:val="bottom"/>
            <w:gridSpan w:val="3"/>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Basic net income per share: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6000" w:type="dxa"/>
            <w:vAlign w:val="bottom"/>
            <w:tcBorders>
              <w:top w:val="single" w:sz="8" w:color="CCEEFF"/>
            </w:tcBorders>
            <w:gridSpan w:val="2"/>
          </w:tcPr>
          <w:p>
            <w:pPr>
              <w:spacing w:after="0"/>
              <w:rPr>
                <w:sz w:val="19"/>
                <w:szCs w:val="19"/>
                <w:color w:val="auto"/>
              </w:rPr>
            </w:pPr>
          </w:p>
        </w:tc>
        <w:tc>
          <w:tcPr>
            <w:tcW w:w="900" w:type="dxa"/>
            <w:vAlign w:val="bottom"/>
            <w:tcBorders>
              <w:top w:val="single" w:sz="8" w:color="CCEEFF"/>
            </w:tcBorders>
          </w:tcPr>
          <w:p>
            <w:pPr>
              <w:jc w:val="right"/>
              <w:ind w:right="718"/>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0"/>
              </w:rPr>
              <w:t>45,394</w:t>
            </w:r>
          </w:p>
        </w:tc>
        <w:tc>
          <w:tcPr>
            <w:tcW w:w="10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jc w:val="right"/>
              <w:ind w:right="75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9,180</w:t>
            </w: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84,500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85,188</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Diluted net income per share:</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58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jc w:val="right"/>
              <w:ind w:right="718"/>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0"/>
              </w:rPr>
              <w:t>45,394</w:t>
            </w:r>
          </w:p>
        </w:tc>
        <w:tc>
          <w:tcPr>
            <w:tcW w:w="10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jc w:val="right"/>
              <w:ind w:right="75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9,180</w:t>
            </w:r>
          </w:p>
        </w:tc>
      </w:tr>
      <w:tr>
        <w:trPr>
          <w:trHeight w:val="257"/>
        </w:trPr>
        <w:tc>
          <w:tcPr>
            <w:tcW w:w="2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12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 — Basic</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84,500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85,188</w:t>
            </w: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Stock options and restricted stock</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85,258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85,892</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bl>
    <w:p>
      <w:pPr>
        <w:spacing w:after="0" w:line="200" w:lineRule="exact"/>
        <w:rPr>
          <w:sz w:val="20"/>
          <w:szCs w:val="20"/>
          <w:color w:val="auto"/>
        </w:rPr>
      </w:pPr>
    </w:p>
    <w:p>
      <w:pPr>
        <w:spacing w:after="0" w:line="20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Common stock of approximately 0.5 million and 0.4 million shares at March 31, 2021, and 2020, respectively that are issuable through exercise of dilutive securities were not included in the computation of diluted net income per share because their effect would have been anti-dilutive.</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 Shares and Restricted Units that entitle the holders to approximately 0.5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adoption of ASU 2020-06, as the principal amount of the 2025 Notes will be paid in cash and only the conversion spread is settled in shares, the Company will be utilizing the if-converted method and only includes the net number of incremental shares that would be issued upon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 for three months ended March 31, 2021 and 2020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r>
      <w:tr>
        <w:trPr>
          <w:trHeight w:val="187"/>
        </w:trPr>
        <w:tc>
          <w:tcPr>
            <w:tcW w:w="78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r>
      <w:tr>
        <w:trPr>
          <w:trHeight w:val="183"/>
        </w:trPr>
        <w:tc>
          <w:tcPr>
            <w:tcW w:w="7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4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5"/>
                <w:szCs w:val="15"/>
                <w:color w:val="auto"/>
              </w:rPr>
            </w:pPr>
          </w:p>
        </w:tc>
      </w:tr>
      <w:tr>
        <w:trPr>
          <w:trHeight w:val="231"/>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45,394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(6,802)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(6,813)</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unrealized loss on derivatives, net of tax</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36,915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(21,306)</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Pension liability adjustment, net of tax</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net</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75,826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(19,007)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accumulated other comprehensive loss by component between December 31, 2020 and March 31, 2021 are presented in the table below, net of tax:</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right="160"/>
        <w:spacing w:after="0" w:line="306" w:lineRule="auto"/>
        <w:rPr>
          <w:sz w:val="20"/>
          <w:szCs w:val="20"/>
          <w:color w:val="auto"/>
        </w:rPr>
      </w:pPr>
      <w:r>
        <w:rPr>
          <w:rFonts w:ascii="Arial" w:cs="Arial" w:eastAsia="Arial" w:hAnsi="Arial"/>
          <w:sz w:val="17"/>
          <w:szCs w:val="17"/>
          <w:color w:val="auto"/>
        </w:rPr>
        <w:t>Less: Amounts reclassified from accumulated other comprehensive loss Net current-period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Balance at March 31, 2021</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Gains and Losses</w:t>
            </w:r>
          </w:p>
        </w:tc>
        <w:tc>
          <w:tcPr>
            <w:tcW w:w="180" w:type="dxa"/>
            <w:vAlign w:val="bottom"/>
          </w:tcPr>
          <w:p>
            <w:pPr>
              <w:spacing w:after="0"/>
              <w:rPr>
                <w:sz w:val="14"/>
                <w:szCs w:val="14"/>
                <w:color w:val="auto"/>
              </w:rPr>
            </w:pPr>
          </w:p>
        </w:tc>
        <w:tc>
          <w:tcPr>
            <w:tcW w:w="1140" w:type="dxa"/>
            <w:vAlign w:val="bottom"/>
          </w:tcPr>
          <w:p>
            <w:pPr>
              <w:jc w:val="right"/>
              <w:ind w:right="97"/>
              <w:spacing w:after="0"/>
              <w:rPr>
                <w:sz w:val="20"/>
                <w:szCs w:val="20"/>
                <w:color w:val="auto"/>
              </w:rPr>
            </w:pPr>
            <w:r>
              <w:rPr>
                <w:rFonts w:ascii="Arial" w:cs="Arial" w:eastAsia="Arial" w:hAnsi="Arial"/>
                <w:sz w:val="14"/>
                <w:szCs w:val="14"/>
                <w:b w:val="1"/>
                <w:bCs w:val="1"/>
                <w:color w:val="auto"/>
                <w:w w:val="91"/>
              </w:rPr>
              <w:t>Defined Benefit</w:t>
            </w:r>
          </w:p>
        </w:tc>
        <w:tc>
          <w:tcPr>
            <w:tcW w:w="260" w:type="dxa"/>
            <w:vAlign w:val="bottom"/>
          </w:tcPr>
          <w:p>
            <w:pPr>
              <w:spacing w:after="0"/>
              <w:rPr>
                <w:sz w:val="14"/>
                <w:szCs w:val="14"/>
                <w:color w:val="auto"/>
              </w:rPr>
            </w:pPr>
          </w:p>
        </w:tc>
        <w:tc>
          <w:tcPr>
            <w:tcW w:w="900" w:type="dxa"/>
            <w:vAlign w:val="bottom"/>
          </w:tcPr>
          <w:p>
            <w:pPr>
              <w:jc w:val="right"/>
              <w:ind w:right="253"/>
              <w:spacing w:after="0"/>
              <w:rPr>
                <w:sz w:val="20"/>
                <w:szCs w:val="20"/>
                <w:color w:val="auto"/>
              </w:rPr>
            </w:pPr>
            <w:r>
              <w:rPr>
                <w:rFonts w:ascii="Arial" w:cs="Arial" w:eastAsia="Arial" w:hAnsi="Arial"/>
                <w:sz w:val="14"/>
                <w:szCs w:val="14"/>
                <w:b w:val="1"/>
                <w:bCs w:val="1"/>
                <w:color w:val="auto"/>
              </w:rPr>
              <w:t>Foreign</w:t>
            </w:r>
          </w:p>
        </w:tc>
        <w:tc>
          <w:tcPr>
            <w:tcW w:w="340" w:type="dxa"/>
            <w:vAlign w:val="bottom"/>
          </w:tcPr>
          <w:p>
            <w:pPr>
              <w:spacing w:after="0"/>
              <w:rPr>
                <w:sz w:val="14"/>
                <w:szCs w:val="14"/>
                <w:color w:val="auto"/>
              </w:rPr>
            </w:pPr>
          </w:p>
        </w:tc>
        <w:tc>
          <w:tcPr>
            <w:tcW w:w="9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on Derivatives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4"/>
              </w:rPr>
              <w:t>Pension Items</w:t>
            </w:r>
          </w:p>
        </w:tc>
        <w:tc>
          <w:tcPr>
            <w:tcW w:w="11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Currency Items</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3"/>
          </w:tcPr>
          <w:p>
            <w:pPr>
              <w:jc w:val="right"/>
              <w:ind w:right="713"/>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center"/>
              <w:ind w:left="273"/>
              <w:spacing w:after="0"/>
              <w:rPr>
                <w:sz w:val="20"/>
                <w:szCs w:val="20"/>
                <w:color w:val="auto"/>
              </w:rPr>
            </w:pPr>
            <w:r>
              <w:rPr>
                <w:rFonts w:ascii="Arial" w:cs="Arial" w:eastAsia="Arial" w:hAnsi="Arial"/>
                <w:sz w:val="18"/>
                <w:szCs w:val="18"/>
                <w:color w:val="auto"/>
                <w:w w:val="89"/>
              </w:rPr>
              <w:t>(82,249)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(5,105)</w:t>
            </w:r>
          </w:p>
        </w:tc>
        <w:tc>
          <w:tcPr>
            <w:tcW w:w="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13,295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153"/>
              <w:spacing w:after="0"/>
              <w:rPr>
                <w:sz w:val="20"/>
                <w:szCs w:val="20"/>
                <w:color w:val="auto"/>
              </w:rPr>
            </w:pPr>
            <w:r>
              <w:rPr>
                <w:rFonts w:ascii="Arial" w:cs="Arial" w:eastAsia="Arial" w:hAnsi="Arial"/>
                <w:sz w:val="18"/>
                <w:szCs w:val="18"/>
                <w:color w:val="auto"/>
                <w:w w:val="92"/>
              </w:rPr>
              <w:t>(74,059)</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120" w:type="dxa"/>
            <w:vAlign w:val="bottom"/>
          </w:tcPr>
          <w:p>
            <w:pPr>
              <w:jc w:val="center"/>
              <w:ind w:left="293"/>
              <w:spacing w:after="0"/>
              <w:rPr>
                <w:sz w:val="20"/>
                <w:szCs w:val="20"/>
                <w:color w:val="auto"/>
              </w:rPr>
            </w:pPr>
            <w:r>
              <w:rPr>
                <w:rFonts w:ascii="Arial" w:cs="Arial" w:eastAsia="Arial" w:hAnsi="Arial"/>
                <w:sz w:val="18"/>
                <w:szCs w:val="18"/>
                <w:color w:val="auto"/>
                <w:w w:val="90"/>
              </w:rPr>
              <w:t>67,776</w:t>
            </w:r>
          </w:p>
        </w:tc>
        <w:tc>
          <w:tcPr>
            <w:tcW w:w="18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319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(6,802)</w:t>
            </w:r>
          </w:p>
        </w:tc>
        <w:tc>
          <w:tcPr>
            <w:tcW w:w="340" w:type="dxa"/>
            <w:vAlign w:val="bottom"/>
          </w:tcPr>
          <w:p>
            <w:pPr>
              <w:spacing w:after="0"/>
              <w:rPr>
                <w:sz w:val="19"/>
                <w:szCs w:val="19"/>
                <w:color w:val="auto"/>
              </w:rPr>
            </w:pPr>
          </w:p>
        </w:tc>
        <w:tc>
          <w:tcPr>
            <w:tcW w:w="900" w:type="dxa"/>
            <w:vAlign w:val="bottom"/>
          </w:tcPr>
          <w:p>
            <w:pPr>
              <w:jc w:val="center"/>
              <w:ind w:left="173"/>
              <w:spacing w:after="0"/>
              <w:rPr>
                <w:sz w:val="20"/>
                <w:szCs w:val="20"/>
                <w:color w:val="auto"/>
              </w:rPr>
            </w:pPr>
            <w:r>
              <w:rPr>
                <w:rFonts w:ascii="Arial" w:cs="Arial" w:eastAsia="Arial" w:hAnsi="Arial"/>
                <w:sz w:val="18"/>
                <w:szCs w:val="18"/>
                <w:color w:val="auto"/>
                <w:w w:val="87"/>
              </w:rPr>
              <w:t>61,293</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120" w:type="dxa"/>
            <w:vAlign w:val="bottom"/>
          </w:tcPr>
          <w:p>
            <w:pPr>
              <w:jc w:val="center"/>
              <w:ind w:left="293"/>
              <w:spacing w:after="0"/>
              <w:rPr>
                <w:sz w:val="20"/>
                <w:szCs w:val="20"/>
                <w:color w:val="auto"/>
              </w:rPr>
            </w:pPr>
            <w:r>
              <w:rPr>
                <w:rFonts w:ascii="Arial" w:cs="Arial" w:eastAsia="Arial" w:hAnsi="Arial"/>
                <w:sz w:val="18"/>
                <w:szCs w:val="18"/>
                <w:color w:val="auto"/>
                <w:w w:val="90"/>
              </w:rPr>
              <w:t>30,861</w:t>
            </w:r>
          </w:p>
        </w:tc>
        <w:tc>
          <w:tcPr>
            <w:tcW w:w="18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center"/>
              <w:ind w:left="173"/>
              <w:spacing w:after="0"/>
              <w:rPr>
                <w:sz w:val="20"/>
                <w:szCs w:val="20"/>
                <w:color w:val="auto"/>
              </w:rPr>
            </w:pPr>
            <w:r>
              <w:rPr>
                <w:rFonts w:ascii="Arial" w:cs="Arial" w:eastAsia="Arial" w:hAnsi="Arial"/>
                <w:sz w:val="18"/>
                <w:szCs w:val="18"/>
                <w:color w:val="auto"/>
                <w:w w:val="87"/>
              </w:rPr>
              <w:t>30,861</w:t>
            </w:r>
          </w:p>
        </w:tc>
        <w:tc>
          <w:tcPr>
            <w:tcW w:w="0" w:type="dxa"/>
            <w:vAlign w:val="bottom"/>
          </w:tcPr>
          <w:p>
            <w:pPr>
              <w:spacing w:after="0"/>
              <w:rPr>
                <w:sz w:val="1"/>
                <w:szCs w:val="1"/>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293"/>
              <w:spacing w:after="0"/>
              <w:rPr>
                <w:sz w:val="20"/>
                <w:szCs w:val="20"/>
                <w:color w:val="auto"/>
              </w:rPr>
            </w:pPr>
            <w:r>
              <w:rPr>
                <w:rFonts w:ascii="Arial" w:cs="Arial" w:eastAsia="Arial" w:hAnsi="Arial"/>
                <w:sz w:val="18"/>
                <w:szCs w:val="18"/>
                <w:color w:val="auto"/>
                <w:w w:val="90"/>
              </w:rPr>
              <w:t>36,915</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319</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(6,802)</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left="173"/>
              <w:spacing w:after="0"/>
              <w:rPr>
                <w:sz w:val="20"/>
                <w:szCs w:val="20"/>
                <w:color w:val="auto"/>
              </w:rPr>
            </w:pPr>
            <w:r>
              <w:rPr>
                <w:rFonts w:ascii="Arial" w:cs="Arial" w:eastAsia="Arial" w:hAnsi="Arial"/>
                <w:sz w:val="18"/>
                <w:szCs w:val="18"/>
                <w:color w:val="auto"/>
                <w:w w:val="87"/>
              </w:rPr>
              <w:t>30,432</w:t>
            </w: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color w:val="auto"/>
                <w:w w:val="89"/>
              </w:rPr>
              <w:t>(45,334)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w:t>
            </w:r>
          </w:p>
        </w:tc>
        <w:tc>
          <w:tcPr>
            <w:tcW w:w="2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6,493</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center"/>
              <w:ind w:left="153"/>
              <w:spacing w:after="0"/>
              <w:rPr>
                <w:sz w:val="20"/>
                <w:szCs w:val="20"/>
                <w:color w:val="auto"/>
              </w:rPr>
            </w:pPr>
            <w:r>
              <w:rPr>
                <w:rFonts w:ascii="Arial" w:cs="Arial" w:eastAsia="Arial" w:hAnsi="Arial"/>
                <w:sz w:val="18"/>
                <w:szCs w:val="18"/>
                <w:color w:val="auto"/>
                <w:w w:val="92"/>
              </w:rPr>
              <w:t>(43,627)</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2">
            <w:col w:w="5560" w:space="720"/>
            <w:col w:w="4960"/>
          </w:cols>
          <w:pgMar w:left="320" w:top="121" w:right="3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For the three months ended March 31, 2021, the Company reclassified a loss of $33.9 million and $3.1 million from accumulated other comprehensive loss to other income (expense), net and interest income.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internally manages two global reportable segments and reports the results of its businesses to its chief operating decision maker.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two reportable segments and their activities are described below.</w:t>
      </w:r>
    </w:p>
    <w:p>
      <w:pPr>
        <w:spacing w:after="0" w:line="103" w:lineRule="exact"/>
        <w:rPr>
          <w:sz w:val="20"/>
          <w:szCs w:val="20"/>
          <w:color w:val="auto"/>
        </w:rPr>
      </w:pPr>
    </w:p>
    <w:p>
      <w:pPr>
        <w:ind w:left="660" w:right="2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40,000 instrument patterns and surgical and lighting products to hospitals, surgery centers, dental, podiatry, and veterinary offices.</w:t>
      </w:r>
    </w:p>
    <w:p>
      <w:pPr>
        <w:spacing w:after="0" w:line="78" w:lineRule="exact"/>
        <w:rPr>
          <w:rFonts w:ascii="Arial" w:cs="Arial" w:eastAsia="Arial" w:hAnsi="Arial"/>
          <w:sz w:val="18"/>
          <w:szCs w:val="18"/>
          <w:color w:val="auto"/>
        </w:rPr>
      </w:pPr>
    </w:p>
    <w:p>
      <w:pPr>
        <w:ind w:left="660" w:right="3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Tissue Technologies segment includes such offerings as skin and wound repair, bone grafts, and nerve and tendon repair products. In conjunction with the sale of the Extremity Orthopedics business, the Company rebranded the Orthopedics and Tissue Technologies segment as Tissue Technologies in the first quarter of 2021.</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and legal functions, (ii) brand management, and (iii) share-based compensation costs.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months ended March 31, 2021 and 2020 are as follows :</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r>
      <w:tr>
        <w:trPr>
          <w:trHeight w:val="187"/>
        </w:trPr>
        <w:tc>
          <w:tcPr>
            <w:tcW w:w="746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r>
      <w:tr>
        <w:trPr>
          <w:trHeight w:val="183"/>
        </w:trPr>
        <w:tc>
          <w:tcPr>
            <w:tcW w:w="7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80" w:type="dxa"/>
            <w:vAlign w:val="bottom"/>
            <w:gridSpan w:val="3"/>
          </w:tcPr>
          <w:p>
            <w:pPr>
              <w:jc w:val="right"/>
              <w:ind w:right="634"/>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5"/>
                <w:szCs w:val="15"/>
                <w:color w:val="auto"/>
              </w:rPr>
            </w:pPr>
          </w:p>
        </w:tc>
      </w:tr>
      <w:tr>
        <w:trPr>
          <w:trHeight w:val="231"/>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Segment Net Sales</w:t>
            </w:r>
          </w:p>
        </w:tc>
        <w:tc>
          <w:tcPr>
            <w:tcW w:w="10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7460" w:type="dxa"/>
            <w:vAlign w:val="bottom"/>
          </w:tcPr>
          <w:p>
            <w:pPr>
              <w:ind w:left="360"/>
              <w:spacing w:after="0"/>
              <w:rPr>
                <w:sz w:val="20"/>
                <w:szCs w:val="20"/>
                <w:color w:val="auto"/>
              </w:rPr>
            </w:pPr>
            <w:r>
              <w:rPr>
                <w:rFonts w:ascii="Arial" w:cs="Arial" w:eastAsia="Arial" w:hAnsi="Arial"/>
                <w:sz w:val="18"/>
                <w:szCs w:val="18"/>
                <w:color w:val="auto"/>
              </w:rPr>
              <w:t>Codman Specialty Surgical</w:t>
            </w: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241,241</w:t>
            </w:r>
          </w:p>
        </w:tc>
        <w:tc>
          <w:tcPr>
            <w:tcW w:w="140" w:type="dxa"/>
            <w:vAlign w:val="bottom"/>
          </w:tcPr>
          <w:p>
            <w:pPr>
              <w:spacing w:after="0"/>
              <w:rPr>
                <w:sz w:val="19"/>
                <w:szCs w:val="19"/>
                <w:color w:val="auto"/>
              </w:rPr>
            </w:pP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231,440</w:t>
            </w:r>
          </w:p>
        </w:tc>
      </w:tr>
      <w:tr>
        <w:trPr>
          <w:trHeight w:val="229"/>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Tissue Technologies</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118,830</w:t>
            </w:r>
          </w:p>
        </w:tc>
        <w:tc>
          <w:tcPr>
            <w:tcW w:w="14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122,884</w:t>
            </w:r>
          </w:p>
        </w:tc>
      </w:tr>
      <w:tr>
        <w:trPr>
          <w:trHeight w:val="223"/>
        </w:trPr>
        <w:tc>
          <w:tcPr>
            <w:tcW w:w="74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360,071</w:t>
            </w:r>
          </w:p>
        </w:tc>
        <w:tc>
          <w:tcPr>
            <w:tcW w:w="140" w:type="dxa"/>
            <w:vAlign w:val="bottom"/>
          </w:tcPr>
          <w:p>
            <w:pPr>
              <w:spacing w:after="0"/>
              <w:rPr>
                <w:sz w:val="19"/>
                <w:szCs w:val="19"/>
                <w:color w:val="auto"/>
              </w:rPr>
            </w:pPr>
          </w:p>
        </w:tc>
        <w:tc>
          <w:tcPr>
            <w:tcW w:w="1100" w:type="dxa"/>
            <w:vAlign w:val="bottom"/>
            <w:tcBorders>
              <w:bottom w:val="single" w:sz="8" w:color="auto"/>
            </w:tcBorders>
          </w:tcPr>
          <w:p>
            <w:pPr>
              <w:jc w:val="right"/>
              <w:ind w:right="91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354,324</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9"/>
        </w:trPr>
        <w:tc>
          <w:tcPr>
            <w:tcW w:w="7460" w:type="dxa"/>
            <w:vAlign w:val="bottom"/>
          </w:tcPr>
          <w:p>
            <w:pPr>
              <w:ind w:left="360"/>
              <w:spacing w:after="0"/>
              <w:rPr>
                <w:sz w:val="20"/>
                <w:szCs w:val="20"/>
                <w:color w:val="auto"/>
              </w:rPr>
            </w:pPr>
            <w:r>
              <w:rPr>
                <w:rFonts w:ascii="Arial" w:cs="Arial" w:eastAsia="Arial" w:hAnsi="Arial"/>
                <w:sz w:val="18"/>
                <w:szCs w:val="18"/>
                <w:color w:val="auto"/>
              </w:rPr>
              <w:t>Codman Specialty Surgical</w:t>
            </w: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106,778</w:t>
            </w:r>
          </w:p>
        </w:tc>
        <w:tc>
          <w:tcPr>
            <w:tcW w:w="140" w:type="dxa"/>
            <w:vAlign w:val="bottom"/>
          </w:tcPr>
          <w:p>
            <w:pPr>
              <w:spacing w:after="0"/>
              <w:rPr>
                <w:sz w:val="19"/>
                <w:szCs w:val="19"/>
                <w:color w:val="auto"/>
              </w:rPr>
            </w:pP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87,235</w:t>
            </w:r>
          </w:p>
        </w:tc>
      </w:tr>
      <w:tr>
        <w:trPr>
          <w:trHeight w:val="229"/>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Tissue Technologies</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50,011</w:t>
            </w:r>
          </w:p>
        </w:tc>
        <w:tc>
          <w:tcPr>
            <w:tcW w:w="14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31,271</w:t>
            </w:r>
          </w:p>
        </w:tc>
      </w:tr>
      <w:tr>
        <w:trPr>
          <w:trHeight w:val="223"/>
        </w:trPr>
        <w:tc>
          <w:tcPr>
            <w:tcW w:w="7460" w:type="dxa"/>
            <w:vAlign w:val="bottom"/>
          </w:tcPr>
          <w:p>
            <w:pPr>
              <w:ind w:left="360"/>
              <w:spacing w:after="0"/>
              <w:rPr>
                <w:sz w:val="20"/>
                <w:szCs w:val="20"/>
                <w:color w:val="auto"/>
              </w:rPr>
            </w:pPr>
            <w:r>
              <w:rPr>
                <w:rFonts w:ascii="Arial" w:cs="Arial" w:eastAsia="Arial" w:hAnsi="Arial"/>
                <w:sz w:val="18"/>
                <w:szCs w:val="18"/>
                <w:color w:val="auto"/>
              </w:rPr>
              <w:t>Segment profit</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156,789</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118,506</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(6,977)</w:t>
            </w: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10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(121,548)</w:t>
            </w: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(84,426)</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30,714</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r>
      <w:tr>
        <w:trPr>
          <w:trHeight w:val="187"/>
        </w:trPr>
        <w:tc>
          <w:tcPr>
            <w:tcW w:w="740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r>
      <w:tr>
        <w:trPr>
          <w:trHeight w:val="183"/>
        </w:trPr>
        <w:tc>
          <w:tcPr>
            <w:tcW w:w="7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8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5"/>
                <w:szCs w:val="15"/>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247,793</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246,852</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Europe</w:t>
            </w: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45,819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45,896</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39,960</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1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19,164</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21,616</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360,071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354,324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consideration for certain technology, manufacturing, distribution,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three month period ended March 31, 2021 and March 31, 2020 to reflect the change in estimates, additions, payments, transfers and the time value of money during the period.</w:t>
      </w:r>
    </w:p>
    <w:p>
      <w:pPr>
        <w:spacing w:after="0" w:line="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three months ended March 31, 2021 and March 31, 2020 is as follows (in thousands):</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Contingent Consideration Liability Related to Acquisition of:</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2021</w:t>
            </w:r>
          </w:p>
        </w:tc>
        <w:tc>
          <w:tcPr>
            <w:tcW w:w="160" w:type="dxa"/>
            <w:vAlign w:val="bottom"/>
          </w:tcPr>
          <w:p>
            <w:pPr>
              <w:spacing w:after="0"/>
              <w:rPr>
                <w:sz w:val="14"/>
                <w:szCs w:val="14"/>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Arkis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Derma Sciences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ACell Inc. (See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in Financial</w:t>
            </w:r>
          </w:p>
        </w:tc>
        <w:tc>
          <w:tcPr>
            <w:tcW w:w="0" w:type="dxa"/>
            <w:vAlign w:val="bottom"/>
          </w:tcPr>
          <w:p>
            <w:pPr>
              <w:spacing w:after="0"/>
              <w:rPr>
                <w:sz w:val="1"/>
                <w:szCs w:val="1"/>
                <w:color w:val="auto"/>
              </w:rPr>
            </w:pPr>
          </w:p>
        </w:tc>
      </w:tr>
      <w:tr>
        <w:trPr>
          <w:trHeight w:val="188"/>
        </w:trPr>
        <w:tc>
          <w:tcPr>
            <w:tcW w:w="3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Note 2)</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184"/>
        </w:trPr>
        <w:tc>
          <w:tcPr>
            <w:tcW w:w="3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Short-term</w:t>
            </w: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4"/>
                <w:szCs w:val="14"/>
                <w:b w:val="1"/>
                <w:bCs w:val="1"/>
                <w:color w:val="auto"/>
                <w:w w:val="98"/>
              </w:rPr>
              <w:t>Long-term</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4"/>
                <w:szCs w:val="14"/>
                <w:b w:val="1"/>
                <w:bCs w:val="1"/>
                <w:color w:val="auto"/>
              </w:rPr>
              <w:t>Long-term</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ind w:right="56"/>
              <w:spacing w:after="0"/>
              <w:rPr>
                <w:sz w:val="20"/>
                <w:szCs w:val="20"/>
                <w:color w:val="auto"/>
              </w:rPr>
            </w:pPr>
            <w:r>
              <w:rPr>
                <w:rFonts w:ascii="Arial" w:cs="Arial" w:eastAsia="Arial" w:hAnsi="Arial"/>
                <w:sz w:val="14"/>
                <w:szCs w:val="14"/>
                <w:b w:val="1"/>
                <w:bCs w:val="1"/>
                <w:color w:val="auto"/>
                <w:w w:val="95"/>
              </w:rPr>
              <w:t>Long-term</w:t>
            </w:r>
          </w:p>
        </w:tc>
        <w:tc>
          <w:tcPr>
            <w:tcW w:w="1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Balance as of January 1, 2021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11,746</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from acquisition of ACell</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23,900</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Loss from change in fair value of</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ind w:left="20"/>
              <w:spacing w:after="0" w:line="176" w:lineRule="exact"/>
              <w:rPr>
                <w:sz w:val="20"/>
                <w:szCs w:val="20"/>
                <w:color w:val="auto"/>
              </w:rPr>
            </w:pPr>
            <w:r>
              <w:rPr>
                <w:rFonts w:ascii="Arial" w:cs="Arial" w:eastAsia="Arial" w:hAnsi="Arial"/>
                <w:sz w:val="18"/>
                <w:szCs w:val="18"/>
                <w:color w:val="auto"/>
              </w:rPr>
              <w:t>Research and</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contingent consideration liabilities</w:t>
            </w: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w:t>
            </w:r>
          </w:p>
        </w:tc>
        <w:tc>
          <w:tcPr>
            <w:tcW w:w="18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Contingent Consideration Liability Related to Acquisition of:</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March 31, 2020</w:t>
            </w:r>
          </w:p>
        </w:tc>
        <w:tc>
          <w:tcPr>
            <w:tcW w:w="1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Arkis</w:t>
            </w: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Derma Sciences</w:t>
            </w:r>
          </w:p>
        </w:tc>
        <w:tc>
          <w:tcPr>
            <w:tcW w:w="4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Location in Financial Statements</w:t>
            </w:r>
          </w:p>
        </w:tc>
        <w:tc>
          <w:tcPr>
            <w:tcW w:w="0" w:type="dxa"/>
            <w:vAlign w:val="bottom"/>
          </w:tcPr>
          <w:p>
            <w:pPr>
              <w:spacing w:after="0"/>
              <w:rPr>
                <w:sz w:val="1"/>
                <w:szCs w:val="1"/>
                <w:color w:val="auto"/>
              </w:rPr>
            </w:pPr>
          </w:p>
        </w:tc>
      </w:tr>
      <w:tr>
        <w:trPr>
          <w:trHeight w:val="189"/>
        </w:trPr>
        <w:tc>
          <w:tcPr>
            <w:tcW w:w="3180" w:type="dxa"/>
            <w:vAlign w:val="bottom"/>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4"/>
                <w:szCs w:val="14"/>
                <w:b w:val="1"/>
                <w:bCs w:val="1"/>
                <w:color w:val="auto"/>
              </w:rPr>
              <w:t>Long-term</w:t>
            </w:r>
          </w:p>
        </w:tc>
        <w:tc>
          <w:tcPr>
            <w:tcW w:w="76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4"/>
                <w:szCs w:val="14"/>
                <w:b w:val="1"/>
                <w:bCs w:val="1"/>
                <w:color w:val="auto"/>
              </w:rPr>
              <w:t>Long-term</w:t>
            </w:r>
          </w:p>
        </w:tc>
        <w:tc>
          <w:tcPr>
            <w:tcW w:w="440" w:type="dxa"/>
            <w:vAlign w:val="bottom"/>
            <w:tcBorders>
              <w:bottom w:val="single" w:sz="8" w:color="auto"/>
            </w:tcBorders>
            <w:shd w:val="clear" w:color="auto" w:fill="CCEEFF"/>
          </w:tcPr>
          <w:p>
            <w:pPr>
              <w:spacing w:after="0"/>
              <w:rPr>
                <w:sz w:val="16"/>
                <w:szCs w:val="16"/>
                <w:color w:val="auto"/>
              </w:rPr>
            </w:pPr>
          </w:p>
        </w:tc>
        <w:tc>
          <w:tcPr>
            <w:tcW w:w="3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rPr>
              <w:t>Balance as of January 1, 2020</w:t>
            </w:r>
          </w:p>
        </w:tc>
        <w:tc>
          <w:tcPr>
            <w:tcW w:w="1780" w:type="dxa"/>
            <w:vAlign w:val="bottom"/>
          </w:tcPr>
          <w:p>
            <w:pPr>
              <w:jc w:val="right"/>
              <w:ind w:right="1599"/>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180"/>
              <w:spacing w:after="0"/>
              <w:rPr>
                <w:sz w:val="20"/>
                <w:szCs w:val="20"/>
                <w:color w:val="auto"/>
              </w:rPr>
            </w:pPr>
            <w:r>
              <w:rPr>
                <w:rFonts w:ascii="Arial" w:cs="Arial" w:eastAsia="Arial" w:hAnsi="Arial"/>
                <w:sz w:val="18"/>
                <w:szCs w:val="18"/>
                <w:color w:val="auto"/>
              </w:rPr>
              <w:t>14,210</w:t>
            </w:r>
          </w:p>
        </w:tc>
        <w:tc>
          <w:tcPr>
            <w:tcW w:w="200" w:type="dxa"/>
            <w:vAlign w:val="bottom"/>
          </w:tcPr>
          <w:p>
            <w:pPr>
              <w:spacing w:after="0"/>
              <w:rPr>
                <w:sz w:val="19"/>
                <w:szCs w:val="19"/>
                <w:color w:val="auto"/>
              </w:rPr>
            </w:pPr>
          </w:p>
        </w:tc>
        <w:tc>
          <w:tcPr>
            <w:tcW w:w="1600" w:type="dxa"/>
            <w:vAlign w:val="bottom"/>
          </w:tcPr>
          <w:p>
            <w:pPr>
              <w:jc w:val="right"/>
              <w:ind w:right="141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230</w:t>
            </w: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from change in fair value of</w:t>
            </w:r>
          </w:p>
        </w:tc>
        <w:tc>
          <w:tcPr>
            <w:tcW w:w="17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w w:val="94"/>
              </w:rPr>
              <w:t>(1,051)</w:t>
            </w: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368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 Research and development</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liabilities</w:t>
            </w:r>
          </w:p>
        </w:tc>
        <w:tc>
          <w:tcPr>
            <w:tcW w:w="17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6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rPr>
              <w:t>Balance as of March 31, 2020</w:t>
            </w:r>
          </w:p>
        </w:tc>
        <w:tc>
          <w:tcPr>
            <w:tcW w:w="1780" w:type="dxa"/>
            <w:vAlign w:val="bottom"/>
            <w:tcBorders>
              <w:top w:val="single" w:sz="8" w:color="auto"/>
              <w:bottom w:val="single" w:sz="8" w:color="auto"/>
            </w:tcBorders>
          </w:tcPr>
          <w:p>
            <w:pPr>
              <w:jc w:val="right"/>
              <w:ind w:right="159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13,159</w:t>
            </w:r>
          </w:p>
        </w:tc>
        <w:tc>
          <w:tcPr>
            <w:tcW w:w="2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ind w:right="141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Arkis BioSciences Inc.</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29, 2019, the Company acquired Arkis BioSciences Inc. ("Arkis") for an acquisition purchase price of $30.6 million (the "Arkis Acquisition") plus contingent consideration of up to $25.5 million, that may be payable based on the successful completion of certain development and commercial milestones. Arkis was a privately-held company that marketed the CerebroFlo® external ventricular drainage (EVD) catheter with Endexo® technology, a permanent additive designed to reduce the potential for catheter obstruction due to thrombus formation.</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the acquisition,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The estimated fair value as of March 31, 2021 and March 31, 2020 was $15.4 million and $13.2 million, respectively. The Company recorded $3.4 million in accrued expenses and other current liabilities at March 31, 2021 and $12 million and $13.2 million in other liabilities at March 31, 2021 and March 31, 2020, respectively, in the consolidated balance sheet of the Company.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already paid $33.3 million related to the aforementioned contingent liabilities. One contingent liability remains which relates to net sales of Medihoney products exceeding certain amounts defined in the agreement between the Company and Derma Sciences. The potential maximum undiscounted payment amounts to $3.0 million. The estimated fair value as of March 31, 2021 and March 31, 2020 was $0.2 million.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our condensed consolidated financial statements and the related notes thereto appearing elsewhere in this report and our consolidated financial statements for the year ended December 31, 2020 included in our Annual Report on Form 10-K.</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and other matters. These forward-looking statements include, but are not limited to, statements related to the Company's expectations regarding the potential impacts of the COVID-19 pandemic on our business, financial condition, and results of operations. These statements should, therefore, be considered in light of various important factors, including, but not limited to, the following: the Company's ability to recover to normalized procedure volume in the midst of the COVID-19 pandemic; the risk that the COVID-19 pandemic could lead to further material delays and cancellations of, or reduced demand for, procedures; curtailed or delayed capital spending by the Company's customers; disruption to the Company's supply chain; closures of our facilities; delays in gathering clinical evidence; diversion of management and other resources to respond to the COVID-19 outbreak; the impact of global and regional economic and credit market conditions on healthcare spending; the risk that the COVID-19 virus disrupts local economies and causes economies in our key markets to enter prolonged recessions. The Company's actual results could differ materially from those anticipated in these forward-looking statements as a result of many factors, including but not limited to those set forth under the heading “Risk Factors” in our Annual Report on Form 10-K for the year ended December 31, 2020, and under the heading "Risk Factors" in this report. We undertake no obligation to publicly update or revise any forward-looking statements, whether as a result of new information, future events or otherwise.</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“might,” “could,” “will,” “estimate,” “continue,” “anticipate,” “intend,” “seek,” “plan,” “expect,” “should,” “would” and similar expressions in this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Integra, headquartered in Princeton,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as well as nerves and tendons. The Company has expanded its base regenerative technology business to include surgical instruments, neurosurgical products and advanced wound care through a combination of several global acquisitions and development of products internally to further meet the needs of its customers and impact patient care.</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Integra manufactures and sells products in two reportable business segments: Codman Specialty Surgical and Tissue Technologies. In conjunction with the sale of the Extremity and Orthopedics business, the Company rebranded the Orthopedics and Tissue Technologies segment as Tissue Technologies in the first quarter of 2021. See Note 2.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xml:space="preserve"> for details. Our Codman Specialty Surgical products comprise of specialty surgical implants and instrumentation for a broad range of specialties. This segment includes products and solutions for dural access and repair, instruments, advanced energy, cerebral spinal fluid ("CSF") management and neuro monitoring including market leading product portfolios used in neurosurgery operation suites and critical care units. Codman Specialty Surgical products are sold through a combination of directly employed sales representatives, distributors and wholesalers, depending on the customer call point. Our Tissue Technologies product portfolios consist of differentiated regenerative technology products for soft tissue repair and tissue regeneration products, and surgical reconstruction. This business also includes private label sales of a broad set of our regenerative and wound care medicine technologies. Tissue Technologies products are sold through directly employed sales representatives and distributors focused on their respective surgical specialties, and strategic partners.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key manufacturing and research facilities located in California, Indiana, Maryland, Massachusetts, New Jersey, Ohio, Tennessee, Canada, France, Germany, Ireland, Puerto Rico and Switzerland. We also source most of our handheld surgical instruments, and dural sealant products through specialized third-party vendors.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Integra is committed to delivering high quality products that positively impact the lives of millions of patients and their families. We focus on four key pillars of our strategy: 1) enabling an execution-focused culture, 2) optimizing relevant scale, 3) advancing innovation and agility, and 4) leading in customer experience. We believe that by sharpening our focus on these areas through improved planning and communication, optimization of our infrastructure, and strategically aligned tuck-in acquisitions, we can build scale, increase competitiveness and achieve our long-term goals.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To this end, the executive leadership team has established the following key priorities aligned to the following areas of focus: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Strategic Acquisitions. </w:t>
      </w:r>
      <w:r>
        <w:rPr>
          <w:rFonts w:ascii="Arial" w:cs="Arial" w:eastAsia="Arial" w:hAnsi="Arial"/>
          <w:sz w:val="16"/>
          <w:szCs w:val="16"/>
          <w:color w:val="auto"/>
        </w:rPr>
        <w:t>An important part of the Company's strategy is pursuing strategic transactions and licensing agreements that increase relevant scale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the clinical areas in which Integra competes. In December 2020, Integra entered into a merger agreement to acquire ACell, Inc., an innovative regenerative medicine company specializing in the manufacture of porcine urinary bladder extracellular matrices. This acquisition, which closed on January 20, 2021, expands our product offering of regenerative technology and is complementary to Integra’s existing tissue technologies portfolio. The acquisition also supports our long-term growth and profitability strategy with a financial profile similar to Integra’s tissue products. In 2021, we are focused on the integration of ACell Inc., into our Tissue Technologies business segment, while also continuing the development of regenerative tissue products for complex wound management that will benefit the expanded portfolio. See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for details.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Portfolio Optimization and New Product Introductions. </w:t>
      </w:r>
      <w:r>
        <w:rPr>
          <w:rFonts w:ascii="Arial" w:cs="Arial" w:eastAsia="Arial" w:hAnsi="Arial"/>
          <w:sz w:val="18"/>
          <w:szCs w:val="18"/>
          <w:color w:val="auto"/>
        </w:rPr>
        <w:t>We are investing in innovative product development to drive a multi-generational pipeline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key product franchises. Our product development efforts span across our key global franchises focused on potential for significant returns on investment. We continue to advance the development of pioneering technologies from our 2019 acquisitions, Arkis Biosciences, Inc. and Rebound Therapeutics Corporation. In addition to new product development, we are funding studies to gather clinical evidence to support launches, ensure market access and improve reimbursement for existing products. We continue to identify ways of optimizing our portfolio including identifying low-growth, low-margin products and product franchises for discontinuation.</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2021, we completed the sale of our Extremity Orthopedics business to Smith &amp; Nephew for approximately $240 million in cash subject to finalization of working capital adjustments. This transaction enables us to increase our investments in our core Neurosurgery and Tissue Technology businesses which will strengthen our existing leadership positions in both areas, fund pipeline opportunities to drive future growth and expand our addressable markets. See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details.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Commercial Channel Investments. </w:t>
      </w:r>
      <w:r>
        <w:rPr>
          <w:rFonts w:ascii="Arial" w:cs="Arial" w:eastAsia="Arial" w:hAnsi="Arial"/>
          <w:sz w:val="17"/>
          <w:szCs w:val="17"/>
          <w:color w:val="auto"/>
        </w:rPr>
        <w:t>With acquisitions, new product introductions and a broader portfolio of products, investing in our sales channels is a</w:t>
      </w:r>
      <w:r>
        <w:rPr>
          <w:rFonts w:ascii="Arial" w:cs="Arial" w:eastAsia="Arial" w:hAnsi="Arial"/>
          <w:sz w:val="17"/>
          <w:szCs w:val="17"/>
          <w:i w:val="1"/>
          <w:iCs w:val="1"/>
          <w:color w:val="auto"/>
        </w:rPr>
        <w:t xml:space="preserve"> </w:t>
      </w:r>
      <w:r>
        <w:rPr>
          <w:rFonts w:ascii="Arial" w:cs="Arial" w:eastAsia="Arial" w:hAnsi="Arial"/>
          <w:sz w:val="17"/>
          <w:szCs w:val="17"/>
          <w:color w:val="auto"/>
        </w:rPr>
        <w:t>core part of our strategy to create specialization and greater focus on reaching new and existing customers and addressing their needs. To support our commercial efforts in Tissue Technologies, we expanded our two-tier specialist model to increase our presence in focused segments. We created a virtual selling organization to help serve the evolving needs of our customers. Internationally, we have increased our commercial resources significantly in key emerging markets and are making investments to support our sales organization and maximize our commercial opportunities. These strong investments in our international sales channel position us well for expansion and long-term growth. In addition, we continue to build upon our leadership brands across our product franchises to enable us to engage customers through enterprise-wide contracts.</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Customer Experience. </w:t>
      </w:r>
      <w:r>
        <w:rPr>
          <w:rFonts w:ascii="Arial" w:cs="Arial" w:eastAsia="Arial" w:hAnsi="Arial"/>
          <w:sz w:val="17"/>
          <w:szCs w:val="17"/>
          <w:color w:val="auto"/>
        </w:rPr>
        <w:t>We aspire to be ranked as a best-in-class provider and are committed to strengthen our relationships with all customers. We continue</w:t>
      </w:r>
      <w:r>
        <w:rPr>
          <w:rFonts w:ascii="Arial" w:cs="Arial" w:eastAsia="Arial" w:hAnsi="Arial"/>
          <w:sz w:val="17"/>
          <w:szCs w:val="17"/>
          <w:i w:val="1"/>
          <w:iCs w:val="1"/>
          <w:color w:val="auto"/>
        </w:rPr>
        <w:t xml:space="preserve"> </w:t>
      </w:r>
      <w:r>
        <w:rPr>
          <w:rFonts w:ascii="Arial" w:cs="Arial" w:eastAsia="Arial" w:hAnsi="Arial"/>
          <w:sz w:val="17"/>
          <w:szCs w:val="17"/>
          <w:color w:val="auto"/>
        </w:rPr>
        <w:t>to invest in technologies, systems and processes to enhance the customer experience. Additionally, we launched new digital programs, resources and virtual product training to drive continued customer familiarity with our growing portfolio of medical technologies globally.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continue to invest in collecting clinical evidence to support the Company's existing products and new product launches, and to ensure that we obtain market access for broader and more cost-effective solutions. In each area, we continue to benefit from products launched over the past several years.</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our Codman Specialty Surgical segment, the Company received FDA clearance in 2020 to treat malignant and benign tumors, but not limited to meningiomas and gliomas, for its CUSA® Clarity Ultrasonic Surgical Aspirator System, the first and only ultrasonic tissue ablation system with this specific indication. The FDA clearance is based on a wealth of peer-reviewed clinical publications and 40 years of surgical cases involving resection of brain and spinal tumors.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the Company continued to reap the benefits of our product launches from the prior year from the Codman Specialty Surgical segment, including our new electrosurgery generator and irrigator system, an innovative customer-centric toolkit for our Certas™ Plus Programmable Valve along with additional shunt configurations. In Japan, we are experiencing strong growth as a result of the successful launch of DuraGen® in mid-2019, which is the first and only collagen xenograft approved for use as a dural substitute in the country. We are focused on the development of core clinical applications in our</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electromechanical technologies portfolio. Also, we updated our CUSA Clarity platform to incorporate a new ultrasonic handpiece, surgical tips and integrated electrosurgical capabilities. We continue to work with several instrument partners to bring new surgical instrument platforms to the market. This enables us to add new instruments with minimal expense and invest in ongoing development, such as our next generation of LED technology with our DUO LED Surgical Headlight System.</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also continued to advance the early-stage technology platforms we acquired during 2019. Through the Arkis Biosciences acquisition, we added a platform technology, CerebroFlo® external ventricular drainage (EVD) catheter with Endexo® technology, a permanent additive designed to reduce the potential for catheter obstruction due to thrombus formation. The CerebroFlo EVD Catheter has demonstrated an average of 99% less thrombus accumulation onto its surface, in vitro, compared to a market leading EVD catheter. We also acquired a company, Rebound Therapeutics, that specialized in single-use medical devices that enable minimally invasive access with enhanced lighting and visualization to the neurosurgery suite and launched the MIRROR registry to collect data on this new device. Importantly, these new platforms provide us with the opportunity to expand into new, faster growth therapeutic areas, such as intracerebral hemorrhage and minimally invasive neurosurgery.</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Within our Tissue Technologies segment, in 2020, we launched AmnioExcel® Plus Placental Allograft Membrane, a human placental tissue product for treatment of wounds. We also completed a randomized clinical study of PriMatrix for use in the closure of Diabetic Foot Ulcers (DFU). The Company also announced positive clinical and economic data on Integra® Bilayer Wound Matrix ("IBWM") in complex lower extremity reconstruction based on two retrospective studies recently published in Plastic and Reconstructive Surgery, the official journal of the American Society of Plastic Surgeons. As surgeons look for ways to efficiently and effectively repair and close wounds during these challenging times, IBWM helps address the efficiency needed in operating rooms by reducing both the operating time and costs to hospitals and patients.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this global crisis, the Company's focus remained on supporting patients, providing customers with life-saving products, and protecting the well-being of our employees. The rapid and evolving spread of the virus has resulted in an unprecedented challenge to the global healthcare industry, as medical resources were reallocated to fight COVID-19. During the first half of 2020, in response to the pandemic, we acted swiftly by implementing protocols to ensure continuity of our manufacturing and distribution sites around the world and to provide for the safety of our employees.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2021, the Company's revenues were still impacted due to COVID-19 resurgences and lower surgical procedural volumes, though not to the levels seen in early 2020. As a result, the Company has continued to manage its operating costs in this environment. We remain confident that the underlying markets in which the Company competes remain attractive over the long term. We also remain focused on managing the business for the long-term, including preserving full time jobs needed to support the rebound in surgical procedure volumes. The Company's adaptability and resiliency in the face of this unprecedented crisis is made possible in part by prior investments in technology infrastructure and operations, as well as our talented and committed global workforce.</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 markets and worldwide economies have also been significantly impacted by the COVID-19 pandemic, and it is possible that it could cause a local and/or global economic recession. Any such economic recession could have a material adverse effect on the Company's long-term business as hospitals curtail and reduce capital as well as overall spending. The COVID-19 pandemic and local actions, such as “shelter-in-place” orders and restrictions on travel and access to our customers or temporary closures of our facilities or the facilities of our suppliers and their contract manufacturers, could further significantly impact our sales and our ability to ship our products and supply our customers. Any of these events could negatively impact the number of surgical and medical intervention procedures performed and have a material adverse effect on our business, financial condition, results of operations, or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Matters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manufacture and distribute products derived from human tissue for which FDA has specific regulations governing human cells, tissues and cellular and tissue-based products, or HCT/Ps. An HCT/P is a product containing or consisting of human cells or tissue intended for transplantation into a human patient.</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22, 2015, the FDA issued an Untitled Letter (the "Untitled Letter") alleging that BioD's morselized amniotic membrane tissue based products do not meet the criteria for regulation as HCT/Ps solely under Section 361 of the Public Health Services Act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 In July, 2020, the FDA issued the final guidance document related to human tissue titled, “Regulatory Considerations for Human Cells, Tissues, and Cellular and Tissue-Based Products: Minimal Manipulation and Homologous Use” (the “HCT/PFinal Guidance”). This Guidance document supersedes the November 2017 guidance.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have as much as thirty-six months of enforcement discretion, other high risk uses could be subject to immediate enforcement action. The revised final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guidance extends the discretionary enforcement period to May 31, 2021. The Company does not believe the uses for its amniotic membrane tissue-based products fall into the high-risk category.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the Company has not received any further notice of enforcement action from the FDA regarding its morselized amniotic tissue-based products. Nonetheless, we can make no assurances that the FDA will continue to exercise its enforcement discretion with respect to the Company’s morselized amniotic membrane tissue-based products, and any potential action of the FDA could have a financial impact regarding the sales of such products.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from BioD morselized amniotic membrane-based products for the three months ended March 31, 2021 were less than 1.0% of consolidated revenues.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7, 2019, TEI Biosciences, Inc. a subsidiary of the Company received a Warning Letter (the “Warning Letter”), dated March 6, 2019, from the FDA. The warning letter relates to quality systems issues at our manufacturing facility located in Boston, Massachusetts. The letter resulted from an inspection held at that facility in October and November 2018 and did not identify any new observations that were not already provided in the Form 483 that followed the inspection. The Company submitted its initial response to the FDA Warning Letter on March 28, 2019 and provides regular progress reports to the FDA as to its corrective actions and, since the conclusion of the inspection, has undertaken significant efforts to remediate the observations and continues to do so. The warning letter does not restrict the Company’s ability to manufacture or ship products or require the recall of any products. Nor does it restrict our ability to seek FDA 510(k) clearance of products. The letter states that requests for Certificates to Foreign Governments would not be granted. However, due to our progress reports, the FDA agreed to resume issuing Certificates to Foreign Governments to TEI due to substantial progress and the length of time it takes to resolve the Warning Letter. Additionally, premarket approval applications for Class III devices to which the Quality System regulation violations are reasonably related will not be approved until the violations have been corrected. The TEI Boston facility manufactures extracellular bovine matrix (EBM) products. The Company does not expect to incur material incremental expense for remediation activities. We cannot, however, give any assurances that the FDA will be satisfied with our response to the Warning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of products manufactured in the TEI Boston facility for the three months ended March 31, 2021 were approximately 4.5% of consolidated revenues.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&amp;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January 4, 2021, the Company completed its previously announced sale of its Extremity Orthopedics business to Smith &amp; Nephew USD Limited. The transaction included the sale of the Company's upper and lower Extremity Orthopedics product portfolio, including ankle and shoulder arthroplasty and hand and wrist product lines. The Company received an aggregate purchase price of $240.0 million from Smith and Nephew and concurrently paid $41.5 million to the Consortium of Focused Orthopedists, LLC ("CFO") effectively terminating the licensing agreement between Integra and CFO relating to the development of shoulder arthroplasty products. The Company recognized a gain of $42.9 million in connection with the sale that is presented in Gain from the sale of business in the consolidated statement of operations for the year ended March 31, 2021. See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details.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20, 2021, the Company acquired ACell Inc. for an acquisition purchase price of $305.4 million plus contingent consideration of up to $100 million, that may be payable upon achieving certain revenue-based performance milestones in 2022, 2023 and 2025</w:t>
      </w:r>
      <w:r>
        <w:rPr>
          <w:rFonts w:ascii="Arial" w:cs="Arial" w:eastAsia="Arial" w:hAnsi="Arial"/>
          <w:sz w:val="18"/>
          <w:szCs w:val="18"/>
          <w:i w:val="1"/>
          <w:iCs w:val="1"/>
          <w:color w:val="auto"/>
        </w:rPr>
        <w:t>.</w:t>
      </w:r>
      <w:r>
        <w:rPr>
          <w:rFonts w:ascii="Arial" w:cs="Arial" w:eastAsia="Arial" w:hAnsi="Arial"/>
          <w:sz w:val="18"/>
          <w:szCs w:val="18"/>
          <w:color w:val="auto"/>
        </w:rPr>
        <w:t xml:space="preserve"> ACell was a privately-held company that offered a portfolio of regenerative products for complex wound management, including developing and commercializing products based on MatriStem Urinary Bladder Matrix ("UBM"), a technology platform derived from porcine urinary bladder extracellular matrix. See Note 2-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Divestitures </w:t>
      </w:r>
      <w:r>
        <w:rPr>
          <w:rFonts w:ascii="Arial" w:cs="Arial" w:eastAsia="Arial" w:hAnsi="Arial"/>
          <w:sz w:val="18"/>
          <w:szCs w:val="18"/>
          <w:color w:val="auto"/>
        </w:rPr>
        <w:t>for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OPTIMIZATION AND INTEGRATION ACTIVITIES</w:t>
      </w:r>
    </w:p>
    <w:p>
      <w:pPr>
        <w:spacing w:after="0" w:line="2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a result of our ongoing acquisition strategy and significant growth in recent years, we have undertaken cost-saving initiatives to consolidate manufacturing operations, distribution facilities and transfer activities, implement a common ERP system,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three months ended March 31, 2021 was $45.4 million, or $0.53 per diluted share, as compared to $9.2 million or $0.11 per diluted share for the three months ended March 31, 2020.</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net income for the three months ended March 31, 2021 was primarily driven by an increase in non-operating income primarily due to the gain of $42.9 million recognized in the first quarter of 2021 as a result of the sale of its Extremity Orthopedics business to Smith &amp; Nephew. The Company also benefited from slightly higher revenues and lower operating expenses in the current period as compared to the prior period.</w:t>
      </w:r>
    </w:p>
    <w:p>
      <w:pPr>
        <w:sectPr>
          <w:pgSz w:w="11900" w:h="16838" w:orient="portrait"/>
          <w:cols w:equalWidth="0" w:num="1">
            <w:col w:w="11240"/>
          </w:cols>
          <w:pgMar w:left="320" w:top="125" w:right="339" w:bottom="1440" w:gutter="0" w:footer="0" w:header="0"/>
        </w:sectPr>
      </w:pP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Charges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Income before taxes includes the following special charges</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Acquisition, divestiture and integration-related charges</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05485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5485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Structural optimization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05485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5485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EU medical device regulation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Discontinued product lines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5485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5485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Convertible debt non-cash interest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Expenses related to debt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5485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5485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COVID-19 pandemic related charges</w:t>
      </w:r>
      <w:r>
        <w:rPr>
          <w:rFonts w:ascii="Arial" w:cs="Arial" w:eastAsia="Arial" w:hAnsi="Arial"/>
          <w:sz w:val="23"/>
          <w:szCs w:val="23"/>
          <w:color w:val="auto"/>
          <w:vertAlign w:val="superscript"/>
        </w:rPr>
        <w:t>(1)</w:t>
      </w: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181"/>
        </w:trPr>
        <w:tc>
          <w:tcPr>
            <w:tcW w:w="400" w:type="dxa"/>
            <w:vAlign w:val="bottom"/>
          </w:tcPr>
          <w:p>
            <w:pPr>
              <w:spacing w:after="0"/>
              <w:rPr>
                <w:sz w:val="15"/>
                <w:szCs w:val="15"/>
                <w:color w:val="auto"/>
              </w:rPr>
            </w:pPr>
          </w:p>
        </w:tc>
        <w:tc>
          <w:tcPr>
            <w:tcW w:w="19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5"/>
                <w:szCs w:val="15"/>
                <w:color w:val="auto"/>
              </w:rPr>
            </w:pPr>
          </w:p>
        </w:tc>
      </w:tr>
      <w:tr>
        <w:trPr>
          <w:trHeight w:val="231"/>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(27,001)</w:t>
            </w:r>
          </w:p>
        </w:tc>
        <w:tc>
          <w:tcPr>
            <w:tcW w:w="16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6,166</w:t>
            </w:r>
          </w:p>
        </w:tc>
      </w:tr>
      <w:tr>
        <w:trPr>
          <w:trHeight w:val="229"/>
        </w:trPr>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3,946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3,242</w:t>
            </w:r>
          </w:p>
        </w:tc>
      </w:tr>
      <w:tr>
        <w:trPr>
          <w:trHeight w:val="230"/>
        </w:trPr>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5,748</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2,187</w:t>
            </w:r>
          </w:p>
        </w:tc>
      </w:tr>
      <w:tr>
        <w:trPr>
          <w:trHeight w:val="229"/>
        </w:trPr>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3,185</w:t>
            </w:r>
          </w:p>
        </w:tc>
      </w:tr>
      <w:tr>
        <w:trPr>
          <w:trHeight w:val="229"/>
        </w:trPr>
        <w:tc>
          <w:tcPr>
            <w:tcW w:w="4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2,529</w:t>
            </w:r>
          </w:p>
        </w:tc>
      </w:tr>
      <w:tr>
        <w:trPr>
          <w:trHeight w:val="230"/>
        </w:trPr>
        <w:tc>
          <w:tcPr>
            <w:tcW w:w="4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2,740</w:t>
            </w:r>
          </w:p>
        </w:tc>
      </w:tr>
      <w:tr>
        <w:trPr>
          <w:trHeight w:val="230"/>
        </w:trPr>
        <w:tc>
          <w:tcPr>
            <w:tcW w:w="4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4,706</w:t>
            </w:r>
          </w:p>
        </w:tc>
      </w:tr>
      <w:tr>
        <w:trPr>
          <w:trHeight w:val="223"/>
        </w:trPr>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(17,274)</w:t>
            </w:r>
          </w:p>
        </w:tc>
        <w:tc>
          <w:tcPr>
            <w:tcW w:w="16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24,755</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ectPr>
          <w:pgSz w:w="11900" w:h="16838" w:orient="portrait"/>
          <w:cols w:equalWidth="0" w:num="2">
            <w:col w:w="6960" w:space="720"/>
            <w:col w:w="3560"/>
          </w:cols>
          <w:pgMar w:left="320" w:top="125" w:right="339" w:bottom="1440" w:gutter="0" w:footer="0" w:header="0"/>
          <w:type w:val="continuous"/>
        </w:sectPr>
      </w:pPr>
    </w:p>
    <w:p>
      <w:pPr>
        <w:ind w:firstLine="8"/>
        <w:spacing w:after="0" w:line="275" w:lineRule="auto"/>
        <w:tabs>
          <w:tab w:leader="none" w:pos="254"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Charges relate to business interruptions and costs associated with the COVID-19 pandemic which impacted the Company's operations globally, partially offset by Coronavirus government relief programs in the prior year.</w:t>
      </w:r>
    </w:p>
    <w:p>
      <w:pPr>
        <w:spacing w:after="0" w:line="64" w:lineRule="exact"/>
        <w:rPr>
          <w:rFonts w:ascii="Arial" w:cs="Arial" w:eastAsia="Arial" w:hAnsi="Arial"/>
          <w:sz w:val="16"/>
          <w:szCs w:val="16"/>
          <w:color w:val="auto"/>
        </w:rPr>
      </w:pPr>
    </w:p>
    <w:p>
      <w:pPr>
        <w:ind w:right="20" w:firstLine="8"/>
        <w:spacing w:after="0" w:line="310" w:lineRule="auto"/>
        <w:tabs>
          <w:tab w:leader="none" w:pos="229"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The Company completed its sale of its Extremity Orthopedics business to Smith &amp; Nephew and recognized a gain of $42.9 million for the three months ended March 31, 2021 which was partially offset by other acquisition, divestiture and integration-related charges. See Note 2. </w:t>
      </w:r>
      <w:r>
        <w:rPr>
          <w:rFonts w:ascii="Arial" w:cs="Arial" w:eastAsia="Arial" w:hAnsi="Arial"/>
          <w:sz w:val="15"/>
          <w:szCs w:val="15"/>
          <w:i w:val="1"/>
          <w:iCs w:val="1"/>
          <w:color w:val="auto"/>
        </w:rPr>
        <w:t>Acquisitions and Divestitures</w:t>
      </w:r>
      <w:r>
        <w:rPr>
          <w:rFonts w:ascii="Arial" w:cs="Arial" w:eastAsia="Arial" w:hAnsi="Arial"/>
          <w:sz w:val="15"/>
          <w:szCs w:val="15"/>
          <w:color w:val="auto"/>
        </w:rPr>
        <w:t xml:space="preserve"> for details.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183"/>
        </w:trPr>
        <w:tc>
          <w:tcPr>
            <w:tcW w:w="8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r>
      <w:tr>
        <w:trPr>
          <w:trHeight w:val="231"/>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5,515</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w:t>
            </w:r>
          </w:p>
        </w:tc>
      </w:tr>
      <w:tr>
        <w:trPr>
          <w:trHeight w:val="230"/>
        </w:trPr>
        <w:tc>
          <w:tcPr>
            <w:tcW w:w="8060" w:type="dxa"/>
            <w:vAlign w:val="bottom"/>
          </w:tcPr>
          <w:p>
            <w:pPr>
              <w:ind w:left="20"/>
              <w:spacing w:after="0" w:line="230" w:lineRule="exact"/>
              <w:rPr>
                <w:sz w:val="20"/>
                <w:szCs w:val="20"/>
                <w:color w:val="auto"/>
              </w:rPr>
            </w:pPr>
            <w:r>
              <w:rPr>
                <w:rFonts w:ascii="Arial" w:cs="Arial" w:eastAsia="Arial" w:hAnsi="Arial"/>
                <w:sz w:val="18"/>
                <w:szCs w:val="18"/>
                <w:color w:val="auto"/>
              </w:rPr>
              <w:t>Interest expense</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5,269</w:t>
            </w:r>
          </w:p>
        </w:tc>
      </w:tr>
      <w:tr>
        <w:trPr>
          <w:trHeight w:val="230"/>
        </w:trPr>
        <w:tc>
          <w:tcPr>
            <w:tcW w:w="8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Gain from the sale of business</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(42,876)</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(17,274)</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right="860" w:firstLine="8"/>
        <w:spacing w:after="0" w:line="275" w:lineRule="auto"/>
        <w:tabs>
          <w:tab w:leader="none" w:pos="229"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Upon adoption of ASU No. 2020-06, the Company will no longer incur non-cash interest expense for the amortization of debt discount. See Note 1. </w:t>
      </w:r>
      <w:r>
        <w:rPr>
          <w:rFonts w:ascii="Arial" w:cs="Arial" w:eastAsia="Arial" w:hAnsi="Arial"/>
          <w:sz w:val="16"/>
          <w:szCs w:val="16"/>
          <w:i w:val="1"/>
          <w:iCs w:val="1"/>
          <w:color w:val="auto"/>
        </w:rPr>
        <w:t>Basis of</w:t>
      </w:r>
      <w:r>
        <w:rPr>
          <w:rFonts w:ascii="Arial" w:cs="Arial" w:eastAsia="Arial" w:hAnsi="Arial"/>
          <w:sz w:val="16"/>
          <w:szCs w:val="16"/>
          <w:color w:val="auto"/>
        </w:rPr>
        <w:t xml:space="preserve"> </w:t>
      </w:r>
      <w:r>
        <w:rPr>
          <w:rFonts w:ascii="Arial" w:cs="Arial" w:eastAsia="Arial" w:hAnsi="Arial"/>
          <w:sz w:val="16"/>
          <w:szCs w:val="16"/>
          <w:i w:val="1"/>
          <w:iCs w:val="1"/>
          <w:color w:val="auto"/>
        </w:rPr>
        <w:t>Presentation</w:t>
      </w:r>
      <w:r>
        <w:rPr>
          <w:rFonts w:ascii="Arial" w:cs="Arial" w:eastAsia="Arial" w:hAnsi="Arial"/>
          <w:sz w:val="16"/>
          <w:szCs w:val="16"/>
          <w:color w:val="auto"/>
        </w:rPr>
        <w:t>, for details.</w:t>
      </w:r>
    </w:p>
    <w:p>
      <w:pPr>
        <w:spacing w:after="0" w:line="64" w:lineRule="exact"/>
        <w:rPr>
          <w:rFonts w:ascii="Arial" w:cs="Arial" w:eastAsia="Arial" w:hAnsi="Arial"/>
          <w:sz w:val="16"/>
          <w:szCs w:val="16"/>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See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xml:space="preserve"> for details.</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typically define special charges as items for which the amounts and/or timing of such expenses may vary significantly from period to period, depending upon our acquisition, divestiture,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and gross margin on product revenues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7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2020</w:t>
            </w:r>
          </w:p>
        </w:tc>
      </w:tr>
      <w:tr>
        <w:trPr>
          <w:trHeight w:val="212"/>
        </w:trPr>
        <w:tc>
          <w:tcPr>
            <w:tcW w:w="7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Net Sales</w:t>
            </w:r>
          </w:p>
        </w:tc>
        <w:tc>
          <w:tcPr>
            <w:tcW w:w="38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980" w:type="dxa"/>
            <w:vAlign w:val="bottom"/>
          </w:tcPr>
          <w:p>
            <w:pPr>
              <w:spacing w:after="0"/>
              <w:rPr>
                <w:sz w:val="18"/>
                <w:szCs w:val="18"/>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Codman Specialty Surgical</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241,241</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231,440</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Tissue Technologies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118,830</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122,884</w:t>
            </w:r>
          </w:p>
        </w:tc>
      </w:tr>
      <w:tr>
        <w:trPr>
          <w:trHeight w:val="22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360,071</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354,324</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145,823</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133,476</w:t>
            </w: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on total revenues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214,248</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220,848</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7880" w:type="dxa"/>
            <w:vAlign w:val="bottom"/>
          </w:tcPr>
          <w:p>
            <w:pPr>
              <w:spacing w:after="0"/>
              <w:rPr>
                <w:sz w:val="20"/>
                <w:szCs w:val="20"/>
                <w:color w:val="auto"/>
              </w:rPr>
            </w:pPr>
            <w:r>
              <w:rPr>
                <w:rFonts w:ascii="Arial" w:cs="Arial" w:eastAsia="Arial" w:hAnsi="Arial"/>
                <w:sz w:val="18"/>
                <w:szCs w:val="18"/>
                <w:color w:val="auto"/>
              </w:rPr>
              <w:t>Gross margin as a percentage of total revenues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59.5 %</w:t>
            </w:r>
          </w:p>
        </w:tc>
        <w:tc>
          <w:tcPr>
            <w:tcW w:w="140" w:type="dxa"/>
            <w:vAlign w:val="bottom"/>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62.3 %</w:t>
            </w:r>
          </w:p>
        </w:tc>
      </w:tr>
    </w:tbl>
    <w:p>
      <w:pPr>
        <w:spacing w:after="0" w:line="400" w:lineRule="exact"/>
        <w:rPr>
          <w:sz w:val="20"/>
          <w:szCs w:val="20"/>
          <w:color w:val="auto"/>
        </w:rPr>
      </w:pPr>
    </w:p>
    <w:p>
      <w:pPr>
        <w:ind w:right="4180"/>
        <w:spacing w:after="0" w:line="377" w:lineRule="auto"/>
        <w:rPr>
          <w:sz w:val="20"/>
          <w:szCs w:val="20"/>
          <w:color w:val="auto"/>
        </w:rPr>
      </w:pPr>
      <w:r>
        <w:rPr>
          <w:rFonts w:ascii="Arial" w:cs="Arial" w:eastAsia="Arial" w:hAnsi="Arial"/>
          <w:sz w:val="18"/>
          <w:szCs w:val="18"/>
          <w:b w:val="1"/>
          <w:bCs w:val="1"/>
          <w:color w:val="auto"/>
        </w:rPr>
        <w:t>Three Months Ended March 31, 2021 as Compared to Three Months Ended March 31, 2020 Revenues</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2021, total revenues increased by $5.7 million to $360.1 million from $354.3 million for the same period in 2020. Domestic revenues increased by $0.9 million, or 0.4%, to $247.8 million and were 68.8% of total revenues for the three months ended March 31, 2021 compared to $246.9 million during the same period in the prior year. International revenues increased by $4.8 million or 4.5% to $112.3 million for the three months ended March 31, 2021 compared to $107.5 million during the same period in the prior year. Foreign exchange fluctuations had a favorable impact of $5.9 million on revenues for the quarter.</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Codman Specialty Surgical segment ("CSS"), revenues were $241.2 million which was an increase of $9.8 million, or 4.2% as compared to the prior-year period. The Company saw growth within our Neurosurgery portfolio primarily with sales in advanced energy increasing high single digits as a result of capital and disposable sales recovery in our international markets. Sales in our instruments portfolio increased low double digits as compared to the first quarter of 2020 primarily driven by recovery in physician office visits in comparison to the prior year.</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Tissue Technologies ("TT") segment, revenues were $118.8 million which was a decrease of $4.1 million, or 3.3% from the prior-year period. The decline in revenue was primarily as a result of the sale of the Company's Extremity Orthopedics product portfolio to Smith and Nephew which occurred on January 4, 2021. This decline was partially offset by sales in our Wound Reconstruction portfolio which increased due to the acquisition of ACell Inc. which was completed on January 20, 2021 and growth from our legacy portfolio such as Primatrix and Integra skin products.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closely monitor local, regional, and global COVID-19 surges as well as new variants of the virus for an impact on procedures during Q2 2021 and beyond. The reallocation of hospital resources to treat COVID-19 may continue to cause a financial strain on healthcare systems and reduce procedural volumes. Additionally, the Company does not expect all markets and product lines to improve at the same rate based on the level of recurrence of COVID-19 and its associated impact on the pace of procedure recovery and economic normalization.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three months ended March 31, 2021 and 2020, gross margin as a percentage of revenues was 59.5% and 62.3%, respectively. The decrease in gross margin percentage was due to increased amortization associated with technology-based intangible assets, inventory step-up amortization in connection with the ACell Inc. acquisition, revenue mix and higher manufacturing costs. The product revenue mix was impacted by the timing of the Extremity Orthopedics divestiture relative to the partial quarter benefit from ACell, and a higher mix of international revenue, which has lower gross margins than that of domestic revenue. The higher manufacturing costs were mainly due to higher idle capacity relating to the impact of COVID resurgences on our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136"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8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88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2020</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29"/>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jc w:val="right"/>
              <w:spacing w:after="0"/>
              <w:rPr>
                <w:sz w:val="20"/>
                <w:szCs w:val="20"/>
                <w:color w:val="auto"/>
              </w:rPr>
            </w:pPr>
            <w:r>
              <w:rPr>
                <w:rFonts w:ascii="Arial" w:cs="Arial" w:eastAsia="Arial" w:hAnsi="Arial"/>
                <w:sz w:val="18"/>
                <w:szCs w:val="18"/>
                <w:color w:val="auto"/>
              </w:rPr>
              <w:t>43.5 %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46.8 %</w:t>
            </w:r>
          </w:p>
        </w:tc>
      </w:tr>
      <w:tr>
        <w:trPr>
          <w:trHeight w:val="229"/>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3"/>
        </w:trPr>
        <w:tc>
          <w:tcPr>
            <w:tcW w:w="738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51.0 %</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54.7 %</w:t>
            </w:r>
          </w:p>
        </w:tc>
      </w:tr>
      <w:tr>
        <w:trPr>
          <w:trHeight w:val="21"/>
        </w:trPr>
        <w:tc>
          <w:tcPr>
            <w:tcW w:w="7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operating expenses, which consist of research and development, selling, general and administrative, and amortization expenses, decreased by $10.2 million, or 5.3% to $183.5 million in the three months ended March 31, 2021, compared to $193.7 million in the same period in 2020. The Company has continued to manage its operating costs as a result of the impact of the COVID-19 pandemic. We also began to benefit from synergies as a result of the ACell Inc. acquisition and the sale of the Extremity Orthopedic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for the three months ended March 31, 2021 increased by $1.6 million as compared to the same period in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invest in R&amp;D programs despite the challenges from the COVID-19 pandemic.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costs decreased by $9.3 million as compared to the same period in prior year resulting from less spending on travel, events and other discretionary expenses, as well as benefits from synergies as a result of the ACell Inc. acquisition and the sale of the Extremity and Orthopedic business. The Company has continued to manage its operating costs as a result of the impact of the COVID-19 pandemic.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(excluding amounts reported in cost of product revenues for technology-based intangible assets) for the three months ended March 31, 2021 was $4.5 million compared to $7.0 million for the same period in prior year primarily due to a reduction in amortization expense associated with intangible assets sold in conjunction with the sale of the business during the current year and accelerated amortization expense associated with an intangible asset recorded in the prior year.</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discontinue certain products in the future as we continue to assess the profitability of our product lines. As our profitability assessment evolves, we may make further decisions about our trade names and incur additional impairment charges or accelerated amortization. We expect total annual amortization expense to be approximately $78.8 million in 2022, $78.0 million in 2023, $77.3 million in 2024, $77.3 million in 2025, $77.2 million in 2026 and $582.7 million thereafter.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4140" w:type="dxa"/>
            <w:vAlign w:val="bottom"/>
            <w:gridSpan w:val="2"/>
            <w:shd w:val="clear" w:color="auto" w:fill="CCEEFF"/>
          </w:tcPr>
          <w:p>
            <w:pPr>
              <w:jc w:val="right"/>
              <w:ind w:right="90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(12,929)</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(17,752)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the sale of business</w:t>
            </w:r>
          </w:p>
        </w:tc>
        <w:tc>
          <w:tcPr>
            <w:tcW w:w="30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42,876</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0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non-operating income and expense</w:t>
            </w:r>
          </w:p>
        </w:tc>
        <w:tc>
          <w:tcPr>
            <w:tcW w:w="30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36,564</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(15,661)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1590"/>
              <w:spacing w:after="0"/>
              <w:rPr>
                <w:sz w:val="20"/>
                <w:szCs w:val="20"/>
                <w:color w:val="auto"/>
              </w:rPr>
            </w:pPr>
            <w:r>
              <w:rPr>
                <w:rFonts w:ascii="Arial" w:cs="Arial" w:eastAsia="Arial" w:hAnsi="Arial"/>
                <w:sz w:val="18"/>
                <w:szCs w:val="18"/>
                <w:color w:val="auto"/>
              </w:rPr>
              <w:t>38</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36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the three months ended March 31, 2021 decreased by $0.8 million as compared to the same period last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from the sale of business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4, 2021, the Company completed its sale of its Extremity Orthopedics business to Smith &amp; Nephew and recognized a gain of $42.9 million for the three months ended March 31,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Interest expense for the three months ended March 31, 2021 decreased by $4.8 million as compared to the same period in the prior year primarily due to the elimination of the non-cash interest expense as the result of the adoption ASU 2020-06 and the expenses associated with Amended and Restated Senior Credit Agreement which occurred in the prior period. </w:t>
      </w:r>
      <w:r>
        <w:rPr>
          <w:rFonts w:ascii="Arial" w:cs="Arial" w:eastAsia="Arial" w:hAnsi="Arial"/>
          <w:sz w:val="14"/>
          <w:szCs w:val="14"/>
          <w:color w:val="auto"/>
        </w:rPr>
        <w:t>See Note 1.</w:t>
      </w:r>
      <w:r>
        <w:rPr>
          <w:rFonts w:ascii="Arial" w:cs="Arial" w:eastAsia="Arial" w:hAnsi="Arial"/>
          <w:sz w:val="16"/>
          <w:szCs w:val="16"/>
          <w:color w:val="auto"/>
        </w:rPr>
        <w:t xml:space="preserve"> </w:t>
      </w:r>
      <w:r>
        <w:rPr>
          <w:rFonts w:ascii="Arial" w:cs="Arial" w:eastAsia="Arial" w:hAnsi="Arial"/>
          <w:sz w:val="14"/>
          <w:szCs w:val="14"/>
          <w:i w:val="1"/>
          <w:iCs w:val="1"/>
          <w:color w:val="auto"/>
        </w:rPr>
        <w:t>Basis of Presentation</w:t>
      </w:r>
      <w:r>
        <w:rPr>
          <w:rFonts w:ascii="Arial" w:cs="Arial" w:eastAsia="Arial" w:hAnsi="Arial"/>
          <w:sz w:val="16"/>
          <w:szCs w:val="16"/>
          <w:color w:val="auto"/>
        </w:rPr>
        <w:t xml:space="preserve"> for details in relation to the adoption of ASU 2020-06.</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Other income, net for the three months ended March 31, 2021 increased by $5.3 million compared to the same period in the prior year primarily due to income associated with the transition services agreement with Smith and Nephew and favorable impact of foreign exchange.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3260" w:type="dxa"/>
            <w:vAlign w:val="bottom"/>
            <w:tcBorders>
              <w:bottom w:val="single" w:sz="8" w:color="auto"/>
            </w:tcBorders>
            <w:gridSpan w:val="3"/>
          </w:tcPr>
          <w:p>
            <w:pPr>
              <w:jc w:val="center"/>
              <w:ind w:left="682"/>
              <w:spacing w:after="0"/>
              <w:rPr>
                <w:sz w:val="20"/>
                <w:szCs w:val="20"/>
                <w:color w:val="auto"/>
              </w:rPr>
            </w:pPr>
            <w:r>
              <w:rPr>
                <w:rFonts w:ascii="Arial" w:cs="Arial" w:eastAsia="Arial" w:hAnsi="Arial"/>
                <w:sz w:val="14"/>
                <w:szCs w:val="14"/>
                <w:b w:val="1"/>
                <w:bCs w:val="1"/>
                <w:color w:val="auto"/>
                <w:w w:val="95"/>
              </w:rPr>
              <w:t>Three Months Ended March 31,</w:t>
            </w:r>
          </w:p>
        </w:tc>
        <w:tc>
          <w:tcPr>
            <w:tcW w:w="760" w:type="dxa"/>
            <w:vAlign w:val="bottom"/>
            <w:tcBorders>
              <w:bottom w:val="single" w:sz="8" w:color="auto"/>
            </w:tcBorders>
          </w:tcPr>
          <w:p>
            <w:pPr>
              <w:spacing w:after="0"/>
              <w:rPr>
                <w:sz w:val="16"/>
                <w:szCs w:val="16"/>
                <w:color w:val="auto"/>
              </w:rPr>
            </w:pPr>
          </w:p>
        </w:tc>
      </w:tr>
      <w:tr>
        <w:trPr>
          <w:trHeight w:val="187"/>
        </w:trPr>
        <w:tc>
          <w:tcPr>
            <w:tcW w:w="718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6"/>
                <w:szCs w:val="16"/>
                <w:color w:val="auto"/>
              </w:rPr>
            </w:pPr>
          </w:p>
        </w:tc>
      </w:tr>
      <w:tr>
        <w:trPr>
          <w:trHeight w:val="183"/>
        </w:trPr>
        <w:tc>
          <w:tcPr>
            <w:tcW w:w="7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0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15"/>
                <w:szCs w:val="15"/>
                <w:color w:val="auto"/>
              </w:rPr>
            </w:pPr>
          </w:p>
        </w:tc>
      </w:tr>
      <w:tr>
        <w:trPr>
          <w:trHeight w:val="231"/>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16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94"/>
              </w:rPr>
              <w:t>67,278</w:t>
            </w:r>
          </w:p>
        </w:tc>
        <w:tc>
          <w:tcPr>
            <w:tcW w:w="12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11,442</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160" w:type="dxa"/>
            <w:vAlign w:val="bottom"/>
          </w:tcPr>
          <w:p>
            <w:pPr>
              <w:spacing w:after="0"/>
              <w:rPr>
                <w:sz w:val="19"/>
                <w:szCs w:val="19"/>
                <w:color w:val="auto"/>
              </w:rPr>
            </w:pPr>
          </w:p>
        </w:tc>
        <w:tc>
          <w:tcPr>
            <w:tcW w:w="860" w:type="dxa"/>
            <w:vAlign w:val="bottom"/>
          </w:tcPr>
          <w:p>
            <w:pPr>
              <w:jc w:val="right"/>
              <w:ind w:right="235"/>
              <w:spacing w:after="0"/>
              <w:rPr>
                <w:sz w:val="20"/>
                <w:szCs w:val="20"/>
                <w:color w:val="auto"/>
              </w:rPr>
            </w:pPr>
            <w:r>
              <w:rPr>
                <w:rFonts w:ascii="Arial" w:cs="Arial" w:eastAsia="Arial" w:hAnsi="Arial"/>
                <w:sz w:val="18"/>
                <w:szCs w:val="18"/>
                <w:color w:val="auto"/>
                <w:w w:val="94"/>
              </w:rPr>
              <w:t>21,884</w:t>
            </w:r>
          </w:p>
        </w:tc>
        <w:tc>
          <w:tcPr>
            <w:tcW w:w="124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2,262</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32.5 %</w:t>
            </w: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three months ended March 31, 2021 and 2020 were 32.5% and 19.8%, respectively.</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March 31, 2021, the primary driver of the higher tax rate is the tax impact of the gain from the sale of the business, which closed during the first quarter.</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March 31, 2020, the primary drivers of the rate were lower income impacted by the COVID-19 pandemic, coupled with a $3.3 million valuation allowance on certain foreign deferred tax assets.</w:t>
      </w:r>
    </w:p>
    <w:p>
      <w:pPr>
        <w:spacing w:after="0" w:line="19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A favorable resolution would be recognized as a reduction to our annual effective tax rate in the year of resolution. The Company's tax reserves are presented in the balance sheet within other liabilities, except for amounts relating to items that we expect to pay in the coming year, which would be classified as current income taxes payable.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83"/>
        </w:trPr>
        <w:tc>
          <w:tcPr>
            <w:tcW w:w="7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r>
      <w:tr>
        <w:trPr>
          <w:trHeight w:val="23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247,793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246,852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45,819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45,896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39,960</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21,616</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354,324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generates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the Company's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Domestic revenues increased by $0.9 million for the three months ended March 31, 2021 compared to the same period last year. European sales decreased by $0.1 million for the three months ended March 31, 2021 compared to the same period last year. Sales to customers in Asia Pacific increased by $7.3 million for the three months ended March 31, 2021 driven by accelerated recovery in both the Japan and China markets in relation to otherwise negative COVID-19 impacts. The Rest of the World for the three months ended March 31, 2021 decreased by $2.5 million compared to the same period last year primarily due to adverse effects of the COVID-19 pandemic.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working capital as of March 31, 2021 and December 31, 2020 was $626.8 million and $836.2 million, respectively. Working capital consists of total current assets less total current liabilities as presented in the consolidated balance sheets.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had cash and cash equivalents totaling approximately $409.0 million and $470.2 million at March 31, 2021 and December 31, 2020 respectively, which are valued based on Level 1 measurements in the fair value hierarchy. At March 31, 2021, our non-U.S. subsidiaries held approximately $251.6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 The Company does not anticipate the need to repatriate earnings from foreign subsidiaries as a result of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w w:val="95"/>
              </w:rPr>
              <w:t>Three Months Ended March 31,</w:t>
            </w:r>
          </w:p>
        </w:tc>
        <w:tc>
          <w:tcPr>
            <w:tcW w:w="700" w:type="dxa"/>
            <w:vAlign w:val="bottom"/>
            <w:tcBorders>
              <w:bottom w:val="single" w:sz="8" w:color="auto"/>
            </w:tcBorders>
          </w:tcPr>
          <w:p>
            <w:pPr>
              <w:spacing w:after="0"/>
              <w:rPr>
                <w:sz w:val="16"/>
                <w:szCs w:val="16"/>
                <w:color w:val="auto"/>
              </w:rPr>
            </w:pPr>
          </w:p>
        </w:tc>
      </w:tr>
      <w:tr>
        <w:trPr>
          <w:trHeight w:val="187"/>
        </w:trPr>
        <w:tc>
          <w:tcPr>
            <w:tcW w:w="74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r>
      <w:tr>
        <w:trPr>
          <w:trHeight w:val="183"/>
        </w:trPr>
        <w:tc>
          <w:tcPr>
            <w:tcW w:w="7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5"/>
                <w:szCs w:val="15"/>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69,081</w:t>
            </w:r>
          </w:p>
        </w:tc>
        <w:tc>
          <w:tcPr>
            <w:tcW w:w="114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20,814</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0"/>
              </w:rPr>
              <w:t>(117,566)</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(21,485)</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provided by financing activities</w:t>
            </w: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162,005</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Effect of exchange rate fluctuations on cash</w:t>
            </w:r>
          </w:p>
        </w:tc>
        <w:tc>
          <w:tcPr>
            <w:tcW w:w="10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(9,690)</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cash flows for the three months ended March 31, 2021 increased by $48.3 million compared to the same period in 2020. For the three months ended March 31, 2021, net income after removing the impact of the gain on sale of business and non-cash adjustments decreased by approximately $10.1 million. The changes in assets and liabilities increased cash flows by $26.0 million primarily due to operating cash flow contributions of accounts receivable for the three months ended March 31, 2021 when compared to the prior year. In addition, the increase was also driven by an increase in accounts payables, accrued expenses and other current liabilities for the three months ended March 31,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2021, we paid a net cash amount of $302.6 million in relation to the acquisition of ACell Inc. and received net proceeds of $191.7 million for the sale of the Extremity Orthopedics business. The Company also paid for $6.7 million capital expenditures to support operations improvement initiatives at a number of our manufacturing facilities and other information technology investments.</w:t>
      </w:r>
    </w:p>
    <w:p>
      <w:pPr>
        <w:spacing w:after="0" w:line="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2020, the Company paid $16.5 million for capital expenditures, most of which were directed to our Mansfield, Massachusetts facility, our Princeton, New Jersey facility and commercial expansion, as well as $5.0 million payment related to the first developmental milestone for Rebound.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Uses of cash from financing activities in the three months ended March 31, 2021 were $2.2 million proceeds from the exercise of stock options which was partially offset by net repayments of $1.6 million on the Securitization Facility offset and $3.6 million cash taxes paid in net equity settlement.</w:t>
      </w:r>
    </w:p>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Sources of cash from financing activities in the three months ended March 31, 2020 were $515.3 million proceeds from the issuance of Convertible Senior Notes including the call and warrant transactions, $113.2 million borrowing under our Senior Credit Facility and Securitization Facility and $2.3 million in proceeds from the exercise of stock options. These were offset by repayments of $344.2 million on the revolving portion of our Senior Credit Facility and Securitization Facility, $20.3 million debt issuance costs related to the Amended and Restated Credit Agreement, $100 million purchases of treasury stock and $4.3 million cash taxes paid in net equity settlement.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Convertible Senior Notes, Securitization and Related Hedging Activities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current period’s condensed consolidated financial statements for a discussion of our Amended and Restated Senior Credit Agreement, Convertible Senior Notes and Securitization Facility and Note 7,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discussion of our hedging activities. We are forecasting that for the next twelve months, sales and earnings will be sufficient to remain in compliance with our financial covenants under the terms of the February 2020 Amendment and July 2020 Amendment to the Senior Credit Facility.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7, 2020, the Board of Directors authorized the Company to repurchase up to $225 million of the Company’s common stock. The program allows the Company to repurchase its shares opportunistically from time to time. The repurchase authorization expires in December 2022. The Company has $225.0 million remaining under the share repurchase of its Common Stock.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w:t>
      </w:r>
    </w:p>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the Company repurchased 2.1 million shares of Integra’s common stock as a part of our previous share repurchase authorization. The Company utilized $100.0 million of net proceeds from the offering of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Convertible Senior Notes to execute the share repurchase transactions. This included $7.6 million from certain purchasers of the convertible notes in conjunction with the closing of the offering. On February 5, 2020, the Company entered into a $92.4 million accelerated share repurchase ("ASR") to complete the remaining $100.0 million of share repurchase. The Company received 1.3 million shares through the ASR, which represented approximately 80% of the expected total shares. Upon settlement of the ASR in June 2020, the Company received an additional 0.6 million shares determined using the volume-weighted average price of the Company's common stock during the term of the transaction.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paid any cash dividends on our common stock since our formation. Our Senior Credit Facility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have any off–balance sheet financing arrangements during the three months ended March 31, 2021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Company is obligated to pay the following amounts under various agreements: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Payments Due by Calendar Year</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3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Remaining 2021</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2022-2023</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2024-2025</w:t>
            </w: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Thereafter</w:t>
            </w:r>
          </w:p>
        </w:tc>
      </w:tr>
      <w:tr>
        <w:trPr>
          <w:trHeight w:val="183"/>
        </w:trPr>
        <w:tc>
          <w:tcPr>
            <w:tcW w:w="3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1"/>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877.6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736.9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Securitization Facility (1)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Convertible Debt (4)</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575.0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Employment Agreements (3)</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1,874.4</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1,455.4</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r>
      <w:tr>
        <w:trPr>
          <w:trHeight w:val="20"/>
        </w:trPr>
        <w:tc>
          <w:tcPr>
            <w:tcW w:w="3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880" w:right="40" w:hanging="258"/>
        <w:spacing w:after="0" w:line="22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revolving credit portion of its Senior Credit Facility and Securitization Facility from time to time and considers all of the outstanding amounts to be long term based on its current intent and ability to repay the borrowing outside of the next twelve-month period.</w:t>
      </w:r>
    </w:p>
    <w:p>
      <w:pPr>
        <w:spacing w:after="0" w:line="1" w:lineRule="exact"/>
        <w:rPr>
          <w:rFonts w:ascii="Arial" w:cs="Arial" w:eastAsia="Arial" w:hAnsi="Arial"/>
          <w:sz w:val="18"/>
          <w:szCs w:val="18"/>
          <w:color w:val="auto"/>
        </w:rPr>
      </w:pPr>
    </w:p>
    <w:p>
      <w:pPr>
        <w:ind w:left="880" w:right="40" w:hanging="258"/>
        <w:spacing w:after="0" w:line="248"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Interest is calculated on the term loan portion of the Senior Credit Facility based on LIBOR plus the spread paid by the Company. As the revolving credit facility and Securitization Facility can be repaid at any time, no interest has been included in the calculation.</w:t>
      </w:r>
    </w:p>
    <w:p>
      <w:pPr>
        <w:spacing w:after="0" w:line="1" w:lineRule="exact"/>
        <w:rPr>
          <w:rFonts w:ascii="Arial" w:cs="Arial" w:eastAsia="Arial" w:hAnsi="Arial"/>
          <w:sz w:val="17"/>
          <w:szCs w:val="17"/>
          <w:color w:val="auto"/>
        </w:rPr>
      </w:pPr>
    </w:p>
    <w:p>
      <w:pPr>
        <w:ind w:left="880" w:hanging="258"/>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22" w:lineRule="exact"/>
        <w:rPr>
          <w:rFonts w:ascii="Arial" w:cs="Arial" w:eastAsia="Arial" w:hAnsi="Arial"/>
          <w:sz w:val="18"/>
          <w:szCs w:val="18"/>
          <w:color w:val="auto"/>
        </w:rPr>
      </w:pPr>
    </w:p>
    <w:p>
      <w:pPr>
        <w:ind w:left="880" w:right="60" w:hanging="258"/>
        <w:spacing w:after="0" w:line="219"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On February 4, 2020, the Company issued $575.0 million aggregate principal amount of its of 0.5% Convertible Senior Notes due 2025 (the "2025 Notes"). The 2025 Notes will mature on August 15, 2025 and bear interest at a rate of 0.5% per annum payable semi-annually in arrears, unless earlier converted, repurchased or redeemed in accordance with the terms of the Notes. See Note 6, </w:t>
      </w:r>
      <w:r>
        <w:rPr>
          <w:rFonts w:ascii="Arial" w:cs="Arial" w:eastAsia="Arial" w:hAnsi="Arial"/>
          <w:sz w:val="18"/>
          <w:szCs w:val="18"/>
          <w:i w:val="1"/>
          <w:iCs w:val="1"/>
          <w:color w:val="auto"/>
        </w:rPr>
        <w:t>Debt</w:t>
      </w:r>
      <w:r>
        <w:rPr>
          <w:rFonts w:ascii="Arial" w:cs="Arial" w:eastAsia="Arial" w:hAnsi="Arial"/>
          <w:sz w:val="18"/>
          <w:szCs w:val="18"/>
          <w:color w:val="auto"/>
        </w:rPr>
        <w:t>, for the details on the 2025 Notes.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has excluded its contingent consideration obligation related to prior and current year acquisitions from the contractual obligations table above; this liability had a total estimated fair value of $39.6 million at March 31, 2021. This liability has been excluded because the amount to be paid and the potential payment date is not fixed.</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has excluded its future pension contribution obligations from the table above. This has been excluded because the future amounts to be paid and the potential payment dates are not fixed.</w:t>
      </w:r>
    </w:p>
    <w:p>
      <w:pPr>
        <w:spacing w:after="0" w:line="6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 has excluded the liability for uncertain tax benefits from the contractual obligations table above, including interest and penalties, totaling $0.9 million at March 31, 2021. This liability for uncertain tax benefits has been excluded because we cannot make a reliable estimate of the period in which the uncertain tax benefits may be realized.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critical accounting estimates included in the Company's Annual Report on Form 10-K for the fiscal year ended December 31, 2020 have not materially changed.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1 </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("EUR"), British pounds ("GBP"), Swiss francs ("CHF"),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20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7,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for further information.</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points movement in interest rates applicable to our cash and cash equivalents outstanding at March 31, 2021 would increase interest income by approximately $4.1 million on an annual basis. No significant decrease in interest income would be expected as our cash balances are earning interest at rates of approximately one basis point. We are subject to foreign currency exchange risk with respect to cash balances maintained in foreign currencies.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Debt</w:t>
      </w:r>
      <w:r>
        <w:rPr>
          <w:rFonts w:ascii="Arial" w:cs="Arial" w:eastAsia="Arial" w:hAnsi="Arial"/>
          <w:sz w:val="17"/>
          <w:szCs w:val="17"/>
          <w:i w:val="1"/>
          <w:iCs w:val="1"/>
          <w:color w:val="auto"/>
        </w:rPr>
        <w:t xml:space="preserve"> </w:t>
      </w:r>
      <w:r>
        <w:rPr>
          <w:rFonts w:ascii="Arial" w:cs="Arial" w:eastAsia="Arial" w:hAnsi="Arial"/>
          <w:sz w:val="17"/>
          <w:szCs w:val="17"/>
          <w:color w:val="auto"/>
        </w:rPr>
        <w:t>- Our interest rate risk relates primarily to U.S. dollar LIBOR-indexed borrowings. We use interest rate swap derivative instruments to manage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earnings and cash flow exposure to changes in interest rates. These interest rate swaps fix the interest rate on a portion of our expected LIBOR-indexed floating-rate borrowings. These interest rate swaps were designated as cash flow hedges as of March 31, 2021. The total notional amounts related to the Company’s interest rate swaps were $1.9 billion with $975.0 million effective as of March 31, 2021. Based on our outstanding borrowings at March 31, 2021, a 100 basis points change in interest rates would have impacted interest expense on the unhedged portion of the debt by $1.1 million on an annualized basis.See Note 7, </w:t>
      </w:r>
      <w:r>
        <w:rPr>
          <w:rFonts w:ascii="Arial" w:cs="Arial" w:eastAsia="Arial" w:hAnsi="Arial"/>
          <w:sz w:val="17"/>
          <w:szCs w:val="17"/>
          <w:i w:val="1"/>
          <w:iCs w:val="1"/>
          <w:color w:val="auto"/>
        </w:rPr>
        <w:t>Derivative Instruments</w:t>
      </w:r>
      <w:r>
        <w:rPr>
          <w:rFonts w:ascii="Arial" w:cs="Arial" w:eastAsia="Arial" w:hAnsi="Arial"/>
          <w:sz w:val="17"/>
          <w:szCs w:val="17"/>
          <w:color w:val="auto"/>
        </w:rPr>
        <w:t>, for the details of interest rate swaps.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maintains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required by Exchange Act Rule 13a-15(b), the Company has carried out an evaluation, under the supervision and with the participation of our management, including our principal executive officer and principal financial officer, of the effectiveness of the design and operation of our disclosure controls and procedures as of March 31, 2021. Based upon this evaluation, our principal executive officer and principal financial officer concluded that our disclosure controls and procedures were effective as of March 31, 2021 to provide such reasonable assurance.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March 31, 2021 that have materially affected, or are reasonably likely to materially affect, our internal control over financial reporting.</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response to business integration activities, the Company has and will continue to further align and streamline the design and operation of the financial control environment to be responsive to the changing business model.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pertaining to legal proceedings can be found in Note 16. </w:t>
      </w:r>
      <w:r>
        <w:rPr>
          <w:rFonts w:ascii="Arial" w:cs="Arial" w:eastAsia="Arial" w:hAnsi="Arial"/>
          <w:sz w:val="18"/>
          <w:szCs w:val="18"/>
          <w:i w:val="1"/>
          <w:iCs w:val="1"/>
          <w:color w:val="auto"/>
        </w:rPr>
        <w:t>Commitment and Contingencies</w:t>
      </w:r>
      <w:r>
        <w:rPr>
          <w:rFonts w:ascii="Arial" w:cs="Arial" w:eastAsia="Arial" w:hAnsi="Arial"/>
          <w:sz w:val="18"/>
          <w:szCs w:val="18"/>
          <w:color w:val="auto"/>
        </w:rPr>
        <w: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212529"/>
        </w:rPr>
        <w:t>The following risk factor is in addition to the risks described in the Company’s Form 10-K under Item 1A, “Risk Factors” for its fiscal year ended December 31, 2020 and in its subsequent periodic reports filed with the Securities and Exchange Commission pursuant to the Securities Exchange Act of 1934, as amended. The risk factor described below may have the effect of heightening many of the risks contained in the Company’s Form 10-K and other periodic reports.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Changes in the calculation and or complete replacement of LIBOR could have an impact on our business.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212529"/>
        </w:rPr>
        <w:t>The United Kingdom’s Financial Conduct Authority (the “FCA”), which regulates LIBOR, announced in July 2017 that it will no longer persuade or require banks to submit rates for LIBOR after 2021. This announcement and global financial benchmark reforms generally have resulted in the future of certain interest rate benchmarks being more uncertain. LIBOR may be disrupted, materially change, or no longer be published in the future. In March 2021, the FCA provided clarity on the future of LIBOR by announcing that GBP, EUR, CHF, JPY Libor and 1-week and 2-month USD LIBOR will cease on December 31, 2021 while the remaining USD LIBOR settings will end on June 30, 2023. We have multiple debt facilities and swap contracts which utilizes a variable rate equal to Eurodollar LIBOR rate as a component of our interest rate. The upcoming transition away from LIBOR as a common reference rate in the global financial market could have a material, adverse effect on our business. Management continues to monitor the status and discussions regarding LIBOR.</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Information pertaining to our common stock under the repurchase program can be found in Note 11. </w:t>
      </w:r>
      <w:r>
        <w:rPr>
          <w:rFonts w:ascii="Arial" w:cs="Arial" w:eastAsia="Arial" w:hAnsi="Arial"/>
          <w:sz w:val="16"/>
          <w:szCs w:val="16"/>
          <w:i w:val="1"/>
          <w:iCs w:val="1"/>
          <w:color w:val="auto"/>
        </w:rPr>
        <w:t>Treasury Stock</w:t>
      </w:r>
      <w:r>
        <w:rPr>
          <w:rFonts w:ascii="Arial" w:cs="Arial" w:eastAsia="Arial" w:hAnsi="Arial"/>
          <w:sz w:val="16"/>
          <w:szCs w:val="16"/>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Reference is hereby made to the Exhibit Index on page </w:t>
      </w:r>
      <w:hyperlink w:anchor="page46">
        <w:r>
          <w:rPr>
            <w:rFonts w:ascii="Arial" w:cs="Arial" w:eastAsia="Arial" w:hAnsi="Arial"/>
            <w:sz w:val="18"/>
            <w:szCs w:val="18"/>
            <w:color w:val="auto"/>
          </w:rPr>
          <w:t>47.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49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120"/>
              <w:spacing w:after="0"/>
              <w:rPr>
                <w:sz w:val="20"/>
                <w:szCs w:val="20"/>
                <w:color w:val="auto"/>
              </w:rPr>
            </w:pPr>
            <w:r>
              <w:rPr>
                <w:rFonts w:ascii="Arial" w:cs="Arial" w:eastAsia="Arial" w:hAnsi="Arial"/>
                <w:sz w:val="18"/>
                <w:szCs w:val="18"/>
                <w:color w:val="auto"/>
              </w:rPr>
              <w:t>April 29, 2021</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J. Arduini</w:t>
            </w:r>
          </w:p>
        </w:tc>
      </w:tr>
      <w:tr>
        <w:trPr>
          <w:trHeight w:val="222"/>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Peter J. Arduini</w:t>
            </w:r>
          </w:p>
        </w:tc>
      </w:tr>
      <w:tr>
        <w:trPr>
          <w:trHeight w:val="229"/>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0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120"/>
              <w:spacing w:after="0"/>
              <w:rPr>
                <w:sz w:val="20"/>
                <w:szCs w:val="20"/>
                <w:color w:val="auto"/>
              </w:rPr>
            </w:pPr>
            <w:r>
              <w:rPr>
                <w:rFonts w:ascii="Arial" w:cs="Arial" w:eastAsia="Arial" w:hAnsi="Arial"/>
                <w:sz w:val="18"/>
                <w:szCs w:val="18"/>
                <w:color w:val="auto"/>
              </w:rPr>
              <w:t>April 29, 2021</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Carrie L. Anderson</w:t>
            </w:r>
          </w:p>
        </w:tc>
      </w:tr>
      <w:tr>
        <w:trPr>
          <w:trHeight w:val="222"/>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Carrie L. Anderson</w:t>
            </w:r>
          </w:p>
        </w:tc>
      </w:tr>
      <w:tr>
        <w:trPr>
          <w:trHeight w:val="230"/>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9"/>
              </w:rPr>
              <w:t>Executive Vice President, Chief Financial Officer, and Treasurer</w:t>
            </w:r>
          </w:p>
        </w:tc>
      </w:tr>
      <w:tr>
        <w:trPr>
          <w:trHeight w:val="230"/>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9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120"/>
              <w:spacing w:after="0"/>
              <w:rPr>
                <w:sz w:val="20"/>
                <w:szCs w:val="20"/>
                <w:color w:val="auto"/>
              </w:rPr>
            </w:pPr>
            <w:r>
              <w:rPr>
                <w:rFonts w:ascii="Arial" w:cs="Arial" w:eastAsia="Arial" w:hAnsi="Arial"/>
                <w:sz w:val="18"/>
                <w:szCs w:val="18"/>
                <w:color w:val="auto"/>
              </w:rPr>
              <w:t>April 29, 2021</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Mosebrook</w:t>
            </w:r>
          </w:p>
        </w:tc>
      </w:tr>
      <w:tr>
        <w:trPr>
          <w:trHeight w:val="222"/>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Jeffrey A. Mosebrook</w:t>
            </w:r>
          </w:p>
        </w:tc>
      </w:tr>
      <w:tr>
        <w:trPr>
          <w:trHeight w:val="229"/>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Senior Vice President, Finance</w:t>
            </w:r>
          </w:p>
        </w:tc>
      </w:tr>
      <w:tr>
        <w:trPr>
          <w:trHeight w:val="230"/>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rPr>
              <w:t>Exhibits</w:t>
            </w:r>
          </w:p>
        </w:tc>
        <w:tc>
          <w:tcPr>
            <w:tcW w:w="7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9"/>
        </w:trPr>
        <w:tc>
          <w:tcPr>
            <w:tcW w:w="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18"/>
                <w:szCs w:val="18"/>
                <w:color w:val="auto"/>
              </w:rPr>
            </w:pPr>
          </w:p>
        </w:tc>
        <w:tc>
          <w:tcPr>
            <w:tcW w:w="744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Certification of Principal Executive Officer Pursuant to Section 302 of the Sarbanes-Oxley Act of 2002</w:t>
              </w:r>
            </w:hyperlink>
          </w:p>
        </w:tc>
        <w:tc>
          <w:tcPr>
            <w:tcW w:w="2120" w:type="dxa"/>
            <w:vAlign w:val="bottom"/>
          </w:tcPr>
          <w:p>
            <w:pPr>
              <w:spacing w:after="0"/>
              <w:rPr>
                <w:sz w:val="18"/>
                <w:szCs w:val="18"/>
                <w:color w:val="auto"/>
              </w:rPr>
            </w:pP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9560" w:type="dxa"/>
            <w:vAlign w:val="bottom"/>
            <w:gridSpan w:val="3"/>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Certification of Principal Financial Officer Pursuant to Section 302 of the Sarbanes-Oxley Act of 2002</w:t>
              </w:r>
            </w:hyperlink>
          </w:p>
        </w:tc>
      </w:tr>
      <w:tr>
        <w:trPr>
          <w:trHeight w:val="20"/>
        </w:trPr>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8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744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Certification of Principal Executive Officer Pursuant to Section 906 of the Sarbanes-Oxley Act of 2002</w:t>
              </w:r>
            </w:hyperlink>
          </w:p>
        </w:tc>
        <w:tc>
          <w:tcPr>
            <w:tcW w:w="2120" w:type="dxa"/>
            <w:vAlign w:val="bottom"/>
          </w:tcPr>
          <w:p>
            <w:pPr>
              <w:spacing w:after="0"/>
              <w:rPr>
                <w:sz w:val="24"/>
                <w:szCs w:val="24"/>
                <w:color w:val="auto"/>
              </w:rPr>
            </w:pPr>
          </w:p>
        </w:tc>
      </w:tr>
      <w:tr>
        <w:trPr>
          <w:trHeight w:val="31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24"/>
                <w:szCs w:val="24"/>
                <w:color w:val="auto"/>
              </w:rPr>
            </w:pPr>
          </w:p>
        </w:tc>
        <w:tc>
          <w:tcPr>
            <w:tcW w:w="9560" w:type="dxa"/>
            <w:vAlign w:val="bottom"/>
            <w:gridSpan w:val="3"/>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Certification of Principal Financial Officer Pursuant to Section 906 of the Sarbanes-Oxley Act of 2002</w:t>
              </w:r>
            </w:hyperlink>
          </w:p>
        </w:tc>
      </w:tr>
      <w:tr>
        <w:trPr>
          <w:trHeight w:val="20"/>
        </w:trPr>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38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*†101.INS</w:t>
            </w:r>
          </w:p>
        </w:tc>
        <w:tc>
          <w:tcPr>
            <w:tcW w:w="9560" w:type="dxa"/>
            <w:vAlign w:val="bottom"/>
            <w:gridSpan w:val="3"/>
          </w:tcPr>
          <w:p>
            <w:pPr>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within the Inline XBRL document.</w:t>
            </w:r>
          </w:p>
        </w:tc>
      </w:tr>
      <w:tr>
        <w:trPr>
          <w:trHeight w:val="337"/>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*†101.SCH</w:t>
            </w: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6"/>
              </w:rPr>
              <w:t>*†101.CAL</w:t>
            </w: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*†101.DEF</w:t>
            </w:r>
          </w:p>
        </w:tc>
        <w:tc>
          <w:tcPr>
            <w:tcW w:w="9560" w:type="dxa"/>
            <w:vAlign w:val="bottom"/>
            <w:gridSpan w:val="3"/>
          </w:tcPr>
          <w:p>
            <w:pPr>
              <w:spacing w:after="0"/>
              <w:rPr>
                <w:sz w:val="20"/>
                <w:szCs w:val="20"/>
                <w:color w:val="auto"/>
              </w:rPr>
            </w:pPr>
            <w:r>
              <w:rPr>
                <w:rFonts w:ascii="Arial" w:cs="Arial" w:eastAsia="Arial" w:hAnsi="Arial"/>
                <w:sz w:val="18"/>
                <w:szCs w:val="18"/>
                <w:color w:val="auto"/>
              </w:rPr>
              <w:t>XBRL Definition Linkbase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*†101.LAB</w:t>
            </w: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*†101.PRE</w:t>
            </w: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7" w:lineRule="exact"/>
        <w:rPr>
          <w:sz w:val="20"/>
          <w:szCs w:val="20"/>
          <w:color w:val="auto"/>
        </w:rPr>
      </w:pPr>
    </w:p>
    <w:p>
      <w:pPr>
        <w:ind w:left="700" w:hanging="63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00" w:hanging="634"/>
        <w:spacing w:after="0"/>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345" w:lineRule="exact"/>
        <w:rPr>
          <w:rFonts w:ascii="Arial" w:cs="Arial" w:eastAsia="Arial" w:hAnsi="Arial"/>
          <w:sz w:val="18"/>
          <w:szCs w:val="18"/>
          <w:color w:val="auto"/>
        </w:rPr>
      </w:pPr>
    </w:p>
    <w:p>
      <w:pPr>
        <w:jc w:val="right"/>
        <w:ind w:left="500" w:hanging="492"/>
        <w:spacing w:after="0" w:line="287" w:lineRule="auto"/>
        <w:tabs>
          <w:tab w:leader="none" w:pos="1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financial information of Integra LifeSciences Holdings Corporation Quarterly Report on Form 10-Q for the quarter ended March 31, 2021 filed on April 29, 2021 formatted in XBRL (Extensible Business Reporting Language): (i) the Condensed Consolidated Statements of Operations and Comprehensive Income, (ii) the Condensed Consolidated Balance Sheets, (iii) Parenthetical Data to the Condensed Consolidated Balance Sheets,</w:t>
      </w:r>
    </w:p>
    <w:p>
      <w:pPr>
        <w:spacing w:after="0" w:line="2" w:lineRule="exact"/>
        <w:rPr>
          <w:rFonts w:ascii="Arial" w:cs="Arial" w:eastAsia="Arial" w:hAnsi="Arial"/>
          <w:sz w:val="16"/>
          <w:szCs w:val="16"/>
          <w:color w:val="auto"/>
        </w:rPr>
      </w:pPr>
    </w:p>
    <w:p>
      <w:pPr>
        <w:ind w:left="500" w:hanging="6"/>
        <w:spacing w:after="0" w:line="260" w:lineRule="auto"/>
        <w:tabs>
          <w:tab w:leader="none" w:pos="85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7"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7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ind w:left="240"/>
              <w:spacing w:after="0"/>
              <w:rPr>
                <w:sz w:val="20"/>
                <w:szCs w:val="20"/>
                <w:color w:val="auto"/>
              </w:rPr>
            </w:pPr>
            <w:r>
              <w:rPr>
                <w:rFonts w:ascii="Arial" w:cs="Arial" w:eastAsia="Arial" w:hAnsi="Arial"/>
                <w:sz w:val="18"/>
                <w:szCs w:val="18"/>
                <w:color w:val="auto"/>
              </w:rPr>
              <w:t>April 29, 2021</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J. Arduini</w:t>
            </w:r>
          </w:p>
        </w:tc>
      </w:tr>
      <w:tr>
        <w:trPr>
          <w:trHeight w:val="222"/>
        </w:trPr>
        <w:tc>
          <w:tcPr>
            <w:tcW w:w="6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30"/>
        </w:trPr>
        <w:tc>
          <w:tcPr>
            <w:tcW w:w="6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Carrie L. Anderson, certify that:</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7"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7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7"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220"/>
              <w:spacing w:after="0"/>
              <w:rPr>
                <w:sz w:val="20"/>
                <w:szCs w:val="20"/>
                <w:color w:val="auto"/>
              </w:rPr>
            </w:pPr>
            <w:r>
              <w:rPr>
                <w:rFonts w:ascii="Arial" w:cs="Arial" w:eastAsia="Arial" w:hAnsi="Arial"/>
                <w:sz w:val="18"/>
                <w:szCs w:val="18"/>
                <w:color w:val="auto"/>
              </w:rPr>
              <w:t>April 29, 2021</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Carrie L. Anderson</w:t>
            </w:r>
          </w:p>
        </w:tc>
      </w:tr>
      <w:tr>
        <w:trPr>
          <w:trHeight w:val="222"/>
        </w:trPr>
        <w:tc>
          <w:tcPr>
            <w:tcW w:w="6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Carrie L. Anderson</w:t>
            </w:r>
          </w:p>
        </w:tc>
      </w:tr>
      <w:tr>
        <w:trPr>
          <w:trHeight w:val="176"/>
        </w:trPr>
        <w:tc>
          <w:tcPr>
            <w:tcW w:w="6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Executive Vice President, Chief Financial Officer, and</w:t>
            </w:r>
          </w:p>
        </w:tc>
      </w:tr>
      <w:tr>
        <w:trPr>
          <w:trHeight w:val="230"/>
        </w:trPr>
        <w:tc>
          <w:tcPr>
            <w:tcW w:w="6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Treasurer</w:t>
            </w:r>
          </w:p>
        </w:tc>
      </w:tr>
    </w:tbl>
    <w:p>
      <w:pPr>
        <w:sectPr>
          <w:pgSz w:w="11900" w:h="16838" w:orient="portrait"/>
          <w:cols w:equalWidth="0" w:num="1">
            <w:col w:w="11240"/>
          </w:cols>
          <w:pgMar w:left="320" w:top="891" w:right="339" w:bottom="1440" w:gutter="0" w:footer="0" w:header="0"/>
        </w:sectPr>
      </w:pPr>
    </w:p>
    <w:bookmarkStart w:id="49" w:name="page50"/>
    <w:bookmarkEnd w:id="49"/>
    <w:p>
      <w:pPr>
        <w:ind w:left="10320"/>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2021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ind w:left="140"/>
              <w:spacing w:after="0"/>
              <w:rPr>
                <w:sz w:val="20"/>
                <w:szCs w:val="20"/>
                <w:color w:val="auto"/>
              </w:rPr>
            </w:pPr>
            <w:r>
              <w:rPr>
                <w:rFonts w:ascii="Arial" w:cs="Arial" w:eastAsia="Arial" w:hAnsi="Arial"/>
                <w:sz w:val="18"/>
                <w:szCs w:val="18"/>
                <w:color w:val="auto"/>
              </w:rPr>
              <w:t>April 29, 2021</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J. Arduini</w:t>
            </w:r>
          </w:p>
        </w:tc>
      </w:tr>
      <w:tr>
        <w:trPr>
          <w:trHeight w:val="222"/>
        </w:trPr>
        <w:tc>
          <w:tcPr>
            <w:tcW w:w="5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30"/>
        </w:trPr>
        <w:tc>
          <w:tcPr>
            <w:tcW w:w="5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50" w:name="page51"/>
    <w:bookmarkEnd w:id="50"/>
    <w:p>
      <w:pPr>
        <w:ind w:left="10320"/>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Carrie L. Anderson,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2021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Pr>
          <w:p>
            <w:pPr>
              <w:ind w:left="140"/>
              <w:spacing w:after="0"/>
              <w:rPr>
                <w:sz w:val="20"/>
                <w:szCs w:val="20"/>
                <w:color w:val="auto"/>
              </w:rPr>
            </w:pPr>
            <w:r>
              <w:rPr>
                <w:rFonts w:ascii="Arial" w:cs="Arial" w:eastAsia="Arial" w:hAnsi="Arial"/>
                <w:sz w:val="18"/>
                <w:szCs w:val="18"/>
                <w:color w:val="auto"/>
              </w:rPr>
              <w:t>April 29, 2021</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Carrie L. Anderson</w:t>
            </w:r>
          </w:p>
        </w:tc>
      </w:tr>
      <w:tr>
        <w:trPr>
          <w:trHeight w:val="222"/>
        </w:trPr>
        <w:tc>
          <w:tcPr>
            <w:tcW w:w="5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Carrie L. Anderson</w:t>
            </w:r>
          </w:p>
        </w:tc>
      </w:tr>
      <w:tr>
        <w:trPr>
          <w:trHeight w:val="176"/>
        </w:trPr>
        <w:tc>
          <w:tcPr>
            <w:tcW w:w="5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Executive Vice President, Chief Financial Officer, and</w:t>
            </w:r>
          </w:p>
        </w:tc>
      </w:tr>
      <w:tr>
        <w:trPr>
          <w:trHeight w:val="230"/>
        </w:trPr>
        <w:tc>
          <w:tcPr>
            <w:tcW w:w="5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Treasurer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lowerRoman"/>
      <w:start w:val="1"/>
    </w:lvl>
    <w:lvl w:ilvl="1">
      <w:lvlJc w:val="left"/>
      <w:lvlText w:val="%2."/>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
      <w:numFmt w:val="bullet"/>
      <w:start w:val="1"/>
    </w:lvl>
    <w:lvl w:ilvl="2">
      <w:lvlJc w:val="left"/>
      <w:lvlText w:val="(%3)"/>
      <w:numFmt w:val="lowerRoman"/>
      <w:start w:val="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2021-04-29T16:13:40Z</dcterms:created>
  <dcterms:modified xsi:type="dcterms:W3CDTF">2021-04-29T16:13:40Z</dcterms:modified>
</cp:coreProperties>
</file>