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QUARTERLY REPORT PURSUANT TO SECTION 13 OR 15(D)</w:t>
      </w:r>
    </w:p>
    <w:p>
      <w:pPr>
        <w:jc w:val="center"/>
        <w:ind w:right="24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MARCH 31, 2004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0-26224</w:t>
      </w:r>
    </w:p>
    <w:p>
      <w:pPr>
        <w:spacing w:after="0" w:line="207" w:lineRule="exact"/>
        <w:rPr>
          <w:sz w:val="24"/>
          <w:szCs w:val="24"/>
          <w:color w:val="auto"/>
        </w:rPr>
      </w:pPr>
    </w:p>
    <w:p>
      <w:pPr>
        <w:ind w:left="1380" w:right="3800" w:firstLine="737"/>
        <w:spacing w:after="0" w:line="290" w:lineRule="auto"/>
        <w:rPr>
          <w:sz w:val="20"/>
          <w:szCs w:val="20"/>
          <w:color w:val="auto"/>
        </w:rPr>
      </w:pPr>
      <w:r>
        <w:rPr>
          <w:rFonts w:ascii="Courier New" w:cs="Courier New" w:eastAsia="Courier New" w:hAnsi="Courier New"/>
          <w:sz w:val="16"/>
          <w:szCs w:val="16"/>
          <w:color w:val="auto"/>
        </w:rPr>
        <w:t>INTEGRA LIFESCIENCES HOLDINGS CORPORATION (EXACT NAME OF REGISTRANT AS SPECIFIED IN ITS CHARTER)</w:t>
      </w:r>
    </w:p>
    <w:p>
      <w:pPr>
        <w:sectPr>
          <w:pgSz w:w="11900" w:h="16838" w:orient="portrait"/>
          <w:cols w:equalWidth="0" w:num="1">
            <w:col w:w="10860"/>
          </w:cols>
          <w:pgMar w:left="240" w:top="244" w:right="799" w:bottom="0" w:gutter="0" w:footer="0" w:header="0"/>
        </w:sectPr>
      </w:pPr>
    </w:p>
    <w:p>
      <w:pPr>
        <w:spacing w:after="0" w:line="164" w:lineRule="exact"/>
        <w:rPr>
          <w:sz w:val="24"/>
          <w:szCs w:val="24"/>
          <w:color w:val="auto"/>
        </w:rPr>
      </w:pPr>
    </w:p>
    <w:p>
      <w:pPr>
        <w:jc w:val="center"/>
        <w:ind w:left="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jc w:val="center"/>
        <w:ind w:left="4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51-0317849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580" w:space="440"/>
            <w:col w:w="6840"/>
          </w:cols>
          <w:pgMar w:left="240" w:top="244" w:right="799" w:bottom="0" w:gutter="0" w:footer="0" w:header="0"/>
          <w:type w:val="continuous"/>
        </w:sectPr>
      </w:pPr>
    </w:p>
    <w:p>
      <w:pPr>
        <w:spacing w:after="0" w:line="22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311 ENTERPRISE DRIVE</w:t>
      </w:r>
    </w:p>
    <w:p>
      <w:pPr>
        <w:ind w:left="2120"/>
        <w:spacing w:after="0" w:line="238" w:lineRule="auto"/>
        <w:rPr>
          <w:sz w:val="20"/>
          <w:szCs w:val="20"/>
          <w:color w:val="auto"/>
        </w:rPr>
      </w:pPr>
      <w:r>
        <w:rPr>
          <w:rFonts w:ascii="Courier New" w:cs="Courier New" w:eastAsia="Courier New" w:hAnsi="Courier New"/>
          <w:sz w:val="18"/>
          <w:szCs w:val="18"/>
          <w:color w:val="auto"/>
        </w:rPr>
        <w:t>PLAINSBORO, NEW JERSEY</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08536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060" w:space="540"/>
            <w:col w:w="5260"/>
          </w:cols>
          <w:pgMar w:left="240" w:top="244" w:right="799" w:bottom="0" w:gutter="0" w:footer="0" w:header="0"/>
          <w:type w:val="continuous"/>
        </w:sectPr>
      </w:pPr>
    </w:p>
    <w:p>
      <w:pPr>
        <w:spacing w:after="0" w:line="18"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(609) 275-0500</w:t>
      </w:r>
    </w:p>
    <w:p>
      <w:pPr>
        <w:spacing w:after="0" w:line="4"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860"/>
          </w:cols>
          <w:pgMar w:left="240" w:top="244" w:right="799" w:bottom="0" w:gutter="0" w:footer="0" w:header="0"/>
          <w:type w:val="continuous"/>
        </w:sectPr>
      </w:pPr>
    </w:p>
    <w:p>
      <w:pPr>
        <w:spacing w:after="0" w:line="224" w:lineRule="exact"/>
        <w:rPr>
          <w:sz w:val="24"/>
          <w:szCs w:val="24"/>
          <w:color w:val="auto"/>
        </w:rPr>
      </w:pPr>
    </w:p>
    <w:p>
      <w:pPr>
        <w:jc w:val="center"/>
        <w:ind w:right="2320"/>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w:t>
      </w:r>
    </w:p>
    <w:p>
      <w:pPr>
        <w:jc w:val="center"/>
        <w:ind w:right="2420"/>
        <w:spacing w:after="0" w:line="233" w:lineRule="auto"/>
        <w:rPr>
          <w:sz w:val="20"/>
          <w:szCs w:val="20"/>
          <w:color w:val="auto"/>
        </w:rPr>
      </w:pPr>
      <w:r>
        <w:rPr>
          <w:rFonts w:ascii="Courier New" w:cs="Courier New" w:eastAsia="Courier New" w:hAnsi="Courier New"/>
          <w:sz w:val="18"/>
          <w:szCs w:val="18"/>
          <w:color w:val="auto"/>
        </w:rPr>
        <w:t>1934 DURING THE PRECEDING 12 MONTHS (OR FOR SUCH</w:t>
      </w:r>
    </w:p>
    <w:p>
      <w:pPr>
        <w:jc w:val="center"/>
        <w:ind w:right="2420"/>
        <w:spacing w:after="0"/>
        <w:rPr>
          <w:sz w:val="20"/>
          <w:szCs w:val="20"/>
          <w:color w:val="auto"/>
        </w:rPr>
      </w:pPr>
      <w:r>
        <w:rPr>
          <w:rFonts w:ascii="Courier New" w:cs="Courier New" w:eastAsia="Courier New" w:hAnsi="Courier New"/>
          <w:sz w:val="18"/>
          <w:szCs w:val="18"/>
          <w:color w:val="auto"/>
        </w:rPr>
        <w:t>SHORTER PERIOD THAT THE REGISTRANT WAS REQUIRED TO</w:t>
      </w:r>
    </w:p>
    <w:p>
      <w:pPr>
        <w:jc w:val="center"/>
        <w:ind w:right="2420"/>
        <w:spacing w:after="0" w:line="237" w:lineRule="auto"/>
        <w:rPr>
          <w:sz w:val="20"/>
          <w:szCs w:val="20"/>
          <w:color w:val="auto"/>
        </w:rPr>
      </w:pPr>
      <w:r>
        <w:rPr>
          <w:rFonts w:ascii="Courier New" w:cs="Courier New" w:eastAsia="Courier New" w:hAnsi="Courier New"/>
          <w:sz w:val="18"/>
          <w:szCs w:val="18"/>
          <w:color w:val="auto"/>
        </w:rPr>
        <w:t>FILE SUCH REPORTS), AND (2) HAS BEEN</w:t>
      </w:r>
    </w:p>
    <w:p>
      <w:pPr>
        <w:jc w:val="center"/>
        <w:ind w:right="2320"/>
        <w:spacing w:after="0"/>
        <w:rPr>
          <w:sz w:val="20"/>
          <w:szCs w:val="20"/>
          <w:color w:val="auto"/>
        </w:rPr>
      </w:pPr>
      <w:r>
        <w:rPr>
          <w:rFonts w:ascii="Courier New" w:cs="Courier New" w:eastAsia="Courier New" w:hAnsi="Courier New"/>
          <w:sz w:val="18"/>
          <w:szCs w:val="18"/>
          <w:color w:val="auto"/>
        </w:rPr>
        <w:t>SUBJECT TO SUCH FILING REQUIREMENTS</w:t>
      </w:r>
    </w:p>
    <w:p>
      <w:pPr>
        <w:jc w:val="center"/>
        <w:ind w:right="2320"/>
        <w:spacing w:after="0" w:line="237" w:lineRule="auto"/>
        <w:rPr>
          <w:sz w:val="20"/>
          <w:szCs w:val="20"/>
          <w:color w:val="auto"/>
        </w:rPr>
      </w:pPr>
      <w:r>
        <w:rPr>
          <w:rFonts w:ascii="Courier New" w:cs="Courier New" w:eastAsia="Courier New" w:hAnsi="Courier New"/>
          <w:sz w:val="18"/>
          <w:szCs w:val="18"/>
          <w:color w:val="auto"/>
        </w:rPr>
        <w:t>FOR THE PAST 90 DAYS.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/X/ - YES / / - NO</w:t>
      </w:r>
    </w:p>
    <w:p>
      <w:pPr>
        <w:spacing w:after="0" w:line="207" w:lineRule="exact"/>
        <w:rPr>
          <w:sz w:val="24"/>
          <w:szCs w:val="24"/>
          <w:color w:val="auto"/>
        </w:rPr>
      </w:pPr>
    </w:p>
    <w:p>
      <w:pPr>
        <w:ind w:left="3480" w:right="3480" w:hanging="3370"/>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/X/ YES / / NO</w:t>
      </w:r>
    </w:p>
    <w:p>
      <w:pPr>
        <w:spacing w:after="0" w:line="208" w:lineRule="exact"/>
        <w:rPr>
          <w:sz w:val="24"/>
          <w:szCs w:val="24"/>
          <w:color w:val="auto"/>
        </w:rPr>
      </w:pPr>
    </w:p>
    <w:p>
      <w:pPr>
        <w:ind w:left="120" w:right="3480"/>
        <w:spacing w:after="0" w:line="235" w:lineRule="auto"/>
        <w:rPr>
          <w:sz w:val="20"/>
          <w:szCs w:val="20"/>
          <w:color w:val="auto"/>
        </w:rPr>
      </w:pPr>
      <w:r>
        <w:rPr>
          <w:rFonts w:ascii="Courier New" w:cs="Courier New" w:eastAsia="Courier New" w:hAnsi="Courier New"/>
          <w:sz w:val="18"/>
          <w:szCs w:val="18"/>
          <w:color w:val="auto"/>
        </w:rPr>
        <w:t>AS OF MAY 4, 2004 THE REGISTRANT HAD OUTSTANDING 28,560,804 SHARES OF COMMON STOCK, $.01 PAR VALUE.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4"/>
          <w:szCs w:val="24"/>
          <w:color w:val="auto"/>
        </w:rPr>
      </w:pPr>
    </w:p>
    <w:p>
      <w:pPr>
        <w:ind w:left="9380"/>
        <w:spacing w:after="0"/>
        <w:rPr>
          <w:sz w:val="20"/>
          <w:szCs w:val="20"/>
          <w:color w:val="auto"/>
        </w:rPr>
      </w:pPr>
      <w:r>
        <w:rPr>
          <w:rFonts w:ascii="Courier New" w:cs="Courier New" w:eastAsia="Courier New" w:hAnsi="Courier New"/>
          <w:sz w:val="18"/>
          <w:szCs w:val="18"/>
          <w:color w:val="auto"/>
        </w:rPr>
        <w:t>Page Number</w:t>
      </w:r>
    </w:p>
    <w:p>
      <w:pPr>
        <w:spacing w:after="0" w:line="4" w:lineRule="exact"/>
        <w:rPr>
          <w:sz w:val="24"/>
          <w:szCs w:val="24"/>
          <w:color w:val="auto"/>
        </w:rPr>
      </w:pPr>
    </w:p>
    <w:p>
      <w:pPr>
        <w:ind w:left="9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9600"/>
        <w:spacing w:after="0"/>
        <w:rPr>
          <w:sz w:val="20"/>
          <w:szCs w:val="20"/>
          <w:color w:val="auto"/>
        </w:rPr>
      </w:pPr>
      <w:r>
        <w:rPr>
          <w:rFonts w:ascii="Courier New" w:cs="Courier New" w:eastAsia="Courier New" w:hAnsi="Courier New"/>
          <w:sz w:val="18"/>
          <w:szCs w:val="18"/>
          <w:color w:val="auto"/>
        </w:rPr>
        <w:t>PART I.</w:t>
      </w:r>
    </w:p>
    <w:p>
      <w:pPr>
        <w:jc w:val="center"/>
        <w:ind w:right="9600"/>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9600"/>
        <w:spacing w:after="0"/>
        <w:rPr>
          <w:sz w:val="20"/>
          <w:szCs w:val="20"/>
          <w:color w:val="auto"/>
        </w:rPr>
      </w:pPr>
      <w:r>
        <w:rPr>
          <w:rFonts w:ascii="Courier New" w:cs="Courier New" w:eastAsia="Courier New" w:hAnsi="Courier New"/>
          <w:sz w:val="18"/>
          <w:szCs w:val="18"/>
          <w:color w:val="auto"/>
        </w:rPr>
        <w:t>INFORMATION</w:t>
      </w:r>
    </w:p>
    <w:p>
      <w:pPr>
        <w:jc w:val="center"/>
        <w:ind w:right="9600"/>
        <w:spacing w:after="0" w:line="237" w:lineRule="auto"/>
        <w:rPr>
          <w:sz w:val="20"/>
          <w:szCs w:val="20"/>
          <w:color w:val="auto"/>
        </w:rPr>
      </w:pPr>
      <w:r>
        <w:rPr>
          <w:rFonts w:ascii="Courier New" w:cs="Courier New" w:eastAsia="Courier New" w:hAnsi="Courier New"/>
          <w:sz w:val="18"/>
          <w:szCs w:val="18"/>
          <w:color w:val="auto"/>
        </w:rPr>
        <w:t>Item 1.</w:t>
      </w:r>
    </w:p>
    <w:p>
      <w:pPr>
        <w:jc w:val="center"/>
        <w:ind w:right="9600"/>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9600"/>
        <w:spacing w:after="0"/>
        <w:rPr>
          <w:sz w:val="20"/>
          <w:szCs w:val="20"/>
          <w:color w:val="auto"/>
        </w:rPr>
      </w:pPr>
      <w:r>
        <w:rPr>
          <w:rFonts w:ascii="Courier New" w:cs="Courier New" w:eastAsia="Courier New" w:hAnsi="Courier New"/>
          <w:sz w:val="18"/>
          <w:szCs w:val="18"/>
          <w:color w:val="auto"/>
        </w:rPr>
        <w:t>Statements</w:t>
      </w:r>
    </w:p>
    <w:p>
      <w:pPr>
        <w:spacing w:after="0" w:line="4" w:lineRule="exact"/>
        <w:rPr>
          <w:sz w:val="24"/>
          <w:szCs w:val="24"/>
          <w:color w:val="auto"/>
        </w:rPr>
      </w:pPr>
    </w:p>
    <w:p>
      <w:pPr>
        <w:jc w:val="center"/>
        <w:ind w:right="9580"/>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4"/>
          <w:szCs w:val="24"/>
          <w:color w:val="auto"/>
        </w:rPr>
      </w:pPr>
    </w:p>
    <w:p>
      <w:pPr>
        <w:jc w:val="center"/>
        <w:ind w:right="9600"/>
        <w:spacing w:after="0"/>
        <w:rPr>
          <w:sz w:val="20"/>
          <w:szCs w:val="20"/>
          <w:color w:val="auto"/>
        </w:rPr>
      </w:pPr>
      <w:r>
        <w:rPr>
          <w:rFonts w:ascii="Courier New" w:cs="Courier New" w:eastAsia="Courier New" w:hAnsi="Courier New"/>
          <w:sz w:val="18"/>
          <w:szCs w:val="18"/>
          <w:color w:val="auto"/>
          <w:strike w:val="1"/>
        </w:rPr>
        <w:t>Statements</w:t>
      </w:r>
    </w:p>
    <w:p>
      <w:pPr>
        <w:jc w:val="center"/>
        <w:ind w:right="9600"/>
        <w:spacing w:after="0" w:line="238" w:lineRule="auto"/>
        <w:rPr>
          <w:sz w:val="20"/>
          <w:szCs w:val="20"/>
          <w:color w:val="auto"/>
        </w:rPr>
      </w:pPr>
      <w:r>
        <w:rPr>
          <w:rFonts w:ascii="Courier New" w:cs="Courier New" w:eastAsia="Courier New" w:hAnsi="Courier New"/>
          <w:sz w:val="18"/>
          <w:szCs w:val="18"/>
          <w:color w:val="auto"/>
          <w:strike w:val="1"/>
        </w:rPr>
        <w:t>of</w:t>
      </w:r>
    </w:p>
    <w:p>
      <w:pPr>
        <w:jc w:val="center"/>
        <w:ind w:right="9600"/>
        <w:spacing w:after="0"/>
        <w:rPr>
          <w:sz w:val="20"/>
          <w:szCs w:val="20"/>
          <w:color w:val="auto"/>
        </w:rPr>
      </w:pPr>
      <w:r>
        <w:rPr>
          <w:rFonts w:ascii="Courier New" w:cs="Courier New" w:eastAsia="Courier New" w:hAnsi="Courier New"/>
          <w:sz w:val="18"/>
          <w:szCs w:val="18"/>
          <w:color w:val="auto"/>
          <w:strike w:val="1"/>
        </w:rPr>
        <w:t>Operations</w:t>
      </w:r>
    </w:p>
    <w:p>
      <w:pPr>
        <w:jc w:val="center"/>
        <w:ind w:right="9600"/>
        <w:spacing w:after="0" w:line="237" w:lineRule="auto"/>
        <w:rPr>
          <w:sz w:val="20"/>
          <w:szCs w:val="20"/>
          <w:color w:val="auto"/>
        </w:rPr>
      </w:pPr>
      <w:r>
        <w:rPr>
          <w:rFonts w:ascii="Courier New" w:cs="Courier New" w:eastAsia="Courier New" w:hAnsi="Courier New"/>
          <w:sz w:val="18"/>
          <w:szCs w:val="18"/>
          <w:color w:val="auto"/>
          <w:strike w:val="1"/>
        </w:rPr>
        <w:t>for the</w:t>
      </w:r>
    </w:p>
    <w:p>
      <w:pPr>
        <w:jc w:val="center"/>
        <w:ind w:right="9600"/>
        <w:spacing w:after="0" w:line="238" w:lineRule="auto"/>
        <w:rPr>
          <w:sz w:val="20"/>
          <w:szCs w:val="20"/>
          <w:color w:val="auto"/>
        </w:rPr>
      </w:pPr>
      <w:r>
        <w:rPr>
          <w:rFonts w:ascii="Courier New" w:cs="Courier New" w:eastAsia="Courier New" w:hAnsi="Courier New"/>
          <w:sz w:val="18"/>
          <w:szCs w:val="18"/>
          <w:color w:val="auto"/>
          <w:strike w:val="1"/>
        </w:rPr>
        <w:t>three</w:t>
      </w:r>
    </w:p>
    <w:p>
      <w:pPr>
        <w:jc w:val="center"/>
        <w:ind w:right="9600"/>
        <w:spacing w:after="0"/>
        <w:rPr>
          <w:sz w:val="20"/>
          <w:szCs w:val="20"/>
          <w:color w:val="auto"/>
        </w:rPr>
      </w:pPr>
      <w:r>
        <w:rPr>
          <w:rFonts w:ascii="Courier New" w:cs="Courier New" w:eastAsia="Courier New" w:hAnsi="Courier New"/>
          <w:sz w:val="18"/>
          <w:szCs w:val="18"/>
          <w:color w:val="auto"/>
          <w:strike w:val="1"/>
        </w:rPr>
        <w:t>months</w:t>
      </w:r>
    </w:p>
    <w:p>
      <w:pPr>
        <w:jc w:val="center"/>
        <w:ind w:right="9600"/>
        <w:spacing w:after="0" w:line="237" w:lineRule="auto"/>
        <w:rPr>
          <w:sz w:val="20"/>
          <w:szCs w:val="20"/>
          <w:color w:val="auto"/>
        </w:rPr>
      </w:pPr>
      <w:r>
        <w:rPr>
          <w:rFonts w:ascii="Courier New" w:cs="Courier New" w:eastAsia="Courier New" w:hAnsi="Courier New"/>
          <w:sz w:val="18"/>
          <w:szCs w:val="18"/>
          <w:color w:val="auto"/>
          <w:strike w:val="1"/>
        </w:rPr>
        <w:t>ended March</w:t>
      </w:r>
    </w:p>
    <w:p>
      <w:pPr>
        <w:jc w:val="center"/>
        <w:ind w:right="9600"/>
        <w:spacing w:after="0"/>
        <w:rPr>
          <w:sz w:val="20"/>
          <w:szCs w:val="20"/>
          <w:color w:val="auto"/>
        </w:rPr>
      </w:pPr>
      <w:r>
        <w:rPr>
          <w:rFonts w:ascii="Courier New" w:cs="Courier New" w:eastAsia="Courier New" w:hAnsi="Courier New"/>
          <w:sz w:val="18"/>
          <w:szCs w:val="18"/>
          <w:color w:val="auto"/>
          <w:strike w:val="1"/>
        </w:rPr>
        <w:t>31, 2004</w:t>
      </w:r>
    </w:p>
    <w:p>
      <w:pPr>
        <w:jc w:val="center"/>
        <w:ind w:right="9600"/>
        <w:spacing w:after="0" w:line="237" w:lineRule="auto"/>
        <w:rPr>
          <w:sz w:val="20"/>
          <w:szCs w:val="20"/>
          <w:color w:val="auto"/>
        </w:rPr>
      </w:pPr>
      <w:r>
        <w:rPr>
          <w:rFonts w:ascii="Courier New" w:cs="Courier New" w:eastAsia="Courier New" w:hAnsi="Courier New"/>
          <w:sz w:val="18"/>
          <w:szCs w:val="18"/>
          <w:color w:val="auto"/>
          <w:strike w:val="1"/>
        </w:rPr>
        <w:t>and 2003</w:t>
      </w:r>
    </w:p>
    <w:p>
      <w:pPr>
        <w:jc w:val="center"/>
        <w:ind w:right="9600"/>
        <w:spacing w:after="0"/>
        <w:rPr>
          <w:sz w:val="20"/>
          <w:szCs w:val="20"/>
          <w:color w:val="auto"/>
        </w:rPr>
      </w:pPr>
      <w:r>
        <w:rPr>
          <w:rFonts w:ascii="Courier New" w:cs="Courier New" w:eastAsia="Courier New" w:hAnsi="Courier New"/>
          <w:sz w:val="18"/>
          <w:szCs w:val="18"/>
          <w:color w:val="auto"/>
          <w:strike w:val="1"/>
        </w:rPr>
        <w:t>(Unaudited)</w:t>
      </w:r>
    </w:p>
    <w:p>
      <w:pPr>
        <w:jc w:val="center"/>
        <w:ind w:right="9600"/>
        <w:spacing w:after="0" w:line="237" w:lineRule="auto"/>
        <w:rPr>
          <w:sz w:val="20"/>
          <w:szCs w:val="20"/>
          <w:color w:val="auto"/>
        </w:rPr>
      </w:pPr>
      <w:r>
        <w:rPr>
          <w:rFonts w:ascii="Courier New" w:cs="Courier New" w:eastAsia="Courier New" w:hAnsi="Courier New"/>
          <w:sz w:val="18"/>
          <w:szCs w:val="18"/>
          <w:color w:val="auto"/>
          <w:strike w:val="1"/>
        </w:rPr>
        <w:t>3</w:t>
      </w:r>
    </w:p>
    <w:p>
      <w:pPr>
        <w:spacing w:after="0" w:line="5" w:lineRule="exact"/>
        <w:rPr>
          <w:sz w:val="24"/>
          <w:szCs w:val="24"/>
          <w:color w:val="auto"/>
        </w:rPr>
      </w:pPr>
    </w:p>
    <w:p>
      <w:pPr>
        <w:jc w:val="center"/>
        <w:ind w:right="9580"/>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4"/>
          <w:szCs w:val="24"/>
          <w:color w:val="auto"/>
        </w:rPr>
      </w:pPr>
    </w:p>
    <w:p>
      <w:pPr>
        <w:jc w:val="center"/>
        <w:ind w:right="9600"/>
        <w:spacing w:after="0"/>
        <w:rPr>
          <w:sz w:val="20"/>
          <w:szCs w:val="20"/>
          <w:color w:val="auto"/>
        </w:rPr>
      </w:pPr>
      <w:r>
        <w:rPr>
          <w:rFonts w:ascii="Courier New" w:cs="Courier New" w:eastAsia="Courier New" w:hAnsi="Courier New"/>
          <w:sz w:val="18"/>
          <w:szCs w:val="18"/>
          <w:color w:val="auto"/>
          <w:strike w:val="1"/>
        </w:rPr>
        <w:t>Balance</w:t>
      </w:r>
    </w:p>
    <w:p>
      <w:pPr>
        <w:jc w:val="center"/>
        <w:ind w:right="9600"/>
        <w:spacing w:after="0" w:line="238" w:lineRule="auto"/>
        <w:rPr>
          <w:sz w:val="20"/>
          <w:szCs w:val="20"/>
          <w:color w:val="auto"/>
        </w:rPr>
      </w:pPr>
      <w:r>
        <w:rPr>
          <w:rFonts w:ascii="Courier New" w:cs="Courier New" w:eastAsia="Courier New" w:hAnsi="Courier New"/>
          <w:sz w:val="18"/>
          <w:szCs w:val="18"/>
          <w:color w:val="auto"/>
          <w:strike w:val="1"/>
        </w:rPr>
        <w:t>Sheets as</w:t>
      </w:r>
    </w:p>
    <w:p>
      <w:pPr>
        <w:sectPr>
          <w:pgSz w:w="11900" w:h="16838" w:orient="portrait"/>
          <w:cols w:equalWidth="0" w:num="1">
            <w:col w:w="10860"/>
          </w:cols>
          <w:pgMar w:left="240" w:top="244" w:right="799" w:bottom="0" w:gutter="0" w:footer="0" w:header="0"/>
          <w:type w:val="continuous"/>
        </w:sectPr>
      </w:pPr>
    </w:p>
    <w:bookmarkStart w:id="1" w:name="page2"/>
    <w:bookmarkEnd w:id="1"/>
    <w:p>
      <w:pPr>
        <w:jc w:val="center"/>
        <w:ind w:right="8959"/>
        <w:spacing w:after="0"/>
        <w:rPr>
          <w:sz w:val="20"/>
          <w:szCs w:val="20"/>
          <w:color w:val="auto"/>
        </w:rPr>
      </w:pPr>
      <w:r>
        <w:rPr>
          <w:rFonts w:ascii="Courier New" w:cs="Courier New" w:eastAsia="Courier New" w:hAnsi="Courier New"/>
          <w:sz w:val="18"/>
          <w:szCs w:val="18"/>
          <w:color w:val="auto"/>
          <w:strike w:val="1"/>
        </w:rPr>
        <w:t>of March</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31, 2004</w:t>
      </w:r>
    </w:p>
    <w:p>
      <w:pPr>
        <w:jc w:val="center"/>
        <w:ind w:right="8959"/>
        <w:spacing w:after="0"/>
        <w:rPr>
          <w:sz w:val="20"/>
          <w:szCs w:val="20"/>
          <w:color w:val="auto"/>
        </w:rPr>
      </w:pPr>
      <w:r>
        <w:rPr>
          <w:rFonts w:ascii="Courier New" w:cs="Courier New" w:eastAsia="Courier New" w:hAnsi="Courier New"/>
          <w:sz w:val="18"/>
          <w:szCs w:val="18"/>
          <w:color w:val="auto"/>
          <w:strike w:val="1"/>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December</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31, 2003</w:t>
      </w:r>
    </w:p>
    <w:p>
      <w:pPr>
        <w:jc w:val="center"/>
        <w:ind w:right="8959"/>
        <w:spacing w:after="0"/>
        <w:rPr>
          <w:sz w:val="20"/>
          <w:szCs w:val="20"/>
          <w:color w:val="auto"/>
        </w:rPr>
      </w:pPr>
      <w:r>
        <w:rPr>
          <w:rFonts w:ascii="Courier New" w:cs="Courier New" w:eastAsia="Courier New" w:hAnsi="Courier New"/>
          <w:sz w:val="18"/>
          <w:szCs w:val="18"/>
          <w:color w:val="auto"/>
          <w:strike w:val="1"/>
        </w:rPr>
        <w:t>(Unaudited)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4</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of Cash</w:t>
      </w:r>
    </w:p>
    <w:p>
      <w:pPr>
        <w:jc w:val="center"/>
        <w:ind w:right="8959"/>
        <w:spacing w:after="0"/>
        <w:rPr>
          <w:sz w:val="20"/>
          <w:szCs w:val="20"/>
          <w:color w:val="auto"/>
        </w:rPr>
      </w:pPr>
      <w:r>
        <w:rPr>
          <w:rFonts w:ascii="Courier New" w:cs="Courier New" w:eastAsia="Courier New" w:hAnsi="Courier New"/>
          <w:sz w:val="18"/>
          <w:szCs w:val="18"/>
          <w:color w:val="auto"/>
          <w:strike w:val="1"/>
        </w:rPr>
        <w:t>Flows for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the three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months</w:t>
      </w:r>
    </w:p>
    <w:p>
      <w:pPr>
        <w:jc w:val="center"/>
        <w:ind w:right="8959"/>
        <w:spacing w:after="0"/>
        <w:rPr>
          <w:sz w:val="20"/>
          <w:szCs w:val="20"/>
          <w:color w:val="auto"/>
        </w:rPr>
      </w:pPr>
      <w:r>
        <w:rPr>
          <w:rFonts w:ascii="Courier New" w:cs="Courier New" w:eastAsia="Courier New" w:hAnsi="Courier New"/>
          <w:sz w:val="18"/>
          <w:szCs w:val="18"/>
          <w:color w:val="auto"/>
          <w:strike w:val="1"/>
        </w:rPr>
        <w:t>ended March</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31, 2004</w:t>
      </w:r>
    </w:p>
    <w:p>
      <w:pPr>
        <w:jc w:val="center"/>
        <w:ind w:right="8959"/>
        <w:spacing w:after="0"/>
        <w:rPr>
          <w:sz w:val="20"/>
          <w:szCs w:val="20"/>
          <w:color w:val="auto"/>
        </w:rPr>
      </w:pPr>
      <w:r>
        <w:rPr>
          <w:rFonts w:ascii="Courier New" w:cs="Courier New" w:eastAsia="Courier New" w:hAnsi="Courier New"/>
          <w:sz w:val="18"/>
          <w:szCs w:val="18"/>
          <w:color w:val="auto"/>
          <w:strike w:val="1"/>
        </w:rPr>
        <w:t>and 2003</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(Unaudited)</w:t>
      </w:r>
    </w:p>
    <w:p>
      <w:pPr>
        <w:jc w:val="center"/>
        <w:ind w:right="8959"/>
        <w:spacing w:after="0"/>
        <w:rPr>
          <w:sz w:val="20"/>
          <w:szCs w:val="20"/>
          <w:color w:val="auto"/>
        </w:rPr>
      </w:pPr>
      <w:r>
        <w:rPr>
          <w:rFonts w:ascii="Courier New" w:cs="Courier New" w:eastAsia="Courier New" w:hAnsi="Courier New"/>
          <w:sz w:val="18"/>
          <w:szCs w:val="18"/>
          <w:color w:val="auto"/>
          <w:strike w:val="1"/>
        </w:rPr>
        <w:t>5 Notes to</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Unaudited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Statements</w:t>
      </w:r>
    </w:p>
    <w:p>
      <w:pPr>
        <w:jc w:val="center"/>
        <w:ind w:right="8959"/>
        <w:spacing w:after="0"/>
        <w:rPr>
          <w:sz w:val="20"/>
          <w:szCs w:val="20"/>
          <w:color w:val="auto"/>
        </w:rPr>
      </w:pPr>
      <w:r>
        <w:rPr>
          <w:rFonts w:ascii="Courier New" w:cs="Courier New" w:eastAsia="Courier New" w:hAnsi="Courier New"/>
          <w:sz w:val="18"/>
          <w:szCs w:val="18"/>
          <w:color w:val="auto"/>
          <w:strike w:val="1"/>
        </w:rPr>
        <w:t>6 Item 2.</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Management's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Discussion</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and</w:t>
      </w:r>
    </w:p>
    <w:p>
      <w:pPr>
        <w:jc w:val="center"/>
        <w:ind w:right="8959"/>
        <w:spacing w:after="0"/>
        <w:rPr>
          <w:sz w:val="20"/>
          <w:szCs w:val="20"/>
          <w:color w:val="auto"/>
        </w:rPr>
      </w:pPr>
      <w:r>
        <w:rPr>
          <w:rFonts w:ascii="Courier New" w:cs="Courier New" w:eastAsia="Courier New" w:hAnsi="Courier New"/>
          <w:sz w:val="18"/>
          <w:szCs w:val="18"/>
          <w:color w:val="auto"/>
          <w:strike w:val="1"/>
        </w:rPr>
        <w:t>Analysis of</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Condition</w:t>
      </w:r>
    </w:p>
    <w:p>
      <w:pPr>
        <w:jc w:val="center"/>
        <w:ind w:right="8959"/>
        <w:spacing w:after="0"/>
        <w:rPr>
          <w:sz w:val="20"/>
          <w:szCs w:val="20"/>
          <w:color w:val="auto"/>
        </w:rPr>
      </w:pPr>
      <w:r>
        <w:rPr>
          <w:rFonts w:ascii="Courier New" w:cs="Courier New" w:eastAsia="Courier New" w:hAnsi="Courier New"/>
          <w:sz w:val="18"/>
          <w:szCs w:val="18"/>
          <w:color w:val="auto"/>
          <w:strike w:val="1"/>
        </w:rPr>
        <w:t>and Results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of</w:t>
      </w:r>
    </w:p>
    <w:p>
      <w:pPr>
        <w:jc w:val="center"/>
        <w:ind w:right="8959"/>
        <w:spacing w:after="0"/>
        <w:rPr>
          <w:sz w:val="20"/>
          <w:szCs w:val="20"/>
          <w:color w:val="auto"/>
        </w:rPr>
      </w:pPr>
      <w:r>
        <w:rPr>
          <w:rFonts w:ascii="Courier New" w:cs="Courier New" w:eastAsia="Courier New" w:hAnsi="Courier New"/>
          <w:sz w:val="18"/>
          <w:szCs w:val="18"/>
          <w:color w:val="auto"/>
          <w:strike w:val="1"/>
        </w:rPr>
        <w:t>Operations</w:t>
      </w:r>
    </w:p>
    <w:p>
      <w:pPr>
        <w:spacing w:after="0" w:line="4" w:lineRule="exact"/>
        <w:rPr>
          <w:sz w:val="20"/>
          <w:szCs w:val="20"/>
          <w:color w:val="auto"/>
        </w:rPr>
      </w:pPr>
    </w:p>
    <w:p>
      <w:pPr>
        <w:ind w:left="220" w:right="9059" w:hanging="111"/>
        <w:spacing w:after="0" w:line="268" w:lineRule="auto"/>
        <w:tabs>
          <w:tab w:leader="none" w:pos="431" w:val="left"/>
        </w:tabs>
        <w:numPr>
          <w:ilvl w:val="0"/>
          <w:numId w:val="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Factors that may</w:t>
      </w:r>
    </w:p>
    <w:p>
      <w:pPr>
        <w:jc w:val="center"/>
        <w:ind w:right="8959"/>
        <w:spacing w:after="0" w:line="233" w:lineRule="auto"/>
        <w:rPr>
          <w:sz w:val="20"/>
          <w:szCs w:val="20"/>
          <w:color w:val="auto"/>
        </w:rPr>
      </w:pPr>
      <w:r>
        <w:rPr>
          <w:rFonts w:ascii="Courier New" w:cs="Courier New" w:eastAsia="Courier New" w:hAnsi="Courier New"/>
          <w:sz w:val="18"/>
          <w:szCs w:val="18"/>
          <w:color w:val="auto"/>
          <w:strike w:val="1"/>
        </w:rPr>
        <w:t>affect our</w:t>
      </w:r>
    </w:p>
    <w:p>
      <w:pPr>
        <w:jc w:val="center"/>
        <w:ind w:right="8959"/>
        <w:spacing w:after="0"/>
        <w:rPr>
          <w:sz w:val="20"/>
          <w:szCs w:val="20"/>
          <w:color w:val="auto"/>
        </w:rPr>
      </w:pPr>
      <w:r>
        <w:rPr>
          <w:rFonts w:ascii="Courier New" w:cs="Courier New" w:eastAsia="Courier New" w:hAnsi="Courier New"/>
          <w:sz w:val="18"/>
          <w:szCs w:val="18"/>
          <w:color w:val="auto"/>
          <w:strike w:val="1"/>
        </w:rPr>
        <w:t>future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performance</w:t>
      </w:r>
    </w:p>
    <w:p>
      <w:pPr>
        <w:jc w:val="center"/>
        <w:ind w:right="8959"/>
        <w:spacing w:after="0"/>
        <w:rPr>
          <w:sz w:val="20"/>
          <w:szCs w:val="20"/>
          <w:color w:val="auto"/>
        </w:rPr>
      </w:pPr>
      <w:r>
        <w:rPr>
          <w:rFonts w:ascii="Courier New" w:cs="Courier New" w:eastAsia="Courier New" w:hAnsi="Courier New"/>
          <w:sz w:val="18"/>
          <w:szCs w:val="18"/>
          <w:color w:val="auto"/>
          <w:strike w:val="1"/>
        </w:rPr>
        <w:t>21 Item 3.</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Quantitative</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Qualitative</w:t>
      </w:r>
    </w:p>
    <w:p>
      <w:pPr>
        <w:jc w:val="center"/>
        <w:ind w:right="8959"/>
        <w:spacing w:after="0"/>
        <w:rPr>
          <w:sz w:val="20"/>
          <w:szCs w:val="20"/>
          <w:color w:val="auto"/>
        </w:rPr>
      </w:pPr>
      <w:r>
        <w:rPr>
          <w:rFonts w:ascii="Courier New" w:cs="Courier New" w:eastAsia="Courier New" w:hAnsi="Courier New"/>
          <w:sz w:val="18"/>
          <w:szCs w:val="18"/>
          <w:color w:val="auto"/>
          <w:strike w:val="1"/>
        </w:rPr>
        <w:t>Disclosures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About</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Market Risk</w:t>
      </w:r>
    </w:p>
    <w:p>
      <w:pPr>
        <w:jc w:val="center"/>
        <w:ind w:right="8959"/>
        <w:spacing w:after="0"/>
        <w:rPr>
          <w:sz w:val="20"/>
          <w:szCs w:val="20"/>
          <w:color w:val="auto"/>
        </w:rPr>
      </w:pPr>
      <w:r>
        <w:rPr>
          <w:rFonts w:ascii="Courier New" w:cs="Courier New" w:eastAsia="Courier New" w:hAnsi="Courier New"/>
          <w:sz w:val="18"/>
          <w:szCs w:val="18"/>
          <w:color w:val="auto"/>
          <w:strike w:val="1"/>
        </w:rPr>
        <w:t>31 Item 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Controls &amp;</w:t>
      </w:r>
    </w:p>
    <w:p>
      <w:pPr>
        <w:jc w:val="center"/>
        <w:ind w:right="8959"/>
        <w:spacing w:after="0"/>
        <w:rPr>
          <w:sz w:val="20"/>
          <w:szCs w:val="20"/>
          <w:color w:val="auto"/>
        </w:rPr>
      </w:pPr>
      <w:r>
        <w:rPr>
          <w:rFonts w:ascii="Courier New" w:cs="Courier New" w:eastAsia="Courier New" w:hAnsi="Courier New"/>
          <w:sz w:val="18"/>
          <w:szCs w:val="18"/>
          <w:color w:val="auto"/>
          <w:strike w:val="1"/>
        </w:rPr>
        <w:t>Procedures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31 PART II.</w:t>
      </w:r>
    </w:p>
    <w:p>
      <w:pPr>
        <w:jc w:val="center"/>
        <w:ind w:right="8959"/>
        <w:spacing w:after="0"/>
        <w:rPr>
          <w:sz w:val="20"/>
          <w:szCs w:val="20"/>
          <w:color w:val="auto"/>
        </w:rPr>
      </w:pPr>
      <w:r>
        <w:rPr>
          <w:rFonts w:ascii="Courier New" w:cs="Courier New" w:eastAsia="Courier New" w:hAnsi="Courier New"/>
          <w:sz w:val="18"/>
          <w:szCs w:val="18"/>
          <w:color w:val="auto"/>
          <w:strike w:val="1"/>
        </w:rPr>
        <w:t>OTHER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INFORMATION</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Item 6.</w:t>
      </w:r>
    </w:p>
    <w:p>
      <w:pPr>
        <w:jc w:val="center"/>
        <w:ind w:right="8959"/>
        <w:spacing w:after="0"/>
        <w:rPr>
          <w:sz w:val="20"/>
          <w:szCs w:val="20"/>
          <w:color w:val="auto"/>
        </w:rPr>
      </w:pPr>
      <w:r>
        <w:rPr>
          <w:rFonts w:ascii="Courier New" w:cs="Courier New" w:eastAsia="Courier New" w:hAnsi="Courier New"/>
          <w:sz w:val="18"/>
          <w:szCs w:val="18"/>
          <w:color w:val="auto"/>
          <w:strike w:val="1"/>
        </w:rPr>
        <w:t>Exhibits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and Reports</w:t>
      </w:r>
    </w:p>
    <w:p>
      <w:pPr>
        <w:jc w:val="center"/>
        <w:ind w:right="8959"/>
        <w:spacing w:after="0"/>
        <w:rPr>
          <w:sz w:val="20"/>
          <w:szCs w:val="20"/>
          <w:color w:val="auto"/>
        </w:rPr>
      </w:pPr>
      <w:r>
        <w:rPr>
          <w:rFonts w:ascii="Courier New" w:cs="Courier New" w:eastAsia="Courier New" w:hAnsi="Courier New"/>
          <w:sz w:val="18"/>
          <w:szCs w:val="18"/>
          <w:color w:val="auto"/>
          <w:strike w:val="1"/>
        </w:rPr>
        <w:t>on Form 8-K</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32</w:t>
      </w:r>
    </w:p>
    <w:p>
      <w:pPr>
        <w:jc w:val="center"/>
        <w:ind w:right="8959"/>
        <w:spacing w:after="0"/>
        <w:rPr>
          <w:sz w:val="20"/>
          <w:szCs w:val="20"/>
          <w:color w:val="auto"/>
        </w:rPr>
      </w:pPr>
      <w:r>
        <w:rPr>
          <w:rFonts w:ascii="Courier New" w:cs="Courier New" w:eastAsia="Courier New" w:hAnsi="Courier New"/>
          <w:sz w:val="18"/>
          <w:szCs w:val="18"/>
          <w:color w:val="auto"/>
          <w:strike w:val="1"/>
        </w:rPr>
        <w:t>SIGNATURES</w:t>
      </w:r>
    </w:p>
    <w:p>
      <w:pPr>
        <w:spacing w:after="0" w:line="3" w:lineRule="exact"/>
        <w:rPr>
          <w:sz w:val="20"/>
          <w:szCs w:val="20"/>
          <w:color w:val="auto"/>
        </w:rPr>
      </w:pPr>
    </w:p>
    <w:p>
      <w:pPr>
        <w:ind w:left="540" w:right="8999" w:hanging="483"/>
        <w:spacing w:after="0" w:line="290" w:lineRule="auto"/>
        <w:tabs>
          <w:tab w:leader="none" w:pos="382" w:val="left"/>
        </w:tabs>
        <w:numPr>
          <w:ilvl w:val="0"/>
          <w:numId w:val="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Exhibits 34</w:t>
      </w:r>
    </w:p>
    <w:p>
      <w:pPr>
        <w:spacing w:after="0" w:line="37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gridSpan w:val="8"/>
          </w:tcPr>
          <w:p>
            <w:pPr>
              <w:spacing w:after="0"/>
              <w:rPr>
                <w:sz w:val="20"/>
                <w:szCs w:val="20"/>
                <w:color w:val="auto"/>
              </w:rPr>
            </w:pPr>
            <w:r>
              <w:rPr>
                <w:rFonts w:ascii="Courier New" w:cs="Courier New" w:eastAsia="Courier New" w:hAnsi="Courier New"/>
                <w:sz w:val="18"/>
                <w:szCs w:val="18"/>
                <w:color w:val="auto"/>
              </w:rPr>
              <w:t>PART I.</w:t>
            </w:r>
          </w:p>
        </w:tc>
        <w:tc>
          <w:tcPr>
            <w:tcW w:w="3420" w:type="dxa"/>
            <w:vAlign w:val="bottom"/>
            <w:gridSpan w:val="14"/>
          </w:tcPr>
          <w:p>
            <w:pPr>
              <w:spacing w:after="0"/>
              <w:rPr>
                <w:sz w:val="20"/>
                <w:szCs w:val="20"/>
                <w:color w:val="auto"/>
              </w:rPr>
            </w:pPr>
            <w:r>
              <w:rPr>
                <w:rFonts w:ascii="Courier New" w:cs="Courier New" w:eastAsia="Courier New" w:hAnsi="Courier New"/>
                <w:sz w:val="18"/>
                <w:szCs w:val="18"/>
                <w:color w:val="auto"/>
              </w:rPr>
              <w:t>FINANCIAL INFORMATION</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60" w:type="dxa"/>
            <w:vAlign w:val="bottom"/>
            <w:gridSpan w:val="8"/>
          </w:tcPr>
          <w:p>
            <w:pPr>
              <w:spacing w:after="0"/>
              <w:rPr>
                <w:sz w:val="20"/>
                <w:szCs w:val="20"/>
                <w:color w:val="auto"/>
              </w:rPr>
            </w:pPr>
            <w:r>
              <w:rPr>
                <w:rFonts w:ascii="Courier New" w:cs="Courier New" w:eastAsia="Courier New" w:hAnsi="Courier New"/>
                <w:sz w:val="18"/>
                <w:szCs w:val="18"/>
                <w:color w:val="auto"/>
              </w:rPr>
              <w:t>Item 1.</w:t>
            </w:r>
          </w:p>
        </w:tc>
        <w:tc>
          <w:tcPr>
            <w:tcW w:w="3420" w:type="dxa"/>
            <w:vAlign w:val="bottom"/>
            <w:gridSpan w:val="14"/>
          </w:tcPr>
          <w:p>
            <w:pPr>
              <w:spacing w:after="0"/>
              <w:rPr>
                <w:sz w:val="20"/>
                <w:szCs w:val="20"/>
                <w:color w:val="auto"/>
              </w:rPr>
            </w:pPr>
            <w:r>
              <w:rPr>
                <w:rFonts w:ascii="Courier New" w:cs="Courier New" w:eastAsia="Courier New" w:hAnsi="Courier New"/>
                <w:sz w:val="18"/>
                <w:szCs w:val="18"/>
                <w:color w:val="auto"/>
              </w:rPr>
              <w:t>Financial Statements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14"/>
          </w:tcPr>
          <w:p>
            <w:pPr>
              <w:jc w:val="center"/>
              <w:spacing w:after="0"/>
              <w:rPr>
                <w:sz w:val="20"/>
                <w:szCs w:val="20"/>
                <w:color w:val="auto"/>
              </w:rPr>
            </w:pPr>
            <w:r>
              <w:rPr>
                <w:rFonts w:ascii="Courier New" w:cs="Courier New" w:eastAsia="Courier New" w:hAnsi="Courier New"/>
                <w:sz w:val="18"/>
                <w:szCs w:val="18"/>
                <w:color w:val="auto"/>
                <w:w w:val="97"/>
              </w:rPr>
              <w:t>INTEGRA LIFESCIENCES HOLDINGS CORPORATION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20" w:type="dxa"/>
            <w:vAlign w:val="bottom"/>
            <w:gridSpan w:val="13"/>
          </w:tcPr>
          <w:p>
            <w:pPr>
              <w:jc w:val="center"/>
              <w:ind w:right="220"/>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gridSpan w:val="20"/>
          </w:tcPr>
          <w:p>
            <w:pPr>
              <w:ind w:left="20"/>
              <w:spacing w:after="0" w:line="203" w:lineRule="exact"/>
              <w:rPr>
                <w:sz w:val="20"/>
                <w:szCs w:val="20"/>
                <w:color w:val="auto"/>
              </w:rPr>
            </w:pPr>
            <w:r>
              <w:rPr>
                <w:rFonts w:ascii="Courier New" w:cs="Courier New" w:eastAsia="Courier New" w:hAnsi="Courier New"/>
                <w:sz w:val="18"/>
                <w:szCs w:val="18"/>
                <w:color w:val="auto"/>
                <w:w w:val="98"/>
              </w:rPr>
              <w:t>(In thousands, except per share amounts)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80" w:type="dxa"/>
            <w:vAlign w:val="bottom"/>
            <w:gridSpan w:val="26"/>
          </w:tcPr>
          <w:p>
            <w:pPr>
              <w:jc w:val="center"/>
              <w:ind w:right="1220"/>
              <w:spacing w:after="0"/>
              <w:rPr>
                <w:sz w:val="20"/>
                <w:szCs w:val="20"/>
                <w:color w:val="auto"/>
              </w:rPr>
            </w:pPr>
            <w:r>
              <w:rPr>
                <w:rFonts w:ascii="Courier New" w:cs="Courier New" w:eastAsia="Courier New" w:hAnsi="Courier New"/>
                <w:sz w:val="18"/>
                <w:szCs w:val="18"/>
                <w:color w:val="auto"/>
                <w:w w:val="97"/>
              </w:rPr>
              <w:t>Three Months Ended March 31, 2004 2003 ---- ----</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00" w:type="dxa"/>
            <w:vAlign w:val="bottom"/>
            <w:gridSpan w:val="2"/>
          </w:tcPr>
          <w:p>
            <w:pPr>
              <w:ind w:left="40"/>
              <w:spacing w:after="0"/>
              <w:rPr>
                <w:sz w:val="20"/>
                <w:szCs w:val="20"/>
                <w:color w:val="auto"/>
              </w:rPr>
            </w:pPr>
            <w:r>
              <w:rPr>
                <w:rFonts w:ascii="Courier New" w:cs="Courier New" w:eastAsia="Courier New" w:hAnsi="Courier New"/>
                <w:sz w:val="1"/>
                <w:szCs w:val="1"/>
                <w:color w:val="auto"/>
                <w:strike w:val="1"/>
                <w:w w:val="15"/>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6"/>
            <w:vMerge w:val="restart"/>
          </w:tcPr>
          <w:p>
            <w:pPr>
              <w:ind w:left="120"/>
              <w:spacing w:after="0" w:line="203" w:lineRule="exact"/>
              <w:rPr>
                <w:sz w:val="20"/>
                <w:szCs w:val="20"/>
                <w:color w:val="auto"/>
              </w:rPr>
            </w:pPr>
            <w:r>
              <w:rPr>
                <w:rFonts w:ascii="Courier New" w:cs="Courier New" w:eastAsia="Courier New" w:hAnsi="Courier New"/>
                <w:sz w:val="18"/>
                <w:szCs w:val="18"/>
                <w:color w:val="auto"/>
              </w:rPr>
              <w:t>REVENUES</w:t>
            </w:r>
          </w:p>
        </w:tc>
        <w:tc>
          <w:tcPr>
            <w:tcW w:w="1800" w:type="dxa"/>
            <w:vAlign w:val="bottom"/>
            <w:gridSpan w:val="5"/>
            <w:vMerge w:val="restart"/>
          </w:tcPr>
          <w:p>
            <w:pPr>
              <w:spacing w:after="0" w:line="203" w:lineRule="exact"/>
              <w:rPr>
                <w:sz w:val="20"/>
                <w:szCs w:val="20"/>
                <w:color w:val="auto"/>
              </w:rPr>
            </w:pPr>
            <w:r>
              <w:rPr>
                <w:rFonts w:ascii="Courier New" w:cs="Courier New" w:eastAsia="Courier New" w:hAnsi="Courier New"/>
                <w:sz w:val="18"/>
                <w:szCs w:val="18"/>
                <w:color w:val="auto"/>
                <w:strike w:val="1"/>
              </w:rPr>
              <w:t>Product revenues</w:t>
            </w:r>
          </w:p>
        </w:tc>
        <w:tc>
          <w:tcPr>
            <w:tcW w:w="260" w:type="dxa"/>
            <w:vAlign w:val="bottom"/>
            <w:vMerge w:val="restart"/>
          </w:tcPr>
          <w:p>
            <w:pPr>
              <w:spacing w:after="0"/>
              <w:rPr>
                <w:sz w:val="9"/>
                <w:szCs w:val="9"/>
                <w:color w:val="auto"/>
              </w:rPr>
            </w:pPr>
          </w:p>
        </w:tc>
        <w:tc>
          <w:tcPr>
            <w:tcW w:w="900" w:type="dxa"/>
            <w:vAlign w:val="bottom"/>
            <w:gridSpan w:val="5"/>
            <w:vMerge w:val="restart"/>
          </w:tcPr>
          <w:p>
            <w:pPr>
              <w:jc w:val="right"/>
              <w:spacing w:after="0"/>
              <w:rPr>
                <w:sz w:val="20"/>
                <w:szCs w:val="20"/>
                <w:color w:val="auto"/>
              </w:rPr>
            </w:pPr>
            <w:r>
              <w:rPr>
                <w:rFonts w:ascii="Courier New" w:cs="Courier New" w:eastAsia="Courier New" w:hAnsi="Courier New"/>
                <w:sz w:val="18"/>
                <w:szCs w:val="18"/>
                <w:color w:val="auto"/>
                <w:strike w:val="1"/>
              </w:rPr>
              <w:t>$ 51,435</w:t>
            </w: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6"/>
            <w:vMerge w:val="continue"/>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00" w:type="dxa"/>
            <w:vAlign w:val="bottom"/>
            <w:gridSpan w:val="2"/>
          </w:tcPr>
          <w:p>
            <w:pPr>
              <w:ind w:left="40"/>
              <w:spacing w:after="0"/>
              <w:rPr>
                <w:sz w:val="20"/>
                <w:szCs w:val="20"/>
                <w:color w:val="auto"/>
              </w:rPr>
            </w:pPr>
            <w:r>
              <w:rPr>
                <w:rFonts w:ascii="Courier New" w:cs="Courier New" w:eastAsia="Courier New" w:hAnsi="Courier New"/>
                <w:sz w:val="1"/>
                <w:szCs w:val="1"/>
                <w:color w:val="auto"/>
                <w:strike w:val="1"/>
                <w:w w:val="16"/>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gridSpan w:val="9"/>
            <w:vMerge w:val="restart"/>
          </w:tcPr>
          <w:p>
            <w:pPr>
              <w:jc w:val="center"/>
              <w:spacing w:after="0"/>
              <w:rPr>
                <w:sz w:val="20"/>
                <w:szCs w:val="20"/>
                <w:color w:val="auto"/>
              </w:rPr>
            </w:pPr>
            <w:r>
              <w:rPr>
                <w:rFonts w:ascii="Courier New" w:cs="Courier New" w:eastAsia="Courier New" w:hAnsi="Courier New"/>
                <w:sz w:val="18"/>
                <w:szCs w:val="18"/>
                <w:color w:val="auto"/>
                <w:strike w:val="1"/>
                <w:w w:val="96"/>
              </w:rPr>
              <w:t>$ 35,130 Other revenue</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2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9"/>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5"/>
            <w:vMerge w:val="restart"/>
          </w:tcPr>
          <w:p>
            <w:pPr>
              <w:jc w:val="right"/>
              <w:spacing w:after="0"/>
              <w:rPr>
                <w:sz w:val="20"/>
                <w:szCs w:val="20"/>
                <w:color w:val="auto"/>
              </w:rPr>
            </w:pPr>
            <w:r>
              <w:rPr>
                <w:rFonts w:ascii="Courier New" w:cs="Courier New" w:eastAsia="Courier New" w:hAnsi="Courier New"/>
                <w:sz w:val="18"/>
                <w:szCs w:val="18"/>
                <w:color w:val="auto"/>
                <w:strike w:val="1"/>
              </w:rPr>
              <w:t>1,008</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vMerge w:val="restart"/>
          </w:tcPr>
          <w:p>
            <w:pPr>
              <w:spacing w:after="0"/>
              <w:rPr>
                <w:sz w:val="9"/>
                <w:szCs w:val="9"/>
                <w:color w:val="auto"/>
              </w:rPr>
            </w:pPr>
          </w:p>
        </w:tc>
        <w:tc>
          <w:tcPr>
            <w:tcW w:w="100" w:type="dxa"/>
            <w:vAlign w:val="bottom"/>
            <w:gridSpan w:val="2"/>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580" w:type="dxa"/>
            <w:vAlign w:val="bottom"/>
            <w:gridSpan w:val="3"/>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1,650</w:t>
            </w:r>
          </w:p>
        </w:tc>
        <w:tc>
          <w:tcPr>
            <w:tcW w:w="320" w:type="dxa"/>
            <w:vAlign w:val="bottom"/>
            <w:gridSpan w:val="2"/>
          </w:tcPr>
          <w:p>
            <w:pPr>
              <w:ind w:left="60"/>
              <w:spacing w:after="0"/>
              <w:rPr>
                <w:sz w:val="20"/>
                <w:szCs w:val="20"/>
                <w:color w:val="auto"/>
              </w:rPr>
            </w:pPr>
            <w:r>
              <w:rPr>
                <w:rFonts w:ascii="Courier New" w:cs="Courier New" w:eastAsia="Courier New" w:hAnsi="Courier New"/>
                <w:sz w:val="7"/>
                <w:szCs w:val="7"/>
                <w:color w:val="auto"/>
                <w:strike w:val="1"/>
                <w:w w:val="71"/>
              </w:rPr>
              <w:t>--------</w:t>
            </w:r>
          </w:p>
        </w:tc>
        <w:tc>
          <w:tcPr>
            <w:tcW w:w="22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2840" w:type="dxa"/>
            <w:vAlign w:val="bottom"/>
            <w:gridSpan w:val="8"/>
            <w:vMerge w:val="restart"/>
          </w:tcPr>
          <w:p>
            <w:pPr>
              <w:jc w:val="right"/>
              <w:ind w:right="112"/>
              <w:spacing w:after="0" w:line="203" w:lineRule="exact"/>
              <w:rPr>
                <w:sz w:val="20"/>
                <w:szCs w:val="20"/>
                <w:color w:val="auto"/>
              </w:rPr>
            </w:pPr>
            <w:r>
              <w:rPr>
                <w:rFonts w:ascii="Courier New" w:cs="Courier New" w:eastAsia="Courier New" w:hAnsi="Courier New"/>
                <w:sz w:val="18"/>
                <w:szCs w:val="18"/>
                <w:color w:val="auto"/>
                <w:strike w:val="1"/>
              </w:rPr>
              <w:t>-------- Total revenues</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4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tcPr>
          <w:p>
            <w:pPr>
              <w:ind w:left="100"/>
              <w:spacing w:after="0"/>
              <w:rPr>
                <w:sz w:val="20"/>
                <w:szCs w:val="20"/>
                <w:color w:val="auto"/>
              </w:rPr>
            </w:pPr>
            <w:r>
              <w:rPr>
                <w:rFonts w:ascii="Courier New" w:cs="Courier New" w:eastAsia="Courier New" w:hAnsi="Courier New"/>
                <w:sz w:val="1"/>
                <w:szCs w:val="1"/>
                <w:color w:val="auto"/>
                <w:strike w:val="1"/>
                <w:w w:val="59"/>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52,443</w:t>
            </w:r>
          </w:p>
        </w:tc>
        <w:tc>
          <w:tcPr>
            <w:tcW w:w="4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260" w:type="dxa"/>
            <w:vAlign w:val="bottom"/>
            <w:gridSpan w:val="27"/>
          </w:tcPr>
          <w:p>
            <w:pPr>
              <w:spacing w:after="0" w:line="203" w:lineRule="exact"/>
              <w:rPr>
                <w:sz w:val="20"/>
                <w:szCs w:val="20"/>
                <w:color w:val="auto"/>
              </w:rPr>
            </w:pPr>
            <w:r>
              <w:rPr>
                <w:rFonts w:ascii="Courier New" w:cs="Courier New" w:eastAsia="Courier New" w:hAnsi="Courier New"/>
                <w:sz w:val="18"/>
                <w:szCs w:val="18"/>
                <w:color w:val="auto"/>
                <w:strike w:val="1"/>
                <w:w w:val="97"/>
              </w:rPr>
              <w:t>36,780 COSTS AND EXPENSES Cost of product revenues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tcPr>
          <w:p>
            <w:pPr>
              <w:ind w:left="100"/>
              <w:spacing w:after="0"/>
              <w:rPr>
                <w:sz w:val="20"/>
                <w:szCs w:val="20"/>
                <w:color w:val="auto"/>
              </w:rPr>
            </w:pPr>
            <w:r>
              <w:rPr>
                <w:rFonts w:ascii="Courier New" w:cs="Courier New" w:eastAsia="Courier New" w:hAnsi="Courier New"/>
                <w:sz w:val="1"/>
                <w:szCs w:val="1"/>
                <w:color w:val="auto"/>
                <w:strike w:val="1"/>
                <w:w w:val="72"/>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80" w:type="dxa"/>
            <w:vAlign w:val="bottom"/>
            <w:gridSpan w:val="9"/>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20,001</w:t>
            </w:r>
          </w:p>
        </w:tc>
        <w:tc>
          <w:tcPr>
            <w:tcW w:w="740" w:type="dxa"/>
            <w:vAlign w:val="bottom"/>
            <w:gridSpan w:val="2"/>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13,703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80" w:type="dxa"/>
            <w:vAlign w:val="bottom"/>
            <w:gridSpan w:val="9"/>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vMerge w:val="restart"/>
          </w:tcPr>
          <w:p>
            <w:pPr>
              <w:spacing w:after="0"/>
              <w:rPr>
                <w:sz w:val="20"/>
                <w:szCs w:val="20"/>
                <w:color w:val="auto"/>
              </w:rPr>
            </w:pPr>
            <w:r>
              <w:rPr>
                <w:rFonts w:ascii="Courier New" w:cs="Courier New" w:eastAsia="Courier New" w:hAnsi="Courier New"/>
                <w:sz w:val="5"/>
                <w:szCs w:val="5"/>
                <w:color w:val="auto"/>
                <w:strike w:val="1"/>
                <w:w w:val="88"/>
              </w:rPr>
              <w:t>development................................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Research and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5"/>
            <w:vMerge w:val="restart"/>
          </w:tcPr>
          <w:p>
            <w:pPr>
              <w:jc w:val="right"/>
              <w:spacing w:after="0"/>
              <w:rPr>
                <w:sz w:val="20"/>
                <w:szCs w:val="20"/>
                <w:color w:val="auto"/>
              </w:rPr>
            </w:pPr>
            <w:r>
              <w:rPr>
                <w:rFonts w:ascii="Courier New" w:cs="Courier New" w:eastAsia="Courier New" w:hAnsi="Courier New"/>
                <w:sz w:val="18"/>
                <w:szCs w:val="18"/>
                <w:color w:val="auto"/>
                <w:strike w:val="1"/>
              </w:rPr>
              <w:t>2,823</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vMerge w:val="continue"/>
          </w:tcPr>
          <w:p>
            <w:pPr>
              <w:spacing w:after="0"/>
              <w:rPr>
                <w:sz w:val="17"/>
                <w:szCs w:val="17"/>
                <w:color w:val="auto"/>
              </w:rPr>
            </w:pPr>
          </w:p>
        </w:tc>
        <w:tc>
          <w:tcPr>
            <w:tcW w:w="2860" w:type="dxa"/>
            <w:vAlign w:val="bottom"/>
            <w:gridSpan w:val="11"/>
            <w:vMerge w:val="restart"/>
          </w:tcPr>
          <w:p>
            <w:pPr>
              <w:jc w:val="center"/>
              <w:spacing w:after="0"/>
              <w:rPr>
                <w:sz w:val="20"/>
                <w:szCs w:val="20"/>
                <w:color w:val="auto"/>
              </w:rPr>
            </w:pPr>
            <w:r>
              <w:rPr>
                <w:rFonts w:ascii="Courier New" w:cs="Courier New" w:eastAsia="Courier New" w:hAnsi="Courier New"/>
                <w:sz w:val="18"/>
                <w:szCs w:val="18"/>
                <w:color w:val="auto"/>
                <w:strike w:val="1"/>
                <w:w w:val="98"/>
              </w:rPr>
              <w:t>2,650 Selling and marketing</w:t>
            </w:r>
          </w:p>
        </w:tc>
        <w:tc>
          <w:tcPr>
            <w:tcW w:w="26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gridSpan w:val="11"/>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strike w:val="1"/>
                <w:w w:val="37"/>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gridSpan w:val="13"/>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11,151 7,576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20" w:type="dxa"/>
            <w:vAlign w:val="bottom"/>
            <w:gridSpan w:val="1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gridSpan w:val="11"/>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General and administrative</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
                <w:szCs w:val="1"/>
                <w:color w:val="auto"/>
                <w:strike w:val="1"/>
              </w:rPr>
              <w:t>..............................</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gridSpan w:val="10"/>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5,856 4,834</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1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Amortization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strike w:val="1"/>
                <w:w w:val="92"/>
              </w:rPr>
              <w:t>883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strike w:val="1"/>
                <w:w w:val="30"/>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w w:val="92"/>
              </w:rPr>
              <w:t>577</w:t>
            </w:r>
          </w:p>
        </w:tc>
        <w:tc>
          <w:tcPr>
            <w:tcW w:w="100" w:type="dxa"/>
            <w:vAlign w:val="bottom"/>
          </w:tcPr>
          <w:p>
            <w:pPr>
              <w:jc w:val="right"/>
              <w:spacing w:after="0"/>
              <w:rPr>
                <w:sz w:val="20"/>
                <w:szCs w:val="20"/>
                <w:color w:val="auto"/>
              </w:rPr>
            </w:pPr>
            <w:r>
              <w:rPr>
                <w:rFonts w:ascii="Courier New" w:cs="Courier New" w:eastAsia="Courier New" w:hAnsi="Courier New"/>
                <w:sz w:val="10"/>
                <w:szCs w:val="10"/>
                <w:color w:val="auto"/>
                <w:strike w:val="1"/>
                <w:w w:val="74"/>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 Total costs and expenses</w:t>
            </w: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
                <w:szCs w:val="1"/>
                <w:color w:val="auto"/>
                <w:strike w:val="1"/>
                <w:w w:val="80"/>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320" w:type="dxa"/>
            <w:vAlign w:val="bottom"/>
            <w:gridSpan w:val="11"/>
            <w:vMerge w:val="restart"/>
          </w:tcPr>
          <w:p>
            <w:pPr>
              <w:jc w:val="center"/>
              <w:ind w:left="1539"/>
              <w:spacing w:after="0" w:line="203" w:lineRule="exact"/>
              <w:rPr>
                <w:sz w:val="20"/>
                <w:szCs w:val="20"/>
                <w:color w:val="auto"/>
              </w:rPr>
            </w:pPr>
            <w:r>
              <w:rPr>
                <w:rFonts w:ascii="Courier New" w:cs="Courier New" w:eastAsia="Courier New" w:hAnsi="Courier New"/>
                <w:sz w:val="18"/>
                <w:szCs w:val="18"/>
                <w:color w:val="auto"/>
                <w:strike w:val="1"/>
                <w:w w:val="98"/>
              </w:rPr>
              <w:t>40,714 29,340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320" w:type="dxa"/>
            <w:vAlign w:val="bottom"/>
            <w:gridSpan w:val="11"/>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00" w:type="dxa"/>
            <w:vAlign w:val="bottom"/>
            <w:gridSpan w:val="2"/>
          </w:tcPr>
          <w:p>
            <w:pPr>
              <w:ind w:left="40"/>
              <w:spacing w:after="0"/>
              <w:rPr>
                <w:sz w:val="20"/>
                <w:szCs w:val="20"/>
                <w:color w:val="auto"/>
              </w:rPr>
            </w:pPr>
            <w:r>
              <w:rPr>
                <w:rFonts w:ascii="Courier New" w:cs="Courier New" w:eastAsia="Courier New" w:hAnsi="Courier New"/>
                <w:sz w:val="1"/>
                <w:szCs w:val="1"/>
                <w:color w:val="auto"/>
                <w:strike w:val="1"/>
                <w:w w:val="16"/>
              </w:rPr>
              <w:t>.........................................</w:t>
            </w:r>
          </w:p>
        </w:tc>
        <w:tc>
          <w:tcPr>
            <w:tcW w:w="260" w:type="dxa"/>
            <w:vAlign w:val="bottom"/>
            <w:gridSpan w:val="2"/>
          </w:tcPr>
          <w:p>
            <w:pPr>
              <w:jc w:val="right"/>
              <w:spacing w:after="0"/>
              <w:rPr>
                <w:sz w:val="20"/>
                <w:szCs w:val="20"/>
                <w:color w:val="auto"/>
              </w:rPr>
            </w:pPr>
            <w:r>
              <w:rPr>
                <w:rFonts w:ascii="Courier New" w:cs="Courier New" w:eastAsia="Courier New" w:hAnsi="Courier New"/>
                <w:sz w:val="1"/>
                <w:szCs w:val="1"/>
                <w:color w:val="auto"/>
                <w:strike w:val="1"/>
                <w:w w:val="99"/>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1700" w:type="dxa"/>
            <w:vAlign w:val="bottom"/>
            <w:gridSpan w:val="4"/>
            <w:vMerge w:val="restart"/>
          </w:tcPr>
          <w:p>
            <w:pPr>
              <w:jc w:val="center"/>
              <w:spacing w:after="0" w:line="203" w:lineRule="exact"/>
              <w:rPr>
                <w:sz w:val="20"/>
                <w:szCs w:val="20"/>
                <w:color w:val="auto"/>
              </w:rPr>
            </w:pPr>
            <w:r>
              <w:rPr>
                <w:rFonts w:ascii="Courier New" w:cs="Courier New" w:eastAsia="Courier New" w:hAnsi="Courier New"/>
                <w:sz w:val="18"/>
                <w:szCs w:val="18"/>
                <w:color w:val="auto"/>
                <w:strike w:val="1"/>
                <w:w w:val="98"/>
              </w:rPr>
              <w:t>Operating income</w:t>
            </w:r>
          </w:p>
        </w:tc>
        <w:tc>
          <w:tcPr>
            <w:tcW w:w="260" w:type="dxa"/>
            <w:vAlign w:val="bottom"/>
            <w:vMerge w:val="restart"/>
          </w:tcPr>
          <w:p>
            <w:pPr>
              <w:spacing w:after="0"/>
              <w:rPr>
                <w:sz w:val="9"/>
                <w:szCs w:val="9"/>
                <w:color w:val="auto"/>
              </w:rPr>
            </w:pPr>
          </w:p>
        </w:tc>
        <w:tc>
          <w:tcPr>
            <w:tcW w:w="580" w:type="dxa"/>
            <w:vAlign w:val="bottom"/>
            <w:gridSpan w:val="3"/>
            <w:vMerge w:val="restart"/>
          </w:tcPr>
          <w:p>
            <w:pPr>
              <w:spacing w:after="0"/>
              <w:rPr>
                <w:sz w:val="9"/>
                <w:szCs w:val="9"/>
                <w:color w:val="auto"/>
              </w:rPr>
            </w:pPr>
          </w:p>
        </w:tc>
        <w:tc>
          <w:tcPr>
            <w:tcW w:w="780" w:type="dxa"/>
            <w:vAlign w:val="bottom"/>
            <w:gridSpan w:val="3"/>
            <w:vMerge w:val="restart"/>
          </w:tcPr>
          <w:p>
            <w:pPr>
              <w:ind w:left="160"/>
              <w:spacing w:after="0"/>
              <w:rPr>
                <w:sz w:val="20"/>
                <w:szCs w:val="20"/>
                <w:color w:val="auto"/>
              </w:rPr>
            </w:pPr>
            <w:r>
              <w:rPr>
                <w:rFonts w:ascii="Courier New" w:cs="Courier New" w:eastAsia="Courier New" w:hAnsi="Courier New"/>
                <w:sz w:val="18"/>
                <w:szCs w:val="18"/>
                <w:color w:val="auto"/>
                <w:strike w:val="1"/>
                <w:w w:val="92"/>
              </w:rPr>
              <w:t>11,729</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gridSpan w:val="7"/>
            <w:vMerge w:val="restart"/>
          </w:tcPr>
          <w:p>
            <w:pPr>
              <w:jc w:val="center"/>
              <w:spacing w:after="0"/>
              <w:rPr>
                <w:sz w:val="20"/>
                <w:szCs w:val="20"/>
                <w:color w:val="auto"/>
              </w:rPr>
            </w:pPr>
            <w:r>
              <w:rPr>
                <w:rFonts w:ascii="Courier New" w:cs="Courier New" w:eastAsia="Courier New" w:hAnsi="Courier New"/>
                <w:sz w:val="18"/>
                <w:szCs w:val="18"/>
                <w:color w:val="auto"/>
                <w:strike w:val="1"/>
                <w:w w:val="97"/>
              </w:rPr>
              <w:t>7,440 Interest income</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gridSpan w:val="7"/>
            <w:vMerge w:val="continue"/>
          </w:tcPr>
          <w:p>
            <w:pPr>
              <w:spacing w:after="0"/>
              <w:rPr>
                <w:sz w:val="17"/>
                <w:szCs w:val="17"/>
                <w:color w:val="auto"/>
              </w:rPr>
            </w:pPr>
          </w:p>
        </w:tc>
        <w:tc>
          <w:tcPr>
            <w:tcW w:w="580" w:type="dxa"/>
            <w:vAlign w:val="bottom"/>
            <w:gridSpan w:val="3"/>
          </w:tcPr>
          <w:p>
            <w:pPr>
              <w:spacing w:after="0"/>
              <w:rPr>
                <w:sz w:val="17"/>
                <w:szCs w:val="17"/>
                <w:color w:val="auto"/>
              </w:rPr>
            </w:pPr>
          </w:p>
        </w:tc>
        <w:tc>
          <w:tcPr>
            <w:tcW w:w="5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strike w:val="1"/>
              </w:rPr>
              <w:t>928</w:t>
            </w:r>
          </w:p>
        </w:tc>
        <w:tc>
          <w:tcPr>
            <w:tcW w:w="380" w:type="dxa"/>
            <w:vAlign w:val="bottom"/>
            <w:gridSpan w:val="4"/>
            <w:vMerge w:val="restart"/>
          </w:tcPr>
          <w:p>
            <w:pPr>
              <w:jc w:val="right"/>
              <w:ind w:right="20"/>
              <w:spacing w:after="0"/>
              <w:rPr>
                <w:sz w:val="20"/>
                <w:szCs w:val="20"/>
                <w:color w:val="auto"/>
              </w:rPr>
            </w:pPr>
            <w:r>
              <w:rPr>
                <w:rFonts w:ascii="Courier New" w:cs="Courier New" w:eastAsia="Courier New" w:hAnsi="Courier New"/>
                <w:sz w:val="18"/>
                <w:szCs w:val="18"/>
                <w:color w:val="auto"/>
                <w:strike w:val="1"/>
              </w:rPr>
              <w:t>783</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gridSpan w:val="4"/>
            <w:vMerge w:val="restart"/>
          </w:tcPr>
          <w:p>
            <w:pPr>
              <w:jc w:val="center"/>
              <w:spacing w:after="0"/>
              <w:rPr>
                <w:sz w:val="20"/>
                <w:szCs w:val="20"/>
                <w:color w:val="auto"/>
              </w:rPr>
            </w:pPr>
            <w:r>
              <w:rPr>
                <w:rFonts w:ascii="Courier New" w:cs="Courier New" w:eastAsia="Courier New" w:hAnsi="Courier New"/>
                <w:sz w:val="18"/>
                <w:szCs w:val="18"/>
                <w:color w:val="auto"/>
                <w:strike w:val="1"/>
                <w:w w:val="98"/>
              </w:rPr>
              <w:t>Interest expense</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840" w:type="dxa"/>
            <w:vAlign w:val="bottom"/>
            <w:gridSpan w:val="4"/>
          </w:tcPr>
          <w:p>
            <w:pPr>
              <w:spacing w:after="0"/>
              <w:rPr>
                <w:sz w:val="17"/>
                <w:szCs w:val="17"/>
                <w:color w:val="auto"/>
              </w:rPr>
            </w:pPr>
          </w:p>
        </w:tc>
        <w:tc>
          <w:tcPr>
            <w:tcW w:w="940" w:type="dxa"/>
            <w:vAlign w:val="bottom"/>
            <w:gridSpan w:val="6"/>
            <w:vMerge w:val="restart"/>
          </w:tcPr>
          <w:p>
            <w:pPr>
              <w:jc w:val="right"/>
              <w:spacing w:after="0"/>
              <w:rPr>
                <w:sz w:val="20"/>
                <w:szCs w:val="20"/>
                <w:color w:val="auto"/>
              </w:rPr>
            </w:pPr>
            <w:r>
              <w:rPr>
                <w:rFonts w:ascii="Courier New" w:cs="Courier New" w:eastAsia="Courier New" w:hAnsi="Courier New"/>
                <w:sz w:val="18"/>
                <w:szCs w:val="18"/>
                <w:color w:val="auto"/>
                <w:strike w:val="1"/>
                <w:w w:val="94"/>
              </w:rPr>
              <w:t>(871) (7)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20"/>
                <w:szCs w:val="20"/>
                <w:color w:val="auto"/>
              </w:rPr>
            </w:pPr>
            <w:r>
              <w:rPr>
                <w:rFonts w:ascii="Courier New" w:cs="Courier New" w:eastAsia="Courier New" w:hAnsi="Courier New"/>
                <w:sz w:val="1"/>
                <w:szCs w:val="1"/>
                <w:color w:val="auto"/>
                <w:strike w:val="1"/>
                <w:w w:val="8"/>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60" w:type="dxa"/>
            <w:vAlign w:val="bottom"/>
            <w:gridSpan w:val="11"/>
            <w:vMerge w:val="restart"/>
          </w:tcPr>
          <w:p>
            <w:pPr>
              <w:jc w:val="center"/>
              <w:spacing w:after="0"/>
              <w:rPr>
                <w:sz w:val="20"/>
                <w:szCs w:val="20"/>
                <w:color w:val="auto"/>
              </w:rPr>
            </w:pPr>
            <w:r>
              <w:rPr>
                <w:rFonts w:ascii="Courier New" w:cs="Courier New" w:eastAsia="Courier New" w:hAnsi="Courier New"/>
                <w:sz w:val="18"/>
                <w:szCs w:val="18"/>
                <w:color w:val="auto"/>
                <w:strike w:val="1"/>
                <w:w w:val="98"/>
              </w:rPr>
              <w:t>Other income (expense), net</w:t>
            </w:r>
          </w:p>
        </w:tc>
        <w:tc>
          <w:tcPr>
            <w:tcW w:w="260" w:type="dxa"/>
            <w:vAlign w:val="bottom"/>
          </w:tcPr>
          <w:p>
            <w:pPr>
              <w:spacing w:after="0"/>
              <w:rPr>
                <w:sz w:val="9"/>
                <w:szCs w:val="9"/>
                <w:color w:val="auto"/>
              </w:rPr>
            </w:pPr>
          </w:p>
        </w:tc>
        <w:tc>
          <w:tcPr>
            <w:tcW w:w="940" w:type="dxa"/>
            <w:vAlign w:val="bottom"/>
            <w:gridSpan w:val="6"/>
            <w:vMerge w:val="continue"/>
          </w:tcPr>
          <w:p>
            <w:pPr>
              <w:spacing w:after="0"/>
              <w:rPr>
                <w:sz w:val="9"/>
                <w:szCs w:val="9"/>
                <w:color w:val="auto"/>
              </w:rPr>
            </w:pPr>
          </w:p>
        </w:tc>
        <w:tc>
          <w:tcPr>
            <w:tcW w:w="1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60" w:type="dxa"/>
            <w:vAlign w:val="bottom"/>
            <w:gridSpan w:val="11"/>
            <w:vMerge w:val="continue"/>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6"/>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gridSpan w:val="11"/>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20"/>
                <w:szCs w:val="20"/>
                <w:color w:val="auto"/>
              </w:rPr>
            </w:pPr>
            <w:r>
              <w:rPr>
                <w:rFonts w:ascii="Courier New" w:cs="Courier New" w:eastAsia="Courier New" w:hAnsi="Courier New"/>
                <w:sz w:val="1"/>
                <w:szCs w:val="1"/>
                <w:color w:val="auto"/>
                <w:strike w:val="1"/>
                <w:w w:val="11"/>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20" w:type="dxa"/>
            <w:vAlign w:val="bottom"/>
            <w:gridSpan w:val="15"/>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(17) 349 -------- --</w:t>
            </w:r>
          </w:p>
        </w:tc>
        <w:tc>
          <w:tcPr>
            <w:tcW w:w="1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20" w:type="dxa"/>
            <w:vAlign w:val="bottom"/>
            <w:gridSpan w:val="15"/>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Courier New" w:cs="Courier New" w:eastAsia="Courier New" w:hAnsi="Courier New"/>
                <w:sz w:val="12"/>
                <w:szCs w:val="12"/>
                <w:color w:val="auto"/>
                <w:strike w:val="1"/>
              </w:rPr>
              <w:t>------</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320" w:type="dxa"/>
            <w:vAlign w:val="bottom"/>
            <w:gridSpan w:val="11"/>
            <w:vMerge w:val="restart"/>
          </w:tcPr>
          <w:p>
            <w:pPr>
              <w:jc w:val="right"/>
              <w:ind w:right="392"/>
              <w:spacing w:after="0" w:line="203" w:lineRule="exact"/>
              <w:rPr>
                <w:sz w:val="20"/>
                <w:szCs w:val="20"/>
                <w:color w:val="auto"/>
              </w:rPr>
            </w:pPr>
            <w:r>
              <w:rPr>
                <w:rFonts w:ascii="Courier New" w:cs="Courier New" w:eastAsia="Courier New" w:hAnsi="Courier New"/>
                <w:sz w:val="18"/>
                <w:szCs w:val="18"/>
                <w:color w:val="auto"/>
                <w:strike w:val="1"/>
              </w:rPr>
              <w:t>Income before income taxes</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32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0" w:type="dxa"/>
            <w:vAlign w:val="bottom"/>
            <w:gridSpan w:val="9"/>
            <w:vMerge w:val="restart"/>
          </w:tcPr>
          <w:p>
            <w:pPr>
              <w:spacing w:after="0"/>
              <w:rPr>
                <w:sz w:val="20"/>
                <w:szCs w:val="20"/>
                <w:color w:val="auto"/>
              </w:rPr>
            </w:pPr>
            <w:r>
              <w:rPr>
                <w:rFonts w:ascii="Courier New" w:cs="Courier New" w:eastAsia="Courier New" w:hAnsi="Courier New"/>
                <w:sz w:val="8"/>
                <w:szCs w:val="8"/>
                <w:color w:val="auto"/>
                <w:strike w:val="1"/>
                <w:vertAlign w:val="subscript"/>
              </w:rPr>
              <w:t>tax</w:t>
            </w:r>
            <w:r>
              <w:rPr>
                <w:rFonts w:ascii="Courier New" w:cs="Courier New" w:eastAsia="Courier New" w:hAnsi="Courier New"/>
                <w:sz w:val="4"/>
                <w:szCs w:val="4"/>
                <w:color w:val="auto"/>
                <w:strike w:val="1"/>
              </w:rPr>
              <w:t>..............................</w:t>
            </w:r>
            <w:r>
              <w:rPr>
                <w:rFonts w:ascii="Courier New" w:cs="Courier New" w:eastAsia="Courier New" w:hAnsi="Courier New"/>
                <w:sz w:val="8"/>
                <w:szCs w:val="8"/>
                <w:color w:val="auto"/>
                <w:strike w:val="1"/>
                <w:vertAlign w:val="subscript"/>
              </w:rPr>
              <w:t>expense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11,769 8,565 Income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vMerge w:val="restart"/>
          </w:tcPr>
          <w:p>
            <w:pPr>
              <w:spacing w:after="0"/>
              <w:rPr>
                <w:sz w:val="9"/>
                <w:szCs w:val="9"/>
                <w:color w:val="auto"/>
              </w:rPr>
            </w:pPr>
          </w:p>
        </w:tc>
        <w:tc>
          <w:tcPr>
            <w:tcW w:w="1200" w:type="dxa"/>
            <w:vAlign w:val="bottom"/>
            <w:gridSpan w:val="9"/>
            <w:vMerge w:val="continue"/>
          </w:tcPr>
          <w:p>
            <w:pPr>
              <w:spacing w:after="0"/>
              <w:rPr>
                <w:sz w:val="9"/>
                <w:szCs w:val="9"/>
                <w:color w:val="auto"/>
              </w:rPr>
            </w:pPr>
          </w:p>
        </w:tc>
        <w:tc>
          <w:tcPr>
            <w:tcW w:w="260" w:type="dxa"/>
            <w:vAlign w:val="bottom"/>
          </w:tcPr>
          <w:p>
            <w:pPr>
              <w:ind w:left="60"/>
              <w:spacing w:after="0"/>
              <w:rPr>
                <w:sz w:val="20"/>
                <w:szCs w:val="20"/>
                <w:color w:val="auto"/>
              </w:rPr>
            </w:pPr>
            <w:r>
              <w:rPr>
                <w:rFonts w:ascii="Courier New" w:cs="Courier New" w:eastAsia="Courier New" w:hAnsi="Courier New"/>
                <w:sz w:val="1"/>
                <w:szCs w:val="1"/>
                <w:color w:val="auto"/>
                <w:strike w:val="1"/>
                <w:w w:val="78"/>
              </w:rPr>
              <w:t>......................................</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0" w:type="dxa"/>
            <w:vAlign w:val="bottom"/>
            <w:vMerge w:val="continue"/>
          </w:tcPr>
          <w:p>
            <w:pPr>
              <w:spacing w:after="0"/>
              <w:rPr>
                <w:sz w:val="8"/>
                <w:szCs w:val="8"/>
                <w:color w:val="auto"/>
              </w:rPr>
            </w:pPr>
          </w:p>
        </w:tc>
        <w:tc>
          <w:tcPr>
            <w:tcW w:w="12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80" w:type="dxa"/>
            <w:vAlign w:val="bottom"/>
            <w:gridSpan w:val="6"/>
            <w:vMerge w:val="restart"/>
          </w:tcPr>
          <w:p>
            <w:pPr>
              <w:spacing w:after="0"/>
              <w:rPr>
                <w:sz w:val="9"/>
                <w:szCs w:val="9"/>
                <w:color w:val="auto"/>
              </w:rPr>
            </w:pPr>
          </w:p>
        </w:tc>
        <w:tc>
          <w:tcPr>
            <w:tcW w:w="1220" w:type="dxa"/>
            <w:vAlign w:val="bottom"/>
            <w:gridSpan w:val="7"/>
            <w:vMerge w:val="restart"/>
          </w:tcPr>
          <w:p>
            <w:pPr>
              <w:jc w:val="right"/>
              <w:spacing w:after="0" w:line="198" w:lineRule="exact"/>
              <w:rPr>
                <w:sz w:val="20"/>
                <w:szCs w:val="20"/>
                <w:color w:val="auto"/>
              </w:rPr>
            </w:pPr>
            <w:r>
              <w:rPr>
                <w:rFonts w:ascii="Courier New" w:cs="Courier New" w:eastAsia="Courier New" w:hAnsi="Courier New"/>
                <w:sz w:val="18"/>
                <w:szCs w:val="18"/>
                <w:color w:val="auto"/>
                <w:strike w:val="1"/>
                <w:w w:val="95"/>
              </w:rPr>
              <w:t>4,331 3,127</w:t>
            </w:r>
          </w:p>
        </w:tc>
        <w:tc>
          <w:tcPr>
            <w:tcW w:w="26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1"/>
              </w:rPr>
              <w:t>--------</w:t>
            </w:r>
          </w:p>
        </w:tc>
        <w:tc>
          <w:tcPr>
            <w:tcW w:w="260" w:type="dxa"/>
            <w:vAlign w:val="bottom"/>
          </w:tcPr>
          <w:p>
            <w:pPr>
              <w:spacing w:after="0"/>
              <w:rPr>
                <w:sz w:val="9"/>
                <w:szCs w:val="9"/>
                <w:color w:val="auto"/>
              </w:rPr>
            </w:pPr>
          </w:p>
        </w:tc>
        <w:tc>
          <w:tcPr>
            <w:tcW w:w="2580" w:type="dxa"/>
            <w:vAlign w:val="bottom"/>
            <w:gridSpan w:val="7"/>
            <w:vMerge w:val="restart"/>
          </w:tcPr>
          <w:p>
            <w:pPr>
              <w:jc w:val="right"/>
              <w:ind w:right="12"/>
              <w:spacing w:after="0" w:line="198" w:lineRule="exact"/>
              <w:rPr>
                <w:sz w:val="20"/>
                <w:szCs w:val="20"/>
                <w:color w:val="auto"/>
              </w:rPr>
            </w:pPr>
            <w:r>
              <w:rPr>
                <w:rFonts w:ascii="Courier New" w:cs="Courier New" w:eastAsia="Courier New" w:hAnsi="Courier New"/>
                <w:sz w:val="18"/>
                <w:szCs w:val="18"/>
                <w:color w:val="auto"/>
                <w:strike w:val="1"/>
              </w:rPr>
              <w:t>-------- Net income</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80" w:type="dxa"/>
            <w:vAlign w:val="bottom"/>
            <w:gridSpan w:val="6"/>
            <w:vMerge w:val="continue"/>
          </w:tcPr>
          <w:p>
            <w:pPr>
              <w:spacing w:after="0"/>
              <w:rPr>
                <w:sz w:val="8"/>
                <w:szCs w:val="8"/>
                <w:color w:val="auto"/>
              </w:rPr>
            </w:pPr>
          </w:p>
        </w:tc>
        <w:tc>
          <w:tcPr>
            <w:tcW w:w="122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80" w:type="dxa"/>
            <w:vAlign w:val="bottom"/>
            <w:gridSpan w:val="7"/>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60" w:type="dxa"/>
            <w:vAlign w:val="bottom"/>
            <w:gridSpan w:val="4"/>
          </w:tcPr>
          <w:p>
            <w:pPr>
              <w:spacing w:after="0"/>
              <w:rPr>
                <w:sz w:val="17"/>
                <w:szCs w:val="17"/>
                <w:color w:val="auto"/>
              </w:rPr>
            </w:pPr>
          </w:p>
        </w:tc>
        <w:tc>
          <w:tcPr>
            <w:tcW w:w="4860" w:type="dxa"/>
            <w:vAlign w:val="bottom"/>
            <w:gridSpan w:val="20"/>
          </w:tcPr>
          <w:p>
            <w:pPr>
              <w:spacing w:after="0" w:line="203" w:lineRule="exact"/>
              <w:rPr>
                <w:sz w:val="20"/>
                <w:szCs w:val="20"/>
                <w:color w:val="auto"/>
              </w:rPr>
            </w:pPr>
            <w:r>
              <w:rPr>
                <w:rFonts w:ascii="Courier New" w:cs="Courier New" w:eastAsia="Courier New" w:hAnsi="Courier New"/>
                <w:sz w:val="18"/>
                <w:szCs w:val="18"/>
                <w:color w:val="auto"/>
                <w:strike w:val="1"/>
                <w:w w:val="97"/>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260" w:type="dxa"/>
            <w:vAlign w:val="bottom"/>
            <w:gridSpan w:val="27"/>
          </w:tcPr>
          <w:p>
            <w:pPr>
              <w:spacing w:after="0" w:line="203" w:lineRule="exact"/>
              <w:rPr>
                <w:sz w:val="20"/>
                <w:szCs w:val="20"/>
                <w:color w:val="auto"/>
              </w:rPr>
            </w:pPr>
            <w:r>
              <w:rPr>
                <w:rFonts w:ascii="Courier New" w:cs="Courier New" w:eastAsia="Courier New" w:hAnsi="Courier New"/>
                <w:sz w:val="18"/>
                <w:szCs w:val="18"/>
                <w:color w:val="auto"/>
                <w:strike w:val="1"/>
                <w:w w:val="97"/>
              </w:rPr>
              <w:t>7,438 5,438 ======== ======== Basic net income per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00" w:type="dxa"/>
            <w:vAlign w:val="bottom"/>
            <w:gridSpan w:val="7"/>
          </w:tcPr>
          <w:p>
            <w:pPr>
              <w:spacing w:after="0"/>
              <w:rPr>
                <w:sz w:val="20"/>
                <w:szCs w:val="20"/>
                <w:color w:val="auto"/>
              </w:rPr>
            </w:pPr>
            <w:r>
              <w:rPr>
                <w:rFonts w:ascii="Courier New" w:cs="Courier New" w:eastAsia="Courier New" w:hAnsi="Courier New"/>
                <w:sz w:val="5"/>
                <w:szCs w:val="5"/>
                <w:color w:val="auto"/>
                <w:strike w:val="1"/>
                <w:w w:val="81"/>
              </w:rPr>
              <w:t>share ..............................</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gridSpan w:val="15"/>
          </w:tcPr>
          <w:p>
            <w:pPr>
              <w:jc w:val="right"/>
              <w:spacing w:after="0" w:line="203" w:lineRule="exact"/>
              <w:rPr>
                <w:sz w:val="20"/>
                <w:szCs w:val="20"/>
                <w:color w:val="auto"/>
              </w:rPr>
            </w:pPr>
            <w:r>
              <w:rPr>
                <w:rFonts w:ascii="Courier New" w:cs="Courier New" w:eastAsia="Courier New" w:hAnsi="Courier New"/>
                <w:sz w:val="18"/>
                <w:szCs w:val="18"/>
                <w:color w:val="auto"/>
                <w:strike w:val="1"/>
              </w:rPr>
              <w:t>$ 0.25 $ 0.18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60" w:type="dxa"/>
            <w:vAlign w:val="bottom"/>
            <w:gridSpan w:val="13"/>
          </w:tcPr>
          <w:p>
            <w:pPr>
              <w:jc w:val="center"/>
              <w:ind w:right="220"/>
              <w:spacing w:after="0" w:line="203" w:lineRule="exact"/>
              <w:rPr>
                <w:sz w:val="20"/>
                <w:szCs w:val="20"/>
                <w:color w:val="auto"/>
              </w:rPr>
            </w:pPr>
            <w:r>
              <w:rPr>
                <w:rFonts w:ascii="Courier New" w:cs="Courier New" w:eastAsia="Courier New" w:hAnsi="Courier New"/>
                <w:sz w:val="18"/>
                <w:szCs w:val="18"/>
                <w:color w:val="auto"/>
                <w:strike w:val="1"/>
                <w:w w:val="97"/>
              </w:rPr>
              <w:t>Diluted net income per share</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2"/>
                <w:szCs w:val="2"/>
                <w:color w:val="auto"/>
                <w:strike w:val="1"/>
                <w:w w:val="71"/>
              </w:rPr>
              <w:t>............................</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gridSpan w:val="10"/>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$ 0.24 $ 0.18</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1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center"/>
        <w:ind w:right="4839"/>
        <w:spacing w:after="0" w:line="238" w:lineRule="auto"/>
        <w:rPr>
          <w:sz w:val="20"/>
          <w:szCs w:val="20"/>
          <w:color w:val="auto"/>
        </w:rPr>
      </w:pPr>
      <w:r>
        <w:rPr>
          <w:rFonts w:ascii="Courier New" w:cs="Courier New" w:eastAsia="Courier New" w:hAnsi="Courier New"/>
          <w:sz w:val="18"/>
          <w:szCs w:val="18"/>
          <w:color w:val="auto"/>
          <w:strike w:val="1"/>
        </w:rPr>
        <w:t>Weighted average common shares outstanding Basic</w:t>
      </w:r>
    </w:p>
    <w:p>
      <w:pPr>
        <w:spacing w:after="0"/>
        <w:rPr>
          <w:sz w:val="20"/>
          <w:szCs w:val="20"/>
          <w:color w:val="auto"/>
        </w:rPr>
      </w:pPr>
      <w:r>
        <w:rPr>
          <w:rFonts w:ascii="Courier New" w:cs="Courier New" w:eastAsia="Courier New" w:hAnsi="Courier New"/>
          <w:sz w:val="18"/>
          <w:szCs w:val="18"/>
          <w:color w:val="auto"/>
          <w:strike w:val="1"/>
        </w:rPr>
        <w:t>...................................................</w:t>
      </w:r>
    </w:p>
    <w:p>
      <w:pPr>
        <w:jc w:val="center"/>
        <w:ind w:right="4839"/>
        <w:spacing w:after="0" w:line="237" w:lineRule="auto"/>
        <w:rPr>
          <w:sz w:val="20"/>
          <w:szCs w:val="20"/>
          <w:color w:val="auto"/>
        </w:rPr>
      </w:pPr>
      <w:r>
        <w:rPr>
          <w:rFonts w:ascii="Courier New" w:cs="Courier New" w:eastAsia="Courier New" w:hAnsi="Courier New"/>
          <w:sz w:val="18"/>
          <w:szCs w:val="18"/>
          <w:color w:val="auto"/>
          <w:strike w:val="1"/>
        </w:rPr>
        <w:t>29,704 29,438 Diluted</w:t>
      </w:r>
    </w:p>
    <w:p>
      <w:pPr>
        <w:ind w:left="100"/>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4839"/>
        <w:spacing w:after="0"/>
        <w:rPr>
          <w:sz w:val="20"/>
          <w:szCs w:val="20"/>
          <w:color w:val="auto"/>
        </w:rPr>
      </w:pPr>
      <w:r>
        <w:rPr>
          <w:rFonts w:ascii="Courier New" w:cs="Courier New" w:eastAsia="Courier New" w:hAnsi="Courier New"/>
          <w:sz w:val="18"/>
          <w:szCs w:val="18"/>
          <w:color w:val="auto"/>
          <w:strike w:val="1"/>
        </w:rPr>
        <w:t>30,859 30,869 The accompanying notes are an</w:t>
      </w:r>
    </w:p>
    <w:p>
      <w:pPr>
        <w:jc w:val="center"/>
        <w:ind w:right="4839"/>
        <w:spacing w:after="0" w:line="237" w:lineRule="auto"/>
        <w:rPr>
          <w:sz w:val="20"/>
          <w:szCs w:val="20"/>
          <w:color w:val="auto"/>
        </w:rPr>
      </w:pPr>
      <w:r>
        <w:rPr>
          <w:rFonts w:ascii="Courier New" w:cs="Courier New" w:eastAsia="Courier New" w:hAnsi="Courier New"/>
          <w:sz w:val="18"/>
          <w:szCs w:val="18"/>
          <w:color w:val="auto"/>
          <w:strike w:val="1"/>
        </w:rPr>
        <w:t>integral part of these consolidated financial</w:t>
      </w:r>
    </w:p>
    <w:p>
      <w:pPr>
        <w:jc w:val="center"/>
        <w:ind w:right="4839"/>
        <w:spacing w:after="0"/>
        <w:rPr>
          <w:sz w:val="20"/>
          <w:szCs w:val="20"/>
          <w:color w:val="auto"/>
        </w:rPr>
      </w:pPr>
      <w:r>
        <w:rPr>
          <w:rFonts w:ascii="Courier New" w:cs="Courier New" w:eastAsia="Courier New" w:hAnsi="Courier New"/>
          <w:sz w:val="18"/>
          <w:szCs w:val="18"/>
          <w:color w:val="auto"/>
          <w:strike w:val="1"/>
        </w:rPr>
        <w:t>statements</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779"/>
        <w:spacing w:after="0"/>
        <w:rPr>
          <w:sz w:val="20"/>
          <w:szCs w:val="20"/>
          <w:color w:val="auto"/>
        </w:rPr>
      </w:pPr>
      <w:r>
        <w:rPr>
          <w:rFonts w:ascii="Courier New" w:cs="Courier New" w:eastAsia="Courier New" w:hAnsi="Courier New"/>
          <w:sz w:val="18"/>
          <w:szCs w:val="18"/>
          <w:color w:val="auto"/>
        </w:rPr>
        <w:t>INTEGRA LIFESCIENCES HOLDINGS CORPORATION</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ectPr>
          <w:pgSz w:w="11900" w:h="16838" w:orient="portrait"/>
          <w:cols w:equalWidth="0" w:num="1">
            <w:col w:w="10219"/>
          </w:cols>
          <w:pgMar w:left="240" w:top="13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320"/>
        <w:spacing w:after="0"/>
        <w:rPr>
          <w:sz w:val="20"/>
          <w:szCs w:val="20"/>
          <w:color w:val="auto"/>
        </w:rPr>
      </w:pPr>
      <w:r>
        <w:rPr>
          <w:rFonts w:ascii="Courier New" w:cs="Courier New" w:eastAsia="Courier New" w:hAnsi="Courier New"/>
          <w:sz w:val="18"/>
          <w:szCs w:val="18"/>
          <w:color w:val="auto"/>
        </w:rPr>
        <w:t>March 31,</w:t>
      </w:r>
    </w:p>
    <w:p>
      <w:pPr>
        <w:jc w:val="center"/>
        <w:ind w:left="6220"/>
        <w:spacing w:after="0" w:line="238" w:lineRule="auto"/>
        <w:rPr>
          <w:sz w:val="20"/>
          <w:szCs w:val="20"/>
          <w:color w:val="auto"/>
        </w:rPr>
      </w:pPr>
      <w:r>
        <w:rPr>
          <w:rFonts w:ascii="Courier New" w:cs="Courier New" w:eastAsia="Courier New" w:hAnsi="Courier New"/>
          <w:sz w:val="18"/>
          <w:szCs w:val="18"/>
          <w:color w:val="auto"/>
        </w:rPr>
        <w:t>2004</w:t>
      </w:r>
    </w:p>
    <w:p>
      <w:pPr>
        <w:spacing w:after="0" w:line="5" w:lineRule="exact"/>
        <w:rPr>
          <w:sz w:val="20"/>
          <w:szCs w:val="20"/>
          <w:color w:val="auto"/>
        </w:rPr>
      </w:pPr>
    </w:p>
    <w:p>
      <w:pPr>
        <w:jc w:val="center"/>
        <w:ind w:left="6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8"/>
          <w:szCs w:val="18"/>
          <w:color w:val="auto"/>
        </w:rPr>
        <w:t>2003</w:t>
      </w:r>
    </w:p>
    <w:p>
      <w:pPr>
        <w:spacing w:after="0" w:line="4"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7480" w:space="420"/>
            <w:col w:w="2319"/>
          </w:cols>
          <w:pgMar w:left="240" w:top="1325" w:right="1440" w:bottom="0" w:gutter="0" w:footer="0" w:header="0"/>
          <w:type w:val="continuous"/>
        </w:sectPr>
      </w:pPr>
    </w:p>
    <w:p>
      <w:pPr>
        <w:jc w:val="center"/>
        <w:ind w:right="4099"/>
        <w:spacing w:after="0"/>
        <w:rPr>
          <w:sz w:val="20"/>
          <w:szCs w:val="20"/>
          <w:color w:val="auto"/>
        </w:rPr>
      </w:pPr>
      <w:r>
        <w:rPr>
          <w:rFonts w:ascii="Courier New" w:cs="Courier New" w:eastAsia="Courier New" w:hAnsi="Courier New"/>
          <w:sz w:val="18"/>
          <w:szCs w:val="18"/>
          <w:color w:val="auto"/>
        </w:rPr>
        <w:t>ASSETS Current Assets: Cash and cash equivalents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$ 76,052 $ 78,979 Short-</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term investments ..................................</w:t>
      </w:r>
    </w:p>
    <w:p>
      <w:pPr>
        <w:spacing w:after="0" w:line="4" w:lineRule="exact"/>
        <w:rPr>
          <w:sz w:val="20"/>
          <w:szCs w:val="20"/>
          <w:color w:val="auto"/>
        </w:rPr>
      </w:pPr>
    </w:p>
    <w:p>
      <w:pPr>
        <w:jc w:val="both"/>
        <w:ind w:left="160" w:right="4259"/>
        <w:spacing w:after="0" w:line="268" w:lineRule="auto"/>
        <w:rPr>
          <w:sz w:val="20"/>
          <w:szCs w:val="20"/>
          <w:color w:val="auto"/>
        </w:rPr>
      </w:pPr>
      <w:r>
        <w:rPr>
          <w:rFonts w:ascii="Courier New" w:cs="Courier New" w:eastAsia="Courier New" w:hAnsi="Courier New"/>
          <w:sz w:val="16"/>
          <w:szCs w:val="16"/>
          <w:color w:val="auto"/>
        </w:rPr>
        <w:t>30,118 29,567 Accounts receivable, net of allowances of $1,779 and $2,025 .....................................</w:t>
      </w:r>
    </w:p>
    <w:p>
      <w:pPr>
        <w:jc w:val="center"/>
        <w:ind w:right="4099"/>
        <w:spacing w:after="0" w:line="233" w:lineRule="auto"/>
        <w:rPr>
          <w:sz w:val="20"/>
          <w:szCs w:val="20"/>
          <w:color w:val="auto"/>
        </w:rPr>
      </w:pPr>
      <w:r>
        <w:rPr>
          <w:rFonts w:ascii="Courier New" w:cs="Courier New" w:eastAsia="Courier New" w:hAnsi="Courier New"/>
          <w:sz w:val="18"/>
          <w:szCs w:val="18"/>
          <w:color w:val="auto"/>
        </w:rPr>
        <w:t>30,322 28,936 Inventories</w:t>
      </w:r>
    </w:p>
    <w:p>
      <w:pPr>
        <w:ind w:left="320"/>
        <w:spacing w:after="0"/>
        <w:rPr>
          <w:sz w:val="20"/>
          <w:szCs w:val="20"/>
          <w:color w:val="auto"/>
        </w:rPr>
      </w:pPr>
      <w:r>
        <w:rPr>
          <w:rFonts w:ascii="Courier New" w:cs="Courier New" w:eastAsia="Courier New" w:hAnsi="Courier New"/>
          <w:sz w:val="18"/>
          <w:szCs w:val="18"/>
          <w:color w:val="auto"/>
        </w:rPr>
        <w:t>............................................. 44,894</w:t>
      </w:r>
    </w:p>
    <w:p>
      <w:pPr>
        <w:sectPr>
          <w:pgSz w:w="11900" w:h="16838" w:orient="portrait"/>
          <w:cols w:equalWidth="0" w:num="1">
            <w:col w:w="10219"/>
          </w:cols>
          <w:pgMar w:left="240" w:top="1325" w:right="1440" w:bottom="0" w:gutter="0" w:footer="0" w:header="0"/>
          <w:type w:val="continuous"/>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41,046 Prepaid expenses and other current assets</w:t>
      </w:r>
    </w:p>
    <w:tbl>
      <w:tblPr>
        <w:tblLayout w:type="fixed"/>
        <w:tblInd w:w="0" w:type="dxa"/>
        <w:tblCellMar>
          <w:top w:w="0" w:type="dxa"/>
          <w:left w:w="0" w:type="dxa"/>
          <w:bottom w:w="0" w:type="dxa"/>
          <w:right w:w="0" w:type="dxa"/>
        </w:tblCellMar>
      </w:tblP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8,354 9,365 --------- --------- Total</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assets</w:t>
            </w: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189,740</w:t>
            </w:r>
          </w:p>
        </w:tc>
      </w:tr>
      <w:tr>
        <w:trPr>
          <w:trHeight w:val="203"/>
        </w:trPr>
        <w:tc>
          <w:tcPr>
            <w:tcW w:w="4900" w:type="dxa"/>
            <w:vAlign w:val="bottom"/>
            <w:gridSpan w:val="2"/>
          </w:tcPr>
          <w:p>
            <w:pPr>
              <w:jc w:val="center"/>
              <w:ind w:left="1139"/>
              <w:spacing w:after="0" w:line="203" w:lineRule="exact"/>
              <w:rPr>
                <w:sz w:val="20"/>
                <w:szCs w:val="20"/>
                <w:color w:val="auto"/>
              </w:rPr>
            </w:pPr>
            <w:r>
              <w:rPr>
                <w:rFonts w:ascii="Courier New" w:cs="Courier New" w:eastAsia="Courier New" w:hAnsi="Courier New"/>
                <w:sz w:val="18"/>
                <w:szCs w:val="18"/>
                <w:color w:val="auto"/>
                <w:w w:val="97"/>
              </w:rPr>
              <w:t>187,893 Non-current investments</w:t>
            </w:r>
          </w:p>
        </w:tc>
        <w:tc>
          <w:tcPr>
            <w:tcW w:w="1160" w:type="dxa"/>
            <w:vAlign w:val="bottom"/>
          </w:tcPr>
          <w:p>
            <w:pPr>
              <w:spacing w:after="0"/>
              <w:rPr>
                <w:sz w:val="17"/>
                <w:szCs w:val="17"/>
                <w:color w:val="auto"/>
              </w:rPr>
            </w:pPr>
          </w:p>
        </w:tc>
      </w:tr>
      <w:tr>
        <w:trPr>
          <w:trHeight w:val="203"/>
        </w:trPr>
        <w:tc>
          <w:tcPr>
            <w:tcW w:w="1700" w:type="dxa"/>
            <w:vAlign w:val="bottom"/>
          </w:tcPr>
          <w:p>
            <w:pPr>
              <w:jc w:val="right"/>
              <w:spacing w:after="0"/>
              <w:rPr>
                <w:sz w:val="20"/>
                <w:szCs w:val="20"/>
                <w:color w:val="auto"/>
              </w:rPr>
            </w:pPr>
            <w:r>
              <w:rPr>
                <w:rFonts w:ascii="Courier New" w:cs="Courier New" w:eastAsia="Courier New" w:hAnsi="Courier New"/>
                <w:sz w:val="11"/>
                <w:szCs w:val="11"/>
                <w:color w:val="auto"/>
                <w:w w:val="74"/>
              </w:rPr>
              <w:t>..................................</w:t>
            </w: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105,911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98,197</w:t>
            </w:r>
          </w:p>
        </w:tc>
      </w:tr>
      <w:tr>
        <w:trPr>
          <w:trHeight w:val="203"/>
        </w:trPr>
        <w:tc>
          <w:tcPr>
            <w:tcW w:w="4900" w:type="dxa"/>
            <w:vAlign w:val="bottom"/>
            <w:gridSpan w:val="2"/>
          </w:tcPr>
          <w:p>
            <w:pPr>
              <w:jc w:val="center"/>
              <w:ind w:left="1139"/>
              <w:spacing w:after="0" w:line="203" w:lineRule="exact"/>
              <w:rPr>
                <w:sz w:val="20"/>
                <w:szCs w:val="20"/>
                <w:color w:val="auto"/>
              </w:rPr>
            </w:pPr>
            <w:r>
              <w:rPr>
                <w:rFonts w:ascii="Courier New" w:cs="Courier New" w:eastAsia="Courier New" w:hAnsi="Courier New"/>
                <w:sz w:val="18"/>
                <w:szCs w:val="18"/>
                <w:color w:val="auto"/>
                <w:w w:val="97"/>
              </w:rPr>
              <w:t>Property, plant, and equipment, net</w:t>
            </w:r>
          </w:p>
        </w:tc>
        <w:tc>
          <w:tcPr>
            <w:tcW w:w="116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c>
          <w:tcPr>
            <w:tcW w:w="4360" w:type="dxa"/>
            <w:vAlign w:val="bottom"/>
            <w:gridSpan w:val="2"/>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20,213 20,072 Deferred income</w:t>
            </w:r>
          </w:p>
        </w:tc>
      </w:tr>
      <w:tr>
        <w:trPr>
          <w:trHeight w:val="203"/>
        </w:trPr>
        <w:tc>
          <w:tcPr>
            <w:tcW w:w="1700" w:type="dxa"/>
            <w:vAlign w:val="bottom"/>
          </w:tcPr>
          <w:p>
            <w:pPr>
              <w:jc w:val="right"/>
              <w:spacing w:after="0"/>
              <w:rPr>
                <w:sz w:val="20"/>
                <w:szCs w:val="20"/>
                <w:color w:val="auto"/>
              </w:rPr>
            </w:pPr>
            <w:r>
              <w:rPr>
                <w:rFonts w:ascii="Courier New" w:cs="Courier New" w:eastAsia="Courier New" w:hAnsi="Courier New"/>
                <w:sz w:val="9"/>
                <w:szCs w:val="9"/>
                <w:color w:val="auto"/>
                <w:w w:val="74"/>
              </w:rPr>
              <w:t>taxes, net ...............................</w:t>
            </w:r>
          </w:p>
        </w:tc>
        <w:tc>
          <w:tcPr>
            <w:tcW w:w="4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18,471 21,369</w:t>
            </w:r>
          </w:p>
        </w:tc>
      </w:tr>
      <w:tr>
        <w:trPr>
          <w:trHeight w:val="203"/>
        </w:trPr>
        <w:tc>
          <w:tcPr>
            <w:tcW w:w="4900" w:type="dxa"/>
            <w:vAlign w:val="bottom"/>
            <w:gridSpan w:val="2"/>
          </w:tcPr>
          <w:p>
            <w:pPr>
              <w:jc w:val="center"/>
              <w:ind w:left="1139"/>
              <w:spacing w:after="0" w:line="203" w:lineRule="exact"/>
              <w:rPr>
                <w:sz w:val="20"/>
                <w:szCs w:val="20"/>
                <w:color w:val="auto"/>
              </w:rPr>
            </w:pPr>
            <w:r>
              <w:rPr>
                <w:rFonts w:ascii="Courier New" w:cs="Courier New" w:eastAsia="Courier New" w:hAnsi="Courier New"/>
                <w:sz w:val="18"/>
                <w:szCs w:val="18"/>
                <w:color w:val="auto"/>
                <w:w w:val="97"/>
              </w:rPr>
              <w:t>Identifiable intangible assets, net</w:t>
            </w:r>
          </w:p>
        </w:tc>
        <w:tc>
          <w:tcPr>
            <w:tcW w:w="116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c>
          <w:tcPr>
            <w:tcW w:w="436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rPr>
              <w:t>52,974 52,435</w:t>
            </w: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Goodwill..................................................</w:t>
            </w:r>
          </w:p>
        </w:tc>
        <w:tc>
          <w:tcPr>
            <w:tcW w:w="11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20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6"/>
              </w:rPr>
              <w:t>28,135 26,683 Other assets</w:t>
            </w:r>
          </w:p>
        </w:tc>
        <w:tc>
          <w:tcPr>
            <w:tcW w:w="1160" w:type="dxa"/>
            <w:vAlign w:val="bottom"/>
          </w:tcPr>
          <w:p>
            <w:pPr>
              <w:spacing w:after="0"/>
              <w:rPr>
                <w:sz w:val="17"/>
                <w:szCs w:val="17"/>
                <w:color w:val="auto"/>
              </w:rPr>
            </w:pPr>
          </w:p>
        </w:tc>
      </w:tr>
      <w:tr>
        <w:trPr>
          <w:trHeight w:val="203"/>
        </w:trPr>
        <w:tc>
          <w:tcPr>
            <w:tcW w:w="4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5,695 5,877</w:t>
            </w:r>
          </w:p>
        </w:tc>
      </w:tr>
    </w:tbl>
    <w:p>
      <w:pPr>
        <w:ind w:left="1380"/>
        <w:spacing w:after="0" w:line="238" w:lineRule="auto"/>
        <w:rPr>
          <w:sz w:val="20"/>
          <w:szCs w:val="20"/>
          <w:color w:val="auto"/>
        </w:rPr>
      </w:pPr>
      <w:r>
        <w:rPr>
          <w:rFonts w:ascii="Courier New" w:cs="Courier New" w:eastAsia="Courier New" w:hAnsi="Courier New"/>
          <w:sz w:val="18"/>
          <w:szCs w:val="18"/>
          <w:color w:val="auto"/>
        </w:rPr>
        <w:t>--------- --------- Total assets</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$ 421,139</w:t>
      </w:r>
    </w:p>
    <w:p>
      <w:pPr>
        <w:spacing w:after="0" w:line="21" w:lineRule="exact"/>
        <w:rPr>
          <w:sz w:val="20"/>
          <w:szCs w:val="20"/>
          <w:color w:val="auto"/>
        </w:rPr>
      </w:pPr>
    </w:p>
    <w:p>
      <w:pPr>
        <w:ind w:left="420" w:right="4519" w:firstLine="270"/>
        <w:spacing w:after="0" w:line="268" w:lineRule="auto"/>
        <w:tabs>
          <w:tab w:leader="none" w:pos="8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412,526 ========= ========= LIABILITIES AND STOCKHOLDERS' EQUITY Current Liabilities: Accounts</w:t>
      </w:r>
    </w:p>
    <w:tbl>
      <w:tblPr>
        <w:tblLayout w:type="fixed"/>
        <w:tblInd w:w="220" w:type="dxa"/>
        <w:tblCellMar>
          <w:top w:w="0" w:type="dxa"/>
          <w:left w:w="0" w:type="dxa"/>
          <w:bottom w:w="0" w:type="dxa"/>
          <w:right w:w="0" w:type="dxa"/>
        </w:tblCellMar>
      </w:tblPr>
      <w:tr>
        <w:trPr>
          <w:trHeight w:val="199"/>
        </w:trPr>
        <w:tc>
          <w:tcPr>
            <w:tcW w:w="5100" w:type="dxa"/>
            <w:vAlign w:val="bottom"/>
          </w:tcPr>
          <w:p>
            <w:pPr>
              <w:spacing w:after="0" w:line="198" w:lineRule="exact"/>
              <w:rPr>
                <w:sz w:val="20"/>
                <w:szCs w:val="20"/>
                <w:color w:val="auto"/>
              </w:rPr>
            </w:pPr>
            <w:r>
              <w:rPr>
                <w:rFonts w:ascii="Courier New" w:cs="Courier New" w:eastAsia="Courier New" w:hAnsi="Courier New"/>
                <w:sz w:val="18"/>
                <w:szCs w:val="18"/>
                <w:color w:val="auto"/>
                <w:w w:val="97"/>
              </w:rPr>
              <w:t>payable, trade .................................</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6,878</w:t>
            </w:r>
          </w:p>
        </w:tc>
      </w:tr>
    </w:tbl>
    <w:p>
      <w:pPr>
        <w:ind w:left="320"/>
        <w:spacing w:after="0" w:line="238" w:lineRule="auto"/>
        <w:rPr>
          <w:sz w:val="20"/>
          <w:szCs w:val="20"/>
          <w:color w:val="auto"/>
        </w:rPr>
      </w:pPr>
      <w:r>
        <w:rPr>
          <w:rFonts w:ascii="Courier New" w:cs="Courier New" w:eastAsia="Courier New" w:hAnsi="Courier New"/>
          <w:sz w:val="18"/>
          <w:szCs w:val="18"/>
          <w:color w:val="auto"/>
        </w:rPr>
        <w:t>7,947 Accrued expenses and other current liabilities</w:t>
      </w:r>
    </w:p>
    <w:tbl>
      <w:tblPr>
        <w:tblLayout w:type="fixed"/>
        <w:tblInd w:w="60" w:type="dxa"/>
        <w:tblCellMar>
          <w:top w:w="0" w:type="dxa"/>
          <w:left w:w="0" w:type="dxa"/>
          <w:bottom w:w="0" w:type="dxa"/>
          <w:right w:w="0" w:type="dxa"/>
        </w:tblCellMar>
      </w:tblPr>
      <w:tr>
        <w:trPr>
          <w:trHeight w:val="203"/>
        </w:trPr>
        <w:tc>
          <w:tcPr>
            <w:tcW w:w="2260" w:type="dxa"/>
            <w:vAlign w:val="bottom"/>
          </w:tcPr>
          <w:p>
            <w:pPr>
              <w:jc w:val="right"/>
              <w:ind w:right="21"/>
              <w:spacing w:after="0"/>
              <w:rPr>
                <w:sz w:val="20"/>
                <w:szCs w:val="20"/>
                <w:color w:val="auto"/>
              </w:rPr>
            </w:pPr>
            <w:r>
              <w:rPr>
                <w:rFonts w:ascii="Courier New" w:cs="Courier New" w:eastAsia="Courier New" w:hAnsi="Courier New"/>
                <w:sz w:val="18"/>
                <w:szCs w:val="18"/>
                <w:color w:val="auto"/>
              </w:rPr>
              <w:t>.......... 12,816</w:t>
            </w:r>
          </w:p>
        </w:tc>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12,671 --------- --------- Total</w:t>
            </w:r>
          </w:p>
        </w:tc>
      </w:tr>
      <w:tr>
        <w:trPr>
          <w:trHeight w:val="203"/>
        </w:trPr>
        <w:tc>
          <w:tcPr>
            <w:tcW w:w="226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9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8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19,694</w:t>
            </w:r>
          </w:p>
        </w:tc>
      </w:tr>
      <w:tr>
        <w:trPr>
          <w:trHeight w:val="203"/>
        </w:trPr>
        <w:tc>
          <w:tcPr>
            <w:tcW w:w="5180" w:type="dxa"/>
            <w:vAlign w:val="bottom"/>
            <w:gridSpan w:val="2"/>
          </w:tcPr>
          <w:p>
            <w:pPr>
              <w:jc w:val="center"/>
              <w:ind w:left="741"/>
              <w:spacing w:after="0" w:line="203" w:lineRule="exact"/>
              <w:rPr>
                <w:sz w:val="20"/>
                <w:szCs w:val="20"/>
                <w:color w:val="auto"/>
              </w:rPr>
            </w:pPr>
            <w:r>
              <w:rPr>
                <w:rFonts w:ascii="Courier New" w:cs="Courier New" w:eastAsia="Courier New" w:hAnsi="Courier New"/>
                <w:sz w:val="18"/>
                <w:szCs w:val="18"/>
                <w:color w:val="auto"/>
                <w:w w:val="96"/>
              </w:rPr>
              <w:t>20,618 Long-term debt</w:t>
            </w:r>
          </w:p>
        </w:tc>
        <w:tc>
          <w:tcPr>
            <w:tcW w:w="820" w:type="dxa"/>
            <w:vAlign w:val="bottom"/>
          </w:tcPr>
          <w:p>
            <w:pPr>
              <w:spacing w:after="0"/>
              <w:rPr>
                <w:sz w:val="17"/>
                <w:szCs w:val="17"/>
                <w:color w:val="auto"/>
              </w:rPr>
            </w:pPr>
          </w:p>
        </w:tc>
      </w:tr>
      <w:tr>
        <w:trPr>
          <w:trHeight w:val="203"/>
        </w:trPr>
        <w:tc>
          <w:tcPr>
            <w:tcW w:w="226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3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119,742</w:t>
            </w:r>
          </w:p>
        </w:tc>
      </w:tr>
      <w:tr>
        <w:trPr>
          <w:trHeight w:val="203"/>
        </w:trPr>
        <w:tc>
          <w:tcPr>
            <w:tcW w:w="5180" w:type="dxa"/>
            <w:vAlign w:val="bottom"/>
            <w:gridSpan w:val="2"/>
          </w:tcPr>
          <w:p>
            <w:pPr>
              <w:jc w:val="center"/>
              <w:ind w:left="741"/>
              <w:spacing w:after="0" w:line="203" w:lineRule="exact"/>
              <w:rPr>
                <w:sz w:val="20"/>
                <w:szCs w:val="20"/>
                <w:color w:val="auto"/>
              </w:rPr>
            </w:pPr>
            <w:r>
              <w:rPr>
                <w:rFonts w:ascii="Courier New" w:cs="Courier New" w:eastAsia="Courier New" w:hAnsi="Courier New"/>
                <w:sz w:val="18"/>
                <w:szCs w:val="18"/>
                <w:color w:val="auto"/>
                <w:w w:val="97"/>
              </w:rPr>
              <w:t>119,257 Other liabilities</w:t>
            </w:r>
          </w:p>
        </w:tc>
        <w:tc>
          <w:tcPr>
            <w:tcW w:w="820" w:type="dxa"/>
            <w:vAlign w:val="bottom"/>
          </w:tcPr>
          <w:p>
            <w:pPr>
              <w:spacing w:after="0"/>
              <w:rPr>
                <w:sz w:val="17"/>
                <w:szCs w:val="17"/>
                <w:color w:val="auto"/>
              </w:rPr>
            </w:pPr>
          </w:p>
        </w:tc>
      </w:tr>
      <w:tr>
        <w:trPr>
          <w:trHeight w:val="203"/>
        </w:trPr>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3,688 4,121 ----</w:t>
            </w:r>
          </w:p>
        </w:tc>
      </w:tr>
      <w:tr>
        <w:trPr>
          <w:trHeight w:val="203"/>
        </w:trPr>
        <w:tc>
          <w:tcPr>
            <w:tcW w:w="5180" w:type="dxa"/>
            <w:vAlign w:val="bottom"/>
            <w:gridSpan w:val="2"/>
          </w:tcPr>
          <w:p>
            <w:pPr>
              <w:jc w:val="center"/>
              <w:ind w:left="741"/>
              <w:spacing w:after="0" w:line="203" w:lineRule="exact"/>
              <w:rPr>
                <w:sz w:val="20"/>
                <w:szCs w:val="20"/>
                <w:color w:val="auto"/>
              </w:rPr>
            </w:pPr>
            <w:r>
              <w:rPr>
                <w:rFonts w:ascii="Courier New" w:cs="Courier New" w:eastAsia="Courier New" w:hAnsi="Courier New"/>
                <w:sz w:val="18"/>
                <w:szCs w:val="18"/>
                <w:color w:val="auto"/>
                <w:w w:val="97"/>
              </w:rPr>
              <w:t>----- --------- Total liabilities</w:t>
            </w:r>
          </w:p>
        </w:tc>
        <w:tc>
          <w:tcPr>
            <w:tcW w:w="820" w:type="dxa"/>
            <w:vAlign w:val="bottom"/>
          </w:tcPr>
          <w:p>
            <w:pPr>
              <w:spacing w:after="0"/>
              <w:rPr>
                <w:sz w:val="17"/>
                <w:szCs w:val="17"/>
                <w:color w:val="auto"/>
              </w:rPr>
            </w:pPr>
          </w:p>
        </w:tc>
      </w:tr>
      <w:tr>
        <w:trPr>
          <w:trHeight w:val="203"/>
        </w:trPr>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0"/>
              </w:rPr>
              <w:t>.........................................</w:t>
            </w:r>
          </w:p>
        </w:tc>
        <w:tc>
          <w:tcPr>
            <w:tcW w:w="2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143,124</w:t>
            </w: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143,996</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Commitments and contingencies Stockholders' Equity:</w:t>
      </w:r>
    </w:p>
    <w:p>
      <w:pPr>
        <w:spacing w:after="0" w:line="5" w:lineRule="exact"/>
        <w:rPr>
          <w:sz w:val="20"/>
          <w:szCs w:val="20"/>
          <w:color w:val="auto"/>
        </w:rPr>
      </w:pPr>
    </w:p>
    <w:p>
      <w:pPr>
        <w:ind w:left="160" w:right="4219" w:hanging="52"/>
        <w:spacing w:after="0" w:line="268" w:lineRule="auto"/>
        <w:rPr>
          <w:sz w:val="20"/>
          <w:szCs w:val="20"/>
          <w:color w:val="auto"/>
        </w:rPr>
      </w:pPr>
      <w:r>
        <w:rPr>
          <w:rFonts w:ascii="Courier New" w:cs="Courier New" w:eastAsia="Courier New" w:hAnsi="Courier New"/>
          <w:sz w:val="16"/>
          <w:szCs w:val="16"/>
          <w:color w:val="auto"/>
        </w:rPr>
        <w:t>Common stock; $0.01 par value; 60,000 authorized shares; 28,734 and 28,611 issued at March 31, 2004 and December</w:t>
      </w:r>
    </w:p>
    <w:tbl>
      <w:tblPr>
        <w:tblLayout w:type="fixed"/>
        <w:tblInd w:w="60" w:type="dxa"/>
        <w:tblCellMar>
          <w:top w:w="0" w:type="dxa"/>
          <w:left w:w="0" w:type="dxa"/>
          <w:bottom w:w="0" w:type="dxa"/>
          <w:right w:w="0" w:type="dxa"/>
        </w:tblCellMar>
      </w:tblPr>
      <w:tr>
        <w:trPr>
          <w:trHeight w:val="199"/>
        </w:trPr>
        <w:tc>
          <w:tcPr>
            <w:tcW w:w="484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7"/>
              </w:rPr>
              <w:t>31, 2003, respectively .......................</w:t>
            </w:r>
          </w:p>
        </w:tc>
        <w:tc>
          <w:tcPr>
            <w:tcW w:w="6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287</w:t>
            </w:r>
          </w:p>
        </w:tc>
        <w:tc>
          <w:tcPr>
            <w:tcW w:w="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286</w:t>
            </w:r>
          </w:p>
        </w:tc>
      </w:tr>
      <w:tr>
        <w:trPr>
          <w:trHeight w:val="203"/>
        </w:trPr>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Additional paid-in capital ..............................</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288,620 286,716 Treasury stock, at cost;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219</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at</w:t>
            </w:r>
          </w:p>
        </w:tc>
      </w:tr>
      <w:tr>
        <w:trPr>
          <w:trHeight w:val="203"/>
        </w:trPr>
        <w:tc>
          <w:tcPr>
            <w:tcW w:w="4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March 31, 2004 and December 31,</w:t>
            </w:r>
          </w:p>
        </w:tc>
        <w:tc>
          <w:tcPr>
            <w:tcW w:w="1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2003</w:t>
            </w:r>
          </w:p>
        </w:tc>
        <w:tc>
          <w:tcPr>
            <w:tcW w:w="420" w:type="dxa"/>
            <w:vAlign w:val="bottom"/>
          </w:tcPr>
          <w:p>
            <w:pPr>
              <w:spacing w:after="0"/>
              <w:rPr>
                <w:sz w:val="17"/>
                <w:szCs w:val="17"/>
                <w:color w:val="auto"/>
              </w:rPr>
            </w:pPr>
          </w:p>
        </w:tc>
      </w:tr>
      <w:tr>
        <w:trPr>
          <w:trHeight w:val="203"/>
        </w:trPr>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(5,236) (5,236)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r>
      <w:tr>
        <w:trPr>
          <w:trHeight w:val="203"/>
        </w:trPr>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6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4" w:lineRule="exact"/>
        <w:rPr>
          <w:sz w:val="20"/>
          <w:szCs w:val="20"/>
          <w:color w:val="auto"/>
        </w:rPr>
      </w:pPr>
    </w:p>
    <w:p>
      <w:pPr>
        <w:ind w:left="220" w:right="4319" w:firstLine="206"/>
        <w:spacing w:after="0" w:line="268" w:lineRule="auto"/>
        <w:tabs>
          <w:tab w:leader="none" w:pos="8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Accumulated other comprehensive income (loss): Unrealized gain on available-for-sale securities .....</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408 63 Foreign currency translation adjustment</w:t>
      </w:r>
    </w:p>
    <w:p>
      <w:pPr>
        <w:spacing w:after="0" w:line="203" w:lineRule="exact"/>
        <w:rPr>
          <w:sz w:val="20"/>
          <w:szCs w:val="20"/>
          <w:color w:val="auto"/>
        </w:rPr>
      </w:pPr>
    </w:p>
    <w:p>
      <w:pPr>
        <w:ind w:left="60" w:right="4159" w:firstLine="263"/>
        <w:spacing w:after="0" w:line="271" w:lineRule="auto"/>
        <w:rPr>
          <w:sz w:val="20"/>
          <w:szCs w:val="20"/>
          <w:color w:val="auto"/>
        </w:rPr>
      </w:pPr>
      <w:r>
        <w:rPr>
          <w:rFonts w:ascii="Courier New" w:cs="Courier New" w:eastAsia="Courier New" w:hAnsi="Courier New"/>
          <w:sz w:val="16"/>
          <w:szCs w:val="16"/>
          <w:color w:val="auto"/>
        </w:rPr>
        <w:t>.............. 5,229 5,400 Minimum pension liability adjustment ................. (1,266) (1,232) Accumulated deficit ..................................... (10,024) (17,462) --------- --------- Total stockholders' equity ............................ 278,015 268,530 --------- -- ------- Total liabilities and stockholders' equity ............... $ 421,139 $ 412,526 ========= ========= The accompanying notes are an integral part of these consolidated financial statements</w:t>
      </w:r>
    </w:p>
    <w:p>
      <w:pPr>
        <w:spacing w:after="0" w:line="17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4" w:name="page5"/>
    <w:bookmarkEnd w:id="4"/>
    <w:p>
      <w:pPr>
        <w:jc w:val="center"/>
        <w:ind w:right="1680"/>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68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6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w:t>
      </w:r>
    </w:p>
    <w:p>
      <w:pPr>
        <w:jc w:val="right"/>
        <w:spacing w:after="0" w:line="238" w:lineRule="auto"/>
        <w:rPr>
          <w:sz w:val="20"/>
          <w:szCs w:val="20"/>
          <w:color w:val="auto"/>
        </w:rPr>
      </w:pPr>
      <w:r>
        <w:rPr>
          <w:rFonts w:ascii="Courier New" w:cs="Courier New" w:eastAsia="Courier New" w:hAnsi="Courier New"/>
          <w:sz w:val="18"/>
          <w:szCs w:val="18"/>
          <w:color w:val="auto"/>
        </w:rPr>
        <w:t>Three Months Ended March 31,</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600"/>
        <w:spacing w:after="0"/>
        <w:tabs>
          <w:tab w:leader="none" w:pos="946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2003</w:t>
      </w:r>
    </w:p>
    <w:p>
      <w:pPr>
        <w:ind w:left="7600"/>
        <w:spacing w:after="0" w:line="238" w:lineRule="auto"/>
        <w:tabs>
          <w:tab w:leader="none" w:pos="9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8"/>
          <w:szCs w:val="18"/>
          <w:color w:val="auto"/>
        </w:rPr>
        <w:t xml:space="preserve">OPERATING ACTIVITIES: </w:t>
      </w:r>
      <w:r>
        <w:rPr>
          <w:rFonts w:ascii="Courier New" w:cs="Courier New" w:eastAsia="Courier New" w:hAnsi="Courier New"/>
          <w:sz w:val="18"/>
          <w:szCs w:val="18"/>
          <w:color w:val="auto"/>
          <w:strike w:val="1"/>
        </w:rPr>
        <w:t>Net income</w:t>
      </w:r>
    </w:p>
    <w:p>
      <w:pPr>
        <w:spacing w:after="0" w:line="238"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480" w:right="4680" w:hanging="316"/>
        <w:spacing w:after="0" w:line="268" w:lineRule="auto"/>
        <w:tabs>
          <w:tab w:leader="none" w:pos="374" w:val="left"/>
        </w:tabs>
        <w:numPr>
          <w:ilvl w:val="0"/>
          <w:numId w:val="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7,438 $ 5,438 Adjustments to reconcile net income to net cash provided by operating activities:</w:t>
      </w:r>
    </w:p>
    <w:p>
      <w:pPr>
        <w:ind w:left="13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Depreciation and amortization</w:t>
      </w:r>
    </w:p>
    <w:p>
      <w:pPr>
        <w:ind w:left="380"/>
        <w:spacing w:after="0"/>
        <w:rPr>
          <w:sz w:val="20"/>
          <w:szCs w:val="20"/>
          <w:color w:val="auto"/>
        </w:rPr>
      </w:pPr>
      <w:r>
        <w:rPr>
          <w:rFonts w:ascii="Courier New" w:cs="Courier New" w:eastAsia="Courier New" w:hAnsi="Courier New"/>
          <w:sz w:val="18"/>
          <w:szCs w:val="18"/>
          <w:color w:val="auto"/>
          <w:strike w:val="1"/>
        </w:rPr>
        <w:t>................................... 2,162 1,477</w:t>
      </w:r>
    </w:p>
    <w:p>
      <w:pPr>
        <w:jc w:val="center"/>
        <w:ind w:right="4520"/>
        <w:spacing w:after="0" w:line="237" w:lineRule="auto"/>
        <w:rPr>
          <w:sz w:val="20"/>
          <w:szCs w:val="20"/>
          <w:color w:val="auto"/>
        </w:rPr>
      </w:pPr>
      <w:r>
        <w:rPr>
          <w:rFonts w:ascii="Courier New" w:cs="Courier New" w:eastAsia="Courier New" w:hAnsi="Courier New"/>
          <w:sz w:val="18"/>
          <w:szCs w:val="18"/>
          <w:color w:val="auto"/>
          <w:strike w:val="1"/>
        </w:rPr>
        <w:t>Deferred income tax provision</w:t>
      </w:r>
    </w:p>
    <w:p>
      <w:pPr>
        <w:ind w:left="380"/>
        <w:spacing w:after="0" w:line="238" w:lineRule="auto"/>
        <w:rPr>
          <w:sz w:val="20"/>
          <w:szCs w:val="20"/>
          <w:color w:val="auto"/>
        </w:rPr>
      </w:pPr>
      <w:r>
        <w:rPr>
          <w:rFonts w:ascii="Courier New" w:cs="Courier New" w:eastAsia="Courier New" w:hAnsi="Courier New"/>
          <w:sz w:val="18"/>
          <w:szCs w:val="18"/>
          <w:color w:val="auto"/>
          <w:strike w:val="1"/>
        </w:rPr>
        <w:t>................................... 3,159 2,585</w:t>
      </w:r>
    </w:p>
    <w:p>
      <w:pPr>
        <w:jc w:val="center"/>
        <w:ind w:right="4520"/>
        <w:spacing w:after="0"/>
        <w:rPr>
          <w:sz w:val="20"/>
          <w:szCs w:val="20"/>
          <w:color w:val="auto"/>
        </w:rPr>
      </w:pPr>
      <w:r>
        <w:rPr>
          <w:rFonts w:ascii="Courier New" w:cs="Courier New" w:eastAsia="Courier New" w:hAnsi="Courier New"/>
          <w:sz w:val="18"/>
          <w:szCs w:val="18"/>
          <w:color w:val="auto"/>
          <w:strike w:val="1"/>
        </w:rPr>
        <w:t>Amortization of discount and premium on investments</w:t>
      </w:r>
    </w:p>
    <w:p>
      <w:pPr>
        <w:ind w:left="1160"/>
        <w:spacing w:after="0" w:line="237" w:lineRule="auto"/>
        <w:rPr>
          <w:sz w:val="20"/>
          <w:szCs w:val="20"/>
          <w:color w:val="auto"/>
        </w:rPr>
      </w:pPr>
      <w:r>
        <w:rPr>
          <w:rFonts w:ascii="Courier New" w:cs="Courier New" w:eastAsia="Courier New" w:hAnsi="Courier New"/>
          <w:sz w:val="18"/>
          <w:szCs w:val="18"/>
          <w:color w:val="auto"/>
          <w:strike w:val="1"/>
        </w:rPr>
        <w:t>............. 587 436 Other, net</w:t>
      </w:r>
    </w:p>
    <w:p>
      <w:pPr>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ind w:left="640" w:right="4640" w:hanging="528"/>
        <w:spacing w:after="0" w:line="235" w:lineRule="auto"/>
        <w:tabs>
          <w:tab w:leader="none" w:pos="640" w:val="left"/>
        </w:tabs>
        <w:numPr>
          <w:ilvl w:val="0"/>
          <w:numId w:val="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(213) Changes in assets and liabilities, net of business acquisitions: Accounts receivable</w:t>
      </w:r>
    </w:p>
    <w:p>
      <w:pPr>
        <w:ind w:left="220"/>
        <w:spacing w:after="0"/>
        <w:rPr>
          <w:sz w:val="20"/>
          <w:szCs w:val="20"/>
          <w:color w:val="auto"/>
        </w:rPr>
      </w:pPr>
      <w:r>
        <w:rPr>
          <w:rFonts w:ascii="Courier New" w:cs="Courier New" w:eastAsia="Courier New" w:hAnsi="Courier New"/>
          <w:sz w:val="18"/>
          <w:szCs w:val="18"/>
          <w:color w:val="auto"/>
          <w:strike w:val="1"/>
        </w:rPr>
        <w:t>(1,129)</w:t>
      </w:r>
    </w:p>
    <w:p>
      <w:pPr>
        <w:ind w:left="1860"/>
        <w:spacing w:after="0" w:line="238" w:lineRule="auto"/>
        <w:rPr>
          <w:sz w:val="20"/>
          <w:szCs w:val="20"/>
          <w:color w:val="auto"/>
        </w:rPr>
      </w:pPr>
      <w:r>
        <w:rPr>
          <w:rFonts w:ascii="Courier New" w:cs="Courier New" w:eastAsia="Courier New" w:hAnsi="Courier New"/>
          <w:sz w:val="18"/>
          <w:szCs w:val="18"/>
          <w:color w:val="auto"/>
          <w:strike w:val="1"/>
        </w:rPr>
        <w:t>(1,225) Inventories</w:t>
      </w:r>
    </w:p>
    <w:p>
      <w:pPr>
        <w:ind w:left="220"/>
        <w:spacing w:after="0"/>
        <w:rPr>
          <w:sz w:val="20"/>
          <w:szCs w:val="20"/>
          <w:color w:val="auto"/>
        </w:rPr>
      </w:pPr>
      <w:r>
        <w:rPr>
          <w:rFonts w:ascii="Courier New" w:cs="Courier New" w:eastAsia="Courier New" w:hAnsi="Courier New"/>
          <w:sz w:val="18"/>
          <w:szCs w:val="18"/>
          <w:color w:val="auto"/>
          <w:strike w:val="1"/>
        </w:rPr>
        <w:t>..................................................</w:t>
      </w:r>
    </w:p>
    <w:p>
      <w:pPr>
        <w:ind w:left="320"/>
        <w:spacing w:after="0" w:line="237" w:lineRule="auto"/>
        <w:rPr>
          <w:sz w:val="20"/>
          <w:szCs w:val="20"/>
          <w:color w:val="auto"/>
        </w:rPr>
      </w:pPr>
      <w:r>
        <w:rPr>
          <w:rFonts w:ascii="Courier New" w:cs="Courier New" w:eastAsia="Courier New" w:hAnsi="Courier New"/>
          <w:sz w:val="18"/>
          <w:szCs w:val="18"/>
          <w:color w:val="auto"/>
          <w:strike w:val="1"/>
        </w:rPr>
        <w:t>(3,327) (250) Prepaid expenses and other current</w:t>
      </w:r>
    </w:p>
    <w:p>
      <w:pPr>
        <w:ind w:left="380"/>
        <w:spacing w:after="0"/>
        <w:tabs>
          <w:tab w:leader="dot" w:pos="3300" w:val="left"/>
        </w:tabs>
        <w:rPr>
          <w:sz w:val="20"/>
          <w:szCs w:val="20"/>
          <w:color w:val="auto"/>
        </w:rPr>
      </w:pPr>
      <w:r>
        <w:rPr>
          <w:rFonts w:ascii="Courier New" w:cs="Courier New" w:eastAsia="Courier New" w:hAnsi="Courier New"/>
          <w:sz w:val="18"/>
          <w:szCs w:val="18"/>
          <w:color w:val="auto"/>
          <w:strike w:val="1"/>
        </w:rPr>
        <w:t>assets</w:t>
      </w:r>
      <w:r>
        <w:rPr>
          <w:sz w:val="20"/>
          <w:szCs w:val="20"/>
          <w:color w:val="auto"/>
        </w:rPr>
        <w:tab/>
      </w:r>
      <w:r>
        <w:rPr>
          <w:rFonts w:ascii="Courier New" w:cs="Courier New" w:eastAsia="Courier New" w:hAnsi="Courier New"/>
          <w:sz w:val="16"/>
          <w:szCs w:val="16"/>
          <w:color w:val="auto"/>
          <w:strike w:val="1"/>
        </w:rPr>
        <w:t>481 545 Non-current</w:t>
      </w:r>
    </w:p>
    <w:p>
      <w:pPr>
        <w:ind w:left="60"/>
        <w:spacing w:after="0"/>
        <w:tabs>
          <w:tab w:leader="dot" w:pos="5420" w:val="left"/>
        </w:tabs>
        <w:rPr>
          <w:sz w:val="20"/>
          <w:szCs w:val="20"/>
          <w:color w:val="auto"/>
        </w:rPr>
      </w:pPr>
      <w:r>
        <w:rPr>
          <w:rFonts w:ascii="Courier New" w:cs="Courier New" w:eastAsia="Courier New" w:hAnsi="Courier New"/>
          <w:sz w:val="18"/>
          <w:szCs w:val="18"/>
          <w:color w:val="auto"/>
          <w:strike w:val="1"/>
        </w:rPr>
        <w:t>assets</w:t>
      </w:r>
      <w:r>
        <w:rPr>
          <w:sz w:val="20"/>
          <w:szCs w:val="20"/>
          <w:color w:val="auto"/>
        </w:rPr>
        <w:tab/>
      </w:r>
      <w:r>
        <w:rPr>
          <w:rFonts w:ascii="Courier New" w:cs="Courier New" w:eastAsia="Courier New" w:hAnsi="Courier New"/>
          <w:sz w:val="16"/>
          <w:szCs w:val="16"/>
          <w:color w:val="auto"/>
          <w:strike w:val="1"/>
        </w:rPr>
        <w:t>20</w:t>
      </w:r>
    </w:p>
    <w:p>
      <w:pPr>
        <w:ind w:left="320"/>
        <w:spacing w:after="0" w:line="237" w:lineRule="auto"/>
        <w:rPr>
          <w:sz w:val="20"/>
          <w:szCs w:val="20"/>
          <w:color w:val="auto"/>
        </w:rPr>
      </w:pPr>
      <w:r>
        <w:rPr>
          <w:rFonts w:ascii="Courier New" w:cs="Courier New" w:eastAsia="Courier New" w:hAnsi="Courier New"/>
          <w:sz w:val="18"/>
          <w:szCs w:val="18"/>
          <w:color w:val="auto"/>
          <w:strike w:val="1"/>
        </w:rPr>
        <w:t>385 Accounts payable, accrued expenses and other</w:t>
      </w:r>
    </w:p>
    <w:p>
      <w:pPr>
        <w:ind w:left="160"/>
        <w:spacing w:after="0"/>
        <w:tabs>
          <w:tab w:leader="dot" w:pos="2040" w:val="left"/>
        </w:tabs>
        <w:rPr>
          <w:sz w:val="20"/>
          <w:szCs w:val="20"/>
          <w:color w:val="auto"/>
        </w:rPr>
      </w:pPr>
      <w:r>
        <w:rPr>
          <w:rFonts w:ascii="Courier New" w:cs="Courier New" w:eastAsia="Courier New" w:hAnsi="Courier New"/>
          <w:sz w:val="18"/>
          <w:szCs w:val="18"/>
          <w:color w:val="auto"/>
          <w:strike w:val="1"/>
        </w:rPr>
        <w:t>liabilities</w:t>
      </w:r>
      <w:r>
        <w:rPr>
          <w:sz w:val="20"/>
          <w:szCs w:val="20"/>
          <w:color w:val="auto"/>
        </w:rPr>
        <w:tab/>
      </w:r>
      <w:r>
        <w:rPr>
          <w:rFonts w:ascii="Courier New" w:cs="Courier New" w:eastAsia="Courier New" w:hAnsi="Courier New"/>
          <w:sz w:val="16"/>
          <w:szCs w:val="16"/>
          <w:color w:val="auto"/>
          <w:strike w:val="1"/>
        </w:rPr>
        <w:t>1,472 (351) -------- -------- Net</w:t>
      </w:r>
    </w:p>
    <w:p>
      <w:pPr>
        <w:ind w:left="900"/>
        <w:spacing w:after="0" w:line="237" w:lineRule="auto"/>
        <w:rPr>
          <w:sz w:val="20"/>
          <w:szCs w:val="20"/>
          <w:color w:val="auto"/>
        </w:rPr>
      </w:pPr>
      <w:r>
        <w:rPr>
          <w:rFonts w:ascii="Courier New" w:cs="Courier New" w:eastAsia="Courier New" w:hAnsi="Courier New"/>
          <w:sz w:val="18"/>
          <w:szCs w:val="18"/>
          <w:color w:val="auto"/>
          <w:strike w:val="1"/>
        </w:rPr>
        <w:t>cash provided by operating activities</w:t>
      </w:r>
    </w:p>
    <w:p>
      <w:pPr>
        <w:ind w:left="60"/>
        <w:spacing w:after="0"/>
        <w:rPr>
          <w:sz w:val="20"/>
          <w:szCs w:val="20"/>
          <w:color w:val="auto"/>
        </w:rPr>
      </w:pPr>
      <w:r>
        <w:rPr>
          <w:rFonts w:ascii="Courier New" w:cs="Courier New" w:eastAsia="Courier New" w:hAnsi="Courier New"/>
          <w:sz w:val="18"/>
          <w:szCs w:val="18"/>
          <w:color w:val="auto"/>
          <w:strike w:val="1"/>
        </w:rPr>
        <w:t>10,850 8,827 -------- -------</w:t>
      </w:r>
    </w:p>
    <w:p>
      <w:pPr>
        <w:spacing w:after="0" w:line="3" w:lineRule="exact"/>
        <w:rPr>
          <w:sz w:val="20"/>
          <w:szCs w:val="20"/>
          <w:color w:val="auto"/>
        </w:rPr>
      </w:pPr>
    </w:p>
    <w:p>
      <w:pPr>
        <w:ind w:left="160" w:right="4680" w:firstLine="742"/>
        <w:spacing w:after="0" w:line="268" w:lineRule="auto"/>
        <w:tabs>
          <w:tab w:leader="none" w:pos="1108" w:val="left"/>
        </w:tabs>
        <w:numPr>
          <w:ilvl w:val="0"/>
          <w:numId w:val="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INVESTING ACTIVITIES: Proceeds from sales/maturities of available-for-sale investments.</w:t>
      </w:r>
    </w:p>
    <w:p>
      <w:pPr>
        <w:ind w:left="4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54,518 48,157 Purchases of available-for-sale</w:t>
      </w:r>
    </w:p>
    <w:p>
      <w:pPr>
        <w:spacing w:after="0" w:line="5" w:lineRule="exact"/>
        <w:rPr>
          <w:sz w:val="20"/>
          <w:szCs w:val="20"/>
          <w:color w:val="auto"/>
        </w:rPr>
      </w:pPr>
    </w:p>
    <w:p>
      <w:pPr>
        <w:jc w:val="center"/>
        <w:ind w:right="4520"/>
        <w:spacing w:after="0" w:line="268" w:lineRule="auto"/>
        <w:rPr>
          <w:sz w:val="20"/>
          <w:szCs w:val="20"/>
          <w:color w:val="auto"/>
        </w:rPr>
      </w:pPr>
      <w:r>
        <w:rPr>
          <w:rFonts w:ascii="Courier New" w:cs="Courier New" w:eastAsia="Courier New" w:hAnsi="Courier New"/>
          <w:sz w:val="16"/>
          <w:szCs w:val="16"/>
          <w:color w:val="auto"/>
          <w:strike w:val="1"/>
        </w:rPr>
        <w:t>investments ..................... (62,834) (21,349) Cash used in business acquisition, net of cash acquired ......... (3,890) (42,443) Purchases of property and equipment ............................. (2,875) (542) -------- -------- Net cash used in investing activities ........................... (15,081) (16,177) -------- -------- FINANCING ACTIVITIES: Proceeds from exercised stock options and</w:t>
      </w:r>
    </w:p>
    <w:p>
      <w:pPr>
        <w:ind w:left="380"/>
        <w:spacing w:after="0" w:line="235" w:lineRule="auto"/>
        <w:rPr>
          <w:sz w:val="20"/>
          <w:szCs w:val="20"/>
          <w:color w:val="auto"/>
        </w:rPr>
      </w:pPr>
      <w:r>
        <w:rPr>
          <w:rFonts w:ascii="Courier New" w:cs="Courier New" w:eastAsia="Courier New" w:hAnsi="Courier New"/>
          <w:sz w:val="18"/>
          <w:szCs w:val="18"/>
          <w:color w:val="auto"/>
          <w:strike w:val="1"/>
        </w:rPr>
        <w:t>warrants .............. 1,236 2,215 Purchase of</w:t>
      </w:r>
    </w:p>
    <w:p>
      <w:pPr>
        <w:ind w:left="60"/>
        <w:spacing w:after="0" w:line="238" w:lineRule="auto"/>
        <w:rPr>
          <w:sz w:val="20"/>
          <w:szCs w:val="20"/>
          <w:color w:val="auto"/>
        </w:rPr>
      </w:pPr>
      <w:r>
        <w:rPr>
          <w:rFonts w:ascii="Courier New" w:cs="Courier New" w:eastAsia="Courier New" w:hAnsi="Courier New"/>
          <w:sz w:val="18"/>
          <w:szCs w:val="18"/>
          <w:color w:val="auto"/>
          <w:strike w:val="1"/>
        </w:rPr>
        <w:t>treasury stock ......................................</w:t>
      </w:r>
    </w:p>
    <w:p>
      <w:pPr>
        <w:ind w:left="260"/>
        <w:spacing w:after="0"/>
        <w:rPr>
          <w:sz w:val="20"/>
          <w:szCs w:val="20"/>
          <w:color w:val="auto"/>
        </w:rPr>
      </w:pPr>
      <w:r>
        <w:rPr>
          <w:rFonts w:ascii="Courier New" w:cs="Courier New" w:eastAsia="Courier New" w:hAnsi="Courier New"/>
          <w:sz w:val="18"/>
          <w:szCs w:val="18"/>
          <w:color w:val="auto"/>
          <w:strike w:val="1"/>
        </w:rPr>
        <w:t>-- (35,325) Proceeds from issuance of convertible</w:t>
      </w:r>
    </w:p>
    <w:tbl>
      <w:tblPr>
        <w:tblLayout w:type="fixed"/>
        <w:tblInd w:w="60" w:type="dxa"/>
        <w:tblCellMar>
          <w:top w:w="0" w:type="dxa"/>
          <w:left w:w="0" w:type="dxa"/>
          <w:bottom w:w="0" w:type="dxa"/>
          <w:right w:w="0" w:type="dxa"/>
        </w:tblCellMar>
      </w:tblPr>
      <w:tr>
        <w:trPr>
          <w:trHeight w:val="202"/>
        </w:trPr>
        <w:tc>
          <w:tcPr>
            <w:tcW w:w="2900" w:type="dxa"/>
            <w:vAlign w:val="bottom"/>
          </w:tcPr>
          <w:p>
            <w:pPr>
              <w:spacing w:after="0" w:line="202" w:lineRule="exact"/>
              <w:rPr>
                <w:sz w:val="20"/>
                <w:szCs w:val="20"/>
                <w:color w:val="auto"/>
              </w:rPr>
            </w:pPr>
            <w:r>
              <w:rPr>
                <w:rFonts w:ascii="Courier New" w:cs="Courier New" w:eastAsia="Courier New" w:hAnsi="Courier New"/>
                <w:sz w:val="18"/>
                <w:szCs w:val="18"/>
                <w:color w:val="auto"/>
                <w:strike w:val="1"/>
                <w:w w:val="98"/>
              </w:rPr>
              <w:t>notes, net ................</w:t>
            </w:r>
          </w:p>
        </w:tc>
        <w:tc>
          <w:tcPr>
            <w:tcW w:w="2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strike w:val="1"/>
                <w:w w:val="98"/>
              </w:rPr>
              <w:t>-- 101,850 -------- -----</w:t>
            </w:r>
          </w:p>
        </w:tc>
      </w:tr>
    </w:tbl>
    <w:p>
      <w:pPr>
        <w:ind w:left="900" w:hanging="420"/>
        <w:spacing w:after="0" w:line="238" w:lineRule="auto"/>
        <w:tabs>
          <w:tab w:leader="none" w:pos="900" w:val="left"/>
        </w:tabs>
        <w:numPr>
          <w:ilvl w:val="0"/>
          <w:numId w:val="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Net cash provided by financing activities</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1,236 68,740 -------- -------</w:t>
      </w:r>
    </w:p>
    <w:p>
      <w:pPr>
        <w:ind w:left="900" w:hanging="209"/>
        <w:spacing w:after="0"/>
        <w:tabs>
          <w:tab w:leader="none" w:pos="900" w:val="left"/>
        </w:tabs>
        <w:numPr>
          <w:ilvl w:val="0"/>
          <w:numId w:val="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Effect of exchange rate changes on cash</w:t>
      </w:r>
    </w:p>
    <w:p>
      <w:pPr>
        <w:ind w:left="4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68 116 Net increase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strike w:val="1"/>
        </w:rPr>
        <w:t>(decrease) in cash and cash equivalents ............</w:t>
      </w:r>
    </w:p>
    <w:p>
      <w:pPr>
        <w:spacing w:after="0" w:line="200" w:lineRule="exact"/>
        <w:rPr>
          <w:sz w:val="20"/>
          <w:szCs w:val="20"/>
          <w:color w:val="auto"/>
        </w:rPr>
      </w:pPr>
    </w:p>
    <w:p>
      <w:pPr>
        <w:spacing w:after="0" w:line="206" w:lineRule="exact"/>
        <w:rPr>
          <w:sz w:val="20"/>
          <w:szCs w:val="20"/>
          <w:color w:val="auto"/>
        </w:rPr>
      </w:pPr>
    </w:p>
    <w:p>
      <w:pPr>
        <w:ind w:left="60" w:right="4580"/>
        <w:spacing w:after="0" w:line="268" w:lineRule="auto"/>
        <w:rPr>
          <w:sz w:val="20"/>
          <w:szCs w:val="20"/>
          <w:color w:val="auto"/>
        </w:rPr>
      </w:pPr>
      <w:r>
        <w:rPr>
          <w:rFonts w:ascii="Courier New" w:cs="Courier New" w:eastAsia="Courier New" w:hAnsi="Courier New"/>
          <w:sz w:val="16"/>
          <w:szCs w:val="16"/>
          <w:color w:val="auto"/>
          <w:strike w:val="1"/>
        </w:rPr>
        <w:t>(2,927) 61,506 Cash and cash equivalents at beginning of period ................ 78,979 43,583 -------- ---</w:t>
      </w:r>
    </w:p>
    <w:p>
      <w:pPr>
        <w:ind w:left="960" w:hanging="638"/>
        <w:spacing w:after="0" w:line="233" w:lineRule="auto"/>
        <w:tabs>
          <w:tab w:leader="none" w:pos="960" w:val="left"/>
        </w:tabs>
        <w:numPr>
          <w:ilvl w:val="0"/>
          <w:numId w:val="10"/>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Cash and cash equivalents at end of period</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$ 76,052 $105,089 ========</w:t>
      </w:r>
    </w:p>
    <w:p>
      <w:pPr>
        <w:jc w:val="center"/>
        <w:ind w:right="4520"/>
        <w:spacing w:after="0"/>
        <w:rPr>
          <w:sz w:val="20"/>
          <w:szCs w:val="20"/>
          <w:color w:val="auto"/>
        </w:rPr>
      </w:pPr>
      <w:r>
        <w:rPr>
          <w:rFonts w:ascii="Courier New" w:cs="Courier New" w:eastAsia="Courier New" w:hAnsi="Courier New"/>
          <w:sz w:val="18"/>
          <w:szCs w:val="18"/>
          <w:color w:val="auto"/>
          <w:strike w:val="1"/>
        </w:rPr>
        <w:t>======== The accompanying notes are an integral part</w:t>
      </w:r>
    </w:p>
    <w:p>
      <w:pPr>
        <w:jc w:val="center"/>
        <w:ind w:right="4520"/>
        <w:spacing w:after="0" w:line="237" w:lineRule="auto"/>
        <w:rPr>
          <w:sz w:val="20"/>
          <w:szCs w:val="20"/>
          <w:color w:val="auto"/>
        </w:rPr>
      </w:pPr>
      <w:r>
        <w:rPr>
          <w:rFonts w:ascii="Courier New" w:cs="Courier New" w:eastAsia="Courier New" w:hAnsi="Courier New"/>
          <w:sz w:val="18"/>
          <w:szCs w:val="18"/>
          <w:color w:val="auto"/>
          <w:strike w:val="1"/>
        </w:rPr>
        <w:t>of these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20"/>
          </w:cols>
          <w:pgMar w:left="240" w:top="1325" w:right="1439" w:bottom="1440" w:gutter="0" w:footer="0" w:header="0"/>
        </w:sectPr>
      </w:pPr>
    </w:p>
    <w:bookmarkStart w:id="5" w:name="page6"/>
    <w:bookmarkEnd w:id="5"/>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ind w:left="1480"/>
        <w:spacing w:after="0" w:line="238" w:lineRule="auto"/>
        <w:rPr>
          <w:sz w:val="20"/>
          <w:szCs w:val="20"/>
          <w:color w:val="auto"/>
        </w:rPr>
      </w:pPr>
      <w:r>
        <w:rPr>
          <w:rFonts w:ascii="Courier New" w:cs="Courier New" w:eastAsia="Courier New" w:hAnsi="Courier New"/>
          <w:sz w:val="18"/>
          <w:szCs w:val="18"/>
          <w:color w:val="auto"/>
        </w:rPr>
        <w:t>NOTES TO UNAUDITED CONSOLIDATED FINANCIAL STATEMENTS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opinion of management, the March 31, 2004 unaudited consolidated financial statements contain all adjustments (consisting only of normal recurring adjustments) necessary for a fair presentation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consolidated financial statements should be read in conjunction with the Company's consolidated financial statements for the year ended December 31, 2003 included in the Company's Annual Report on Form 10-K. Operating results for the three-month period ended March 31, 2004 are not necessarily indicative of the results to be expected for the entire year.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valuation allowances recorded against deferred tax assets, and loss contingencies. These estimates are based on historical experience and on various other assumptions that are believed to be reasonable under the current circumstances. Actual results could differ from these estimates.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Company has reclassified certain prior year amounts to conform with the current year's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December 2003, the FASB reissued FASB Interpretation No. 46 (FIN 46R), "Consolidation of Variable Interest Entities, an Interpretation of Accounting Research Bulletin No. 51" with certain modifications and clarifications. Applications of this guidance was effective for interests in certain variable interest entities commonly referred to as special purpose entities and for variable interest entities created or acquired after February 1, 2003 as of December 31, 2003. Application for all other types of variable interest entities created after February 1, 2003 is required for the period ended after March 15, 2004 unless previously applied. The Company adopted the revised interpretation of FIN 46 and it did not have a material effect on the Company's financial position or results of operations.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recognizes employee stock based compensation using the intrinsic value method prescribed by APB Opinion No. 25</w:t>
      </w: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"Accounting for Stock Issued to Employees" and FASB Interpretation No. 44 "Accounting for Certain Transactions Involving Stock Compensation - an interpretation of APB Opinion No. 25".</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25" w:right="1440" w:bottom="1440" w:gutter="0" w:footer="0" w:header="0"/>
        </w:sectPr>
      </w:pPr>
    </w:p>
    <w:bookmarkStart w:id="6" w:name="page7"/>
    <w:bookmarkEnd w:id="6"/>
    <w:p>
      <w:pPr>
        <w:ind w:right="1999"/>
        <w:spacing w:after="0" w:line="237" w:lineRule="auto"/>
        <w:rPr>
          <w:sz w:val="20"/>
          <w:szCs w:val="20"/>
          <w:color w:val="auto"/>
        </w:rPr>
      </w:pPr>
      <w:r>
        <w:rPr>
          <w:rFonts w:ascii="Courier New" w:cs="Courier New" w:eastAsia="Courier New" w:hAnsi="Courier New"/>
          <w:sz w:val="18"/>
          <w:szCs w:val="18"/>
          <w:color w:val="auto"/>
        </w:rPr>
        <w:t>Had the compensation cost for the Company's stock option plans been determined based on the fair value at the date of grant consistent with the provisions of SFAS No. 123, the Company's net income and basic and diluted net income per share would have been as follows: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Three Months Ended March 31,</w:t>
      </w:r>
    </w:p>
    <w:p>
      <w:pPr>
        <w:ind w:left="6120"/>
        <w:spacing w:after="0" w:line="238" w:lineRule="auto"/>
        <w:tabs>
          <w:tab w:leader="none" w:pos="758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2003</w:t>
      </w:r>
    </w:p>
    <w:p>
      <w:pPr>
        <w:ind w:left="590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5900"/>
        <w:spacing w:after="0" w:line="237" w:lineRule="auto"/>
        <w:rPr>
          <w:sz w:val="20"/>
          <w:szCs w:val="20"/>
          <w:color w:val="auto"/>
        </w:rPr>
      </w:pPr>
      <w:r>
        <w:rPr>
          <w:rFonts w:ascii="Courier New" w:cs="Courier New" w:eastAsia="Courier New" w:hAnsi="Courier New"/>
          <w:sz w:val="18"/>
          <w:szCs w:val="18"/>
          <w:color w:val="auto"/>
        </w:rPr>
        <w:t>(in thousands, except</w:t>
      </w:r>
    </w:p>
    <w:p>
      <w:pPr>
        <w:ind w:left="6120"/>
        <w:spacing w:after="0" w:line="238" w:lineRule="auto"/>
        <w:rPr>
          <w:sz w:val="20"/>
          <w:szCs w:val="20"/>
          <w:color w:val="auto"/>
        </w:rPr>
      </w:pPr>
      <w:r>
        <w:rPr>
          <w:rFonts w:ascii="Courier New" w:cs="Courier New" w:eastAsia="Courier New" w:hAnsi="Courier New"/>
          <w:sz w:val="18"/>
          <w:szCs w:val="18"/>
          <w:color w:val="auto"/>
        </w:rPr>
        <w:t>per share amounts)</w:t>
      </w:r>
    </w:p>
    <w:p>
      <w:pPr>
        <w:jc w:val="center"/>
        <w:ind w:right="5999"/>
        <w:spacing w:after="0"/>
        <w:rPr>
          <w:sz w:val="20"/>
          <w:szCs w:val="20"/>
          <w:color w:val="auto"/>
        </w:rPr>
      </w:pPr>
      <w:r>
        <w:rPr>
          <w:rFonts w:ascii="Courier New" w:cs="Courier New" w:eastAsia="Courier New" w:hAnsi="Courier New"/>
          <w:sz w:val="18"/>
          <w:szCs w:val="18"/>
          <w:color w:val="auto"/>
        </w:rPr>
        <w:t xml:space="preserve">Net income: </w:t>
      </w:r>
      <w:r>
        <w:rPr>
          <w:rFonts w:ascii="Courier New" w:cs="Courier New" w:eastAsia="Courier New" w:hAnsi="Courier New"/>
          <w:sz w:val="18"/>
          <w:szCs w:val="18"/>
          <w:color w:val="auto"/>
          <w:strike w:val="1"/>
        </w:rPr>
        <w:t>As reported</w:t>
      </w:r>
    </w:p>
    <w:p>
      <w:pPr>
        <w:ind w:left="120"/>
        <w:spacing w:after="0" w:line="237"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580" w:right="6059" w:hanging="520"/>
        <w:spacing w:after="0" w:line="268" w:lineRule="auto"/>
        <w:tabs>
          <w:tab w:leader="none" w:pos="264" w:val="left"/>
        </w:tabs>
        <w:numPr>
          <w:ilvl w:val="0"/>
          <w:numId w:val="1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7,438 $ 5,438 Less: Total stock-based employee compensation expense</w:t>
      </w:r>
    </w:p>
    <w:p>
      <w:pPr>
        <w:ind w:left="160"/>
        <w:spacing w:after="0" w:line="233" w:lineRule="auto"/>
        <w:rPr>
          <w:sz w:val="20"/>
          <w:szCs w:val="20"/>
          <w:color w:val="auto"/>
        </w:rPr>
      </w:pPr>
      <w:r>
        <w:rPr>
          <w:rFonts w:ascii="Courier New" w:cs="Courier New" w:eastAsia="Courier New" w:hAnsi="Courier New"/>
          <w:sz w:val="18"/>
          <w:szCs w:val="18"/>
          <w:color w:val="auto"/>
          <w:strike w:val="1"/>
        </w:rPr>
        <w:t>determined under the fair value-based</w:t>
      </w:r>
    </w:p>
    <w:p>
      <w:pPr>
        <w:ind w:left="160"/>
        <w:spacing w:after="0"/>
        <w:rPr>
          <w:sz w:val="20"/>
          <w:szCs w:val="20"/>
          <w:color w:val="auto"/>
        </w:rPr>
      </w:pPr>
      <w:r>
        <w:rPr>
          <w:rFonts w:ascii="Courier New" w:cs="Courier New" w:eastAsia="Courier New" w:hAnsi="Courier New"/>
          <w:sz w:val="18"/>
          <w:szCs w:val="18"/>
          <w:color w:val="auto"/>
          <w:strike w:val="1"/>
        </w:rPr>
        <w:t>method for all awards, net of related</w:t>
      </w:r>
    </w:p>
    <w:p>
      <w:pPr>
        <w:ind w:left="380"/>
        <w:spacing w:after="0" w:line="237" w:lineRule="auto"/>
        <w:rPr>
          <w:sz w:val="20"/>
          <w:szCs w:val="20"/>
          <w:color w:val="auto"/>
        </w:rPr>
      </w:pPr>
      <w:r>
        <w:rPr>
          <w:rFonts w:ascii="Courier New" w:cs="Courier New" w:eastAsia="Courier New" w:hAnsi="Courier New"/>
          <w:sz w:val="18"/>
          <w:szCs w:val="18"/>
          <w:color w:val="auto"/>
          <w:strike w:val="1"/>
        </w:rPr>
        <w:t>tax effects .....................</w:t>
      </w:r>
    </w:p>
    <w:p>
      <w:pPr>
        <w:ind w:left="160"/>
        <w:spacing w:after="0"/>
        <w:rPr>
          <w:sz w:val="20"/>
          <w:szCs w:val="20"/>
          <w:color w:val="auto"/>
        </w:rPr>
      </w:pPr>
      <w:r>
        <w:rPr>
          <w:rFonts w:ascii="Courier New" w:cs="Courier New" w:eastAsia="Courier New" w:hAnsi="Courier New"/>
          <w:sz w:val="18"/>
          <w:szCs w:val="18"/>
          <w:color w:val="auto"/>
          <w:strike w:val="1"/>
        </w:rPr>
        <w:t>(1,470) (1,202) -------- -------- Pro</w:t>
      </w:r>
    </w:p>
    <w:p>
      <w:pPr>
        <w:ind w:left="1860"/>
        <w:spacing w:after="0" w:line="237" w:lineRule="auto"/>
        <w:rPr>
          <w:sz w:val="20"/>
          <w:szCs w:val="20"/>
          <w:color w:val="auto"/>
        </w:rPr>
      </w:pPr>
      <w:r>
        <w:rPr>
          <w:rFonts w:ascii="Courier New" w:cs="Courier New" w:eastAsia="Courier New" w:hAnsi="Courier New"/>
          <w:sz w:val="18"/>
          <w:szCs w:val="18"/>
          <w:color w:val="auto"/>
          <w:strike w:val="1"/>
        </w:rPr>
        <w:t>forma</w:t>
      </w:r>
    </w:p>
    <w:p>
      <w:pPr>
        <w:spacing w:after="0"/>
        <w:rPr>
          <w:sz w:val="20"/>
          <w:szCs w:val="20"/>
          <w:color w:val="auto"/>
        </w:rPr>
      </w:pPr>
      <w:r>
        <w:rPr>
          <w:rFonts w:ascii="Courier New" w:cs="Courier New" w:eastAsia="Courier New" w:hAnsi="Courier New"/>
          <w:sz w:val="18"/>
          <w:szCs w:val="18"/>
          <w:color w:val="auto"/>
          <w:strike w:val="1"/>
        </w:rPr>
        <w:t>........................................</w:t>
      </w:r>
    </w:p>
    <w:p>
      <w:pPr>
        <w:spacing w:after="0" w:line="3" w:lineRule="exact"/>
        <w:rPr>
          <w:sz w:val="20"/>
          <w:szCs w:val="20"/>
          <w:color w:val="auto"/>
        </w:rPr>
      </w:pPr>
    </w:p>
    <w:p>
      <w:pPr>
        <w:ind w:left="1160" w:right="6159" w:hanging="994"/>
        <w:spacing w:after="0" w:line="235" w:lineRule="auto"/>
        <w:tabs>
          <w:tab w:leader="none" w:pos="370" w:val="left"/>
        </w:tabs>
        <w:numPr>
          <w:ilvl w:val="0"/>
          <w:numId w:val="12"/>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5,968 $ 4,236 Net income per share: Basic: As reported</w:t>
      </w:r>
    </w:p>
    <w:p>
      <w:pPr>
        <w:ind w:left="120"/>
        <w:spacing w:after="0"/>
        <w:rPr>
          <w:sz w:val="20"/>
          <w:szCs w:val="20"/>
          <w:color w:val="auto"/>
        </w:rPr>
      </w:pPr>
      <w:r>
        <w:rPr>
          <w:rFonts w:ascii="Courier New" w:cs="Courier New" w:eastAsia="Courier New" w:hAnsi="Courier New"/>
          <w:sz w:val="18"/>
          <w:szCs w:val="18"/>
          <w:color w:val="auto"/>
          <w:strike w:val="1"/>
        </w:rPr>
        <w:t>......................................</w:t>
      </w:r>
    </w:p>
    <w:p>
      <w:pPr>
        <w:ind w:left="1120" w:hanging="217"/>
        <w:spacing w:after="0" w:line="238" w:lineRule="auto"/>
        <w:tabs>
          <w:tab w:leader="none" w:pos="1120" w:val="left"/>
        </w:tabs>
        <w:numPr>
          <w:ilvl w:val="0"/>
          <w:numId w:val="1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0.25 $ 0.18 Pro forma</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3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$ 0.20 $ 0.14 Diluted: As reported</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120" w:hanging="217"/>
        <w:spacing w:after="0" w:line="238" w:lineRule="auto"/>
        <w:tabs>
          <w:tab w:leader="none" w:pos="1120" w:val="left"/>
        </w:tabs>
        <w:numPr>
          <w:ilvl w:val="0"/>
          <w:numId w:val="1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0.24 $ 0.18 Pro forma</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14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$ 0.19 $ 0.14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options vest over a varying number of years and awards are generally made each year, the pro forma impacts shown above may not be representative of future pro forma expense amounts. The pro forma additional compensation expense was calculated based on the fair value of each option grant using the Black-Scholes model.</w:t>
      </w:r>
    </w:p>
    <w:p>
      <w:pPr>
        <w:spacing w:after="0" w:line="203"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ACQUISITIONS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January 2004, the Company acquired the R&amp;B instrument business from R&amp;B Surgical Solutions, LLC for approximately $2.0 million in cash. The R&amp;B instrument line is a complete line of high-quality handheld surgical instruments used in neuro- and spinal surgery. The Company markets these products through its JARIT sales organization. In connection with this acquisition, the Company recorded, on a preliminary basis, approximately $1.5 million of intangible assets and goodwill. The acquired intangible assets are being amortized on a straight-line basis over lives ranging from 5 to 20 years. If the Company had consummated this acquisition as of the beginning of 2003, its operating results would not have been materially different from those herein.</w:t>
      </w:r>
    </w:p>
    <w:p>
      <w:pPr>
        <w:spacing w:after="0" w:line="3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January 2004, the Company acquired the Sparta disposable critical care devices and surgical instruments business from Fleetwood Medical, Inc. for approximately $1.6 million in cash. The Sparta product line includes products used in plastic and reconstructive, ear, nose and throat (ENT), neuro, ophthalmic and general surgery. The Company sells the Sparta products through a direct marketing organization and an existing distributor network. In connection with this acquisition, the Company recorded, on a preliminary basis, approximately $1.6 million of intangible assets and goodwill. The acquired intangible assets are being amortized on a straight-line basis over 5 years. If the Company had consummated this acquisition as of the beginning of 2003, its operating results would not have been materially different from those herein.</w:t>
      </w:r>
    </w:p>
    <w:p>
      <w:pPr>
        <w:spacing w:after="0" w:line="392"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In November 2003, the Company acquired all of the outstanding capital stock of Spinal Specialties, Inc. for $6.4 million in cash. Spinal Specialties markets its products primarily to anesthesiologists and interventional radiologists through an in-house telemarketing team and a network of distributors.</w:t>
      </w:r>
    </w:p>
    <w:p>
      <w:pPr>
        <w:spacing w:after="0" w:line="3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August 2003, the Company acquired substantially all of the assets of Tissue Technologies, Inc. The Company paid $0.6 million in cash and is obligated to pay the seller up to an additional $1.5 million in contingent consideration based upon a multiple of the Company's sales of the UltraSoft product in the third</w:t>
      </w:r>
    </w:p>
    <w:p>
      <w:pPr>
        <w:sectPr>
          <w:pgSz w:w="11900" w:h="16838" w:orient="portrait"/>
          <w:cols w:equalWidth="0" w:num="1">
            <w:col w:w="10219"/>
          </w:cols>
          <w:pgMar w:left="240" w:top="1128"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year following the acquisition.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March 2003, the Company acquired all of the outstanding capital stock of J. Jamner Surgical Instruments, Inc. (doing business as JARIT(R) Surgical Instruments) ("JARIT") for $43.5 million in cash. In the United States, JARIT sells through a 20 person sales management force that works with over 100 distributor sales representatives.</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results of operations of acquired businesses are included in the consolidated financial statements since the respective dates of acquisition.</w:t>
      </w:r>
    </w:p>
    <w:p>
      <w:pPr>
        <w:spacing w:after="0" w:line="170"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following unaudited pro forma financial information assumes that the Spinal Specialties and JARIT acquisitions had occurred as of the beginning of 2003 (in thousands, except per share data):</w:t>
      </w:r>
    </w:p>
    <w:p>
      <w:pPr>
        <w:spacing w:after="0" w:line="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For the Three Months Ended March 31,</w:t>
      </w:r>
    </w:p>
    <w:p>
      <w:pPr>
        <w:ind w:left="740"/>
        <w:spacing w:after="0" w:line="238" w:lineRule="auto"/>
        <w:rPr>
          <w:sz w:val="20"/>
          <w:szCs w:val="20"/>
          <w:color w:val="auto"/>
        </w:rPr>
      </w:pPr>
      <w:r>
        <w:rPr>
          <w:rFonts w:ascii="Courier New" w:cs="Courier New" w:eastAsia="Courier New" w:hAnsi="Courier New"/>
          <w:sz w:val="18"/>
          <w:szCs w:val="18"/>
          <w:color w:val="auto"/>
        </w:rPr>
        <w:t xml:space="preserve">2003 ------- </w:t>
      </w:r>
      <w:r>
        <w:rPr>
          <w:rFonts w:ascii="Courier New" w:cs="Courier New" w:eastAsia="Courier New" w:hAnsi="Courier New"/>
          <w:sz w:val="18"/>
          <w:szCs w:val="18"/>
          <w:color w:val="auto"/>
          <w:strike w:val="1"/>
        </w:rPr>
        <w:t>Total revenue</w:t>
      </w:r>
    </w:p>
    <w:p>
      <w:pPr>
        <w:ind w:left="160"/>
        <w:spacing w:after="0"/>
        <w:rPr>
          <w:sz w:val="20"/>
          <w:szCs w:val="20"/>
          <w:color w:val="auto"/>
        </w:rPr>
      </w:pPr>
      <w:r>
        <w:rPr>
          <w:rFonts w:ascii="Courier New" w:cs="Courier New" w:eastAsia="Courier New" w:hAnsi="Courier New"/>
          <w:sz w:val="18"/>
          <w:szCs w:val="18"/>
          <w:color w:val="auto"/>
          <w:strike w:val="1"/>
        </w:rPr>
        <w:t>............................. $43,908</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Net income</w:t>
      </w:r>
    </w:p>
    <w:p>
      <w:pPr>
        <w:ind w:left="120"/>
        <w:spacing w:after="0" w:line="238" w:lineRule="auto"/>
        <w:rPr>
          <w:sz w:val="20"/>
          <w:szCs w:val="20"/>
          <w:color w:val="auto"/>
        </w:rPr>
      </w:pPr>
      <w:r>
        <w:rPr>
          <w:rFonts w:ascii="Courier New" w:cs="Courier New" w:eastAsia="Courier New" w:hAnsi="Courier New"/>
          <w:sz w:val="18"/>
          <w:szCs w:val="18"/>
          <w:color w:val="auto"/>
          <w:strike w:val="1"/>
        </w:rPr>
        <w:t>................................ 5,862</w:t>
      </w:r>
    </w:p>
    <w:p>
      <w:pPr>
        <w:jc w:val="center"/>
        <w:ind w:right="5999"/>
        <w:spacing w:after="0"/>
        <w:rPr>
          <w:sz w:val="20"/>
          <w:szCs w:val="20"/>
          <w:color w:val="auto"/>
        </w:rPr>
      </w:pPr>
      <w:r>
        <w:rPr>
          <w:rFonts w:ascii="Courier New" w:cs="Courier New" w:eastAsia="Courier New" w:hAnsi="Courier New"/>
          <w:sz w:val="18"/>
          <w:szCs w:val="18"/>
          <w:color w:val="auto"/>
          <w:strike w:val="1"/>
        </w:rPr>
        <w:t>Net income per share: Basic</w:t>
      </w:r>
    </w:p>
    <w:p>
      <w:pPr>
        <w:ind w:left="220"/>
        <w:spacing w:after="0" w:line="237" w:lineRule="auto"/>
        <w:rPr>
          <w:sz w:val="20"/>
          <w:szCs w:val="20"/>
          <w:color w:val="auto"/>
        </w:rPr>
      </w:pPr>
      <w:r>
        <w:rPr>
          <w:rFonts w:ascii="Courier New" w:cs="Courier New" w:eastAsia="Courier New" w:hAnsi="Courier New"/>
          <w:sz w:val="18"/>
          <w:szCs w:val="18"/>
          <w:color w:val="auto"/>
          <w:strike w:val="1"/>
        </w:rPr>
        <w:t>.................................. $</w:t>
      </w:r>
    </w:p>
    <w:p>
      <w:pPr>
        <w:jc w:val="center"/>
        <w:ind w:right="5999"/>
        <w:spacing w:after="0"/>
        <w:rPr>
          <w:sz w:val="20"/>
          <w:szCs w:val="20"/>
          <w:color w:val="auto"/>
        </w:rPr>
      </w:pPr>
      <w:r>
        <w:rPr>
          <w:rFonts w:ascii="Courier New" w:cs="Courier New" w:eastAsia="Courier New" w:hAnsi="Courier New"/>
          <w:sz w:val="18"/>
          <w:szCs w:val="18"/>
          <w:color w:val="auto"/>
          <w:strike w:val="1"/>
        </w:rPr>
        <w:t>0.20</w:t>
      </w:r>
    </w:p>
    <w:p>
      <w:pPr>
        <w:spacing w:after="0" w:line="237" w:lineRule="auto"/>
        <w:rPr>
          <w:sz w:val="20"/>
          <w:szCs w:val="20"/>
          <w:color w:val="auto"/>
        </w:rPr>
      </w:pPr>
      <w:r>
        <w:rPr>
          <w:rFonts w:ascii="Courier New" w:cs="Courier New" w:eastAsia="Courier New" w:hAnsi="Courier New"/>
          <w:sz w:val="18"/>
          <w:szCs w:val="18"/>
          <w:color w:val="auto"/>
          <w:strike w:val="1"/>
        </w:rPr>
        <w:t>Diluted.................................</w:t>
      </w:r>
    </w:p>
    <w:p>
      <w:pPr>
        <w:ind w:left="1800"/>
        <w:spacing w:after="0"/>
        <w:rPr>
          <w:sz w:val="20"/>
          <w:szCs w:val="20"/>
          <w:color w:val="auto"/>
        </w:rPr>
      </w:pPr>
      <w:r>
        <w:rPr>
          <w:rFonts w:ascii="Courier New" w:cs="Courier New" w:eastAsia="Courier New" w:hAnsi="Courier New"/>
          <w:sz w:val="18"/>
          <w:szCs w:val="18"/>
          <w:color w:val="auto"/>
          <w:strike w:val="1"/>
        </w:rPr>
        <w:t>$ 0.19</w:t>
      </w:r>
    </w:p>
    <w:p>
      <w:pPr>
        <w:spacing w:after="0" w:line="200"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jc w:val="center"/>
        <w:ind w:right="6099"/>
        <w:spacing w:after="0" w:line="238" w:lineRule="auto"/>
        <w:rPr>
          <w:sz w:val="20"/>
          <w:szCs w:val="20"/>
          <w:color w:val="auto"/>
        </w:rPr>
      </w:pPr>
      <w:r>
        <w:rPr>
          <w:rFonts w:ascii="Courier New" w:cs="Courier New" w:eastAsia="Courier New" w:hAnsi="Courier New"/>
          <w:sz w:val="18"/>
          <w:szCs w:val="18"/>
          <w:color w:val="auto"/>
        </w:rPr>
        <w:t>Inventories consisted of the</w:t>
      </w:r>
    </w:p>
    <w:p>
      <w:pPr>
        <w:jc w:val="center"/>
        <w:ind w:right="6099"/>
        <w:spacing w:after="0"/>
        <w:rPr>
          <w:sz w:val="20"/>
          <w:szCs w:val="20"/>
          <w:color w:val="auto"/>
        </w:rPr>
      </w:pPr>
      <w:r>
        <w:rPr>
          <w:rFonts w:ascii="Courier New" w:cs="Courier New" w:eastAsia="Courier New" w:hAnsi="Courier New"/>
          <w:sz w:val="18"/>
          <w:szCs w:val="18"/>
          <w:color w:val="auto"/>
        </w:rPr>
        <w:t>following: March 31, December 31, 2004</w:t>
      </w:r>
    </w:p>
    <w:p>
      <w:pPr>
        <w:ind w:left="320"/>
        <w:spacing w:after="0" w:line="237" w:lineRule="auto"/>
        <w:rPr>
          <w:sz w:val="20"/>
          <w:szCs w:val="20"/>
          <w:color w:val="auto"/>
        </w:rPr>
      </w:pPr>
      <w:r>
        <w:rPr>
          <w:rFonts w:ascii="Courier New" w:cs="Courier New" w:eastAsia="Courier New" w:hAnsi="Courier New"/>
          <w:sz w:val="18"/>
          <w:szCs w:val="18"/>
          <w:color w:val="auto"/>
        </w:rPr>
        <w:t xml:space="preserve">2003 ---- ---- (in thousands) </w:t>
      </w:r>
      <w:r>
        <w:rPr>
          <w:rFonts w:ascii="Courier New" w:cs="Courier New" w:eastAsia="Courier New" w:hAnsi="Courier New"/>
          <w:sz w:val="18"/>
          <w:szCs w:val="18"/>
          <w:color w:val="auto"/>
          <w:strike w:val="1"/>
        </w:rPr>
        <w:t>Raw</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strike w:val="1"/>
        </w:rPr>
        <w:t>materials..............................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strike w:val="1"/>
        </w:rPr>
        <w:t>$10,226 $ 9,738 Work-in</w:t>
      </w:r>
    </w:p>
    <w:p>
      <w:pPr>
        <w:jc w:val="center"/>
        <w:ind w:right="6099"/>
        <w:spacing w:after="0" w:line="238" w:lineRule="auto"/>
        <w:rPr>
          <w:sz w:val="20"/>
          <w:szCs w:val="20"/>
          <w:color w:val="auto"/>
        </w:rPr>
      </w:pPr>
      <w:r>
        <w:rPr>
          <w:rFonts w:ascii="Courier New" w:cs="Courier New" w:eastAsia="Courier New" w:hAnsi="Courier New"/>
          <w:sz w:val="18"/>
          <w:szCs w:val="18"/>
          <w:color w:val="auto"/>
          <w:strike w:val="1"/>
        </w:rPr>
        <w:t>process............................</w:t>
      </w:r>
    </w:p>
    <w:p>
      <w:pPr>
        <w:jc w:val="center"/>
        <w:ind w:right="6099"/>
        <w:spacing w:after="0"/>
        <w:rPr>
          <w:sz w:val="20"/>
          <w:szCs w:val="20"/>
          <w:color w:val="auto"/>
        </w:rPr>
      </w:pPr>
      <w:r>
        <w:rPr>
          <w:rFonts w:ascii="Courier New" w:cs="Courier New" w:eastAsia="Courier New" w:hAnsi="Courier New"/>
          <w:sz w:val="18"/>
          <w:szCs w:val="18"/>
          <w:color w:val="auto"/>
          <w:strike w:val="1"/>
        </w:rPr>
        <w:t>6,098 5,069 Finished</w:t>
      </w:r>
    </w:p>
    <w:p>
      <w:pPr>
        <w:jc w:val="center"/>
        <w:ind w:right="6099"/>
        <w:spacing w:after="0" w:line="237" w:lineRule="auto"/>
        <w:rPr>
          <w:sz w:val="20"/>
          <w:szCs w:val="20"/>
          <w:color w:val="auto"/>
        </w:rPr>
      </w:pPr>
      <w:r>
        <w:rPr>
          <w:rFonts w:ascii="Courier New" w:cs="Courier New" w:eastAsia="Courier New" w:hAnsi="Courier New"/>
          <w:sz w:val="18"/>
          <w:szCs w:val="18"/>
          <w:color w:val="auto"/>
          <w:strike w:val="1"/>
        </w:rPr>
        <w:t>goods.............................</w:t>
      </w:r>
    </w:p>
    <w:p>
      <w:pPr>
        <w:jc w:val="center"/>
        <w:ind w:right="6099"/>
        <w:spacing w:after="0" w:line="238" w:lineRule="auto"/>
        <w:rPr>
          <w:sz w:val="20"/>
          <w:szCs w:val="20"/>
          <w:color w:val="auto"/>
        </w:rPr>
      </w:pPr>
      <w:r>
        <w:rPr>
          <w:rFonts w:ascii="Courier New" w:cs="Courier New" w:eastAsia="Courier New" w:hAnsi="Courier New"/>
          <w:sz w:val="18"/>
          <w:szCs w:val="18"/>
          <w:color w:val="auto"/>
          <w:strike w:val="1"/>
        </w:rPr>
        <w:t>28,570 26,239 ------- ------- $44,894</w:t>
      </w:r>
    </w:p>
    <w:p>
      <w:pPr>
        <w:ind w:left="840"/>
        <w:spacing w:after="0"/>
        <w:rPr>
          <w:sz w:val="20"/>
          <w:szCs w:val="20"/>
          <w:color w:val="auto"/>
        </w:rPr>
      </w:pPr>
      <w:r>
        <w:rPr>
          <w:rFonts w:ascii="Courier New" w:cs="Courier New" w:eastAsia="Courier New" w:hAnsi="Courier New"/>
          <w:sz w:val="18"/>
          <w:szCs w:val="18"/>
          <w:color w:val="auto"/>
          <w:strike w:val="1"/>
        </w:rPr>
        <w:t>$41,046 ======= =======</w:t>
      </w:r>
    </w:p>
    <w:p>
      <w:pPr>
        <w:spacing w:after="0" w:line="201"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Changes in the carrying amount of goodwill for the three months ended March 31, 2004, were as follows:</w:t>
      </w:r>
    </w:p>
    <w:p>
      <w:pPr>
        <w:spacing w:after="0" w:line="20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strike w:val="1"/>
        </w:rPr>
        <w:t>Balance at December 31, 2003</w:t>
      </w:r>
    </w:p>
    <w:p>
      <w:pPr>
        <w:ind w:left="220"/>
        <w:spacing w:after="0" w:line="238" w:lineRule="auto"/>
        <w:rPr>
          <w:sz w:val="20"/>
          <w:szCs w:val="20"/>
          <w:color w:val="auto"/>
        </w:rPr>
      </w:pPr>
      <w:r>
        <w:rPr>
          <w:rFonts w:ascii="Courier New" w:cs="Courier New" w:eastAsia="Courier New" w:hAnsi="Courier New"/>
          <w:sz w:val="18"/>
          <w:szCs w:val="18"/>
          <w:color w:val="auto"/>
          <w:strike w:val="1"/>
        </w:rPr>
        <w:t>..................................... $ 26,683</w:t>
      </w:r>
    </w:p>
    <w:p>
      <w:pPr>
        <w:jc w:val="center"/>
        <w:ind w:right="4939"/>
        <w:spacing w:after="0"/>
        <w:rPr>
          <w:sz w:val="20"/>
          <w:szCs w:val="20"/>
          <w:color w:val="auto"/>
        </w:rPr>
      </w:pPr>
      <w:r>
        <w:rPr>
          <w:rFonts w:ascii="Courier New" w:cs="Courier New" w:eastAsia="Courier New" w:hAnsi="Courier New"/>
          <w:sz w:val="18"/>
          <w:szCs w:val="18"/>
          <w:color w:val="auto"/>
          <w:strike w:val="1"/>
        </w:rPr>
        <w:t>R&amp;B acquisition</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4939"/>
        <w:spacing w:after="0" w:line="238" w:lineRule="auto"/>
        <w:rPr>
          <w:sz w:val="20"/>
          <w:szCs w:val="20"/>
          <w:color w:val="auto"/>
        </w:rPr>
      </w:pPr>
      <w:r>
        <w:rPr>
          <w:rFonts w:ascii="Courier New" w:cs="Courier New" w:eastAsia="Courier New" w:hAnsi="Courier New"/>
          <w:sz w:val="18"/>
          <w:szCs w:val="18"/>
          <w:color w:val="auto"/>
          <w:strike w:val="1"/>
        </w:rPr>
        <w:t>413 Sparta acquisition</w:t>
      </w:r>
    </w:p>
    <w:p>
      <w:pPr>
        <w:ind w:left="160"/>
        <w:spacing w:after="0"/>
        <w:rPr>
          <w:sz w:val="20"/>
          <w:szCs w:val="20"/>
          <w:color w:val="auto"/>
        </w:rPr>
      </w:pPr>
      <w:r>
        <w:rPr>
          <w:rFonts w:ascii="Courier New" w:cs="Courier New" w:eastAsia="Courier New" w:hAnsi="Courier New"/>
          <w:sz w:val="18"/>
          <w:szCs w:val="18"/>
          <w:color w:val="auto"/>
          <w:strike w:val="1"/>
        </w:rPr>
        <w:t>...............................................</w:t>
      </w:r>
    </w:p>
    <w:p>
      <w:pPr>
        <w:jc w:val="center"/>
        <w:ind w:right="4939"/>
        <w:spacing w:after="0" w:line="237" w:lineRule="auto"/>
        <w:rPr>
          <w:sz w:val="20"/>
          <w:szCs w:val="20"/>
          <w:color w:val="auto"/>
        </w:rPr>
      </w:pPr>
      <w:r>
        <w:rPr>
          <w:rFonts w:ascii="Courier New" w:cs="Courier New" w:eastAsia="Courier New" w:hAnsi="Courier New"/>
          <w:sz w:val="18"/>
          <w:szCs w:val="18"/>
          <w:color w:val="auto"/>
          <w:strike w:val="1"/>
        </w:rPr>
        <w:t>1,309 Foreign currency translation</w:t>
      </w:r>
    </w:p>
    <w:p>
      <w:pPr>
        <w:ind w:left="60"/>
        <w:spacing w:after="0"/>
        <w:rPr>
          <w:sz w:val="20"/>
          <w:szCs w:val="20"/>
          <w:color w:val="auto"/>
        </w:rPr>
      </w:pPr>
      <w:r>
        <w:rPr>
          <w:rFonts w:ascii="Courier New" w:cs="Courier New" w:eastAsia="Courier New" w:hAnsi="Courier New"/>
          <w:sz w:val="18"/>
          <w:szCs w:val="18"/>
          <w:color w:val="auto"/>
          <w:strike w:val="1"/>
        </w:rPr>
        <w:t>..................................... (270) -----</w:t>
      </w:r>
    </w:p>
    <w:p>
      <w:pPr>
        <w:jc w:val="center"/>
        <w:ind w:right="4939"/>
        <w:spacing w:after="0" w:line="237" w:lineRule="auto"/>
        <w:rPr>
          <w:sz w:val="20"/>
          <w:szCs w:val="20"/>
          <w:color w:val="auto"/>
        </w:rPr>
      </w:pPr>
      <w:r>
        <w:rPr>
          <w:rFonts w:ascii="Courier New" w:cs="Courier New" w:eastAsia="Courier New" w:hAnsi="Courier New"/>
          <w:sz w:val="18"/>
          <w:szCs w:val="18"/>
          <w:color w:val="auto"/>
          <w:strike w:val="1"/>
        </w:rPr>
        <w:t>--- Balance at March 31, 2004</w:t>
      </w:r>
    </w:p>
    <w:p>
      <w:pPr>
        <w:ind w:left="60"/>
        <w:spacing w:after="0"/>
        <w:rPr>
          <w:sz w:val="20"/>
          <w:szCs w:val="20"/>
          <w:color w:val="auto"/>
        </w:rPr>
      </w:pPr>
      <w:r>
        <w:rPr>
          <w:rFonts w:ascii="Courier New" w:cs="Courier New" w:eastAsia="Courier New" w:hAnsi="Courier New"/>
          <w:sz w:val="18"/>
          <w:szCs w:val="18"/>
          <w:color w:val="auto"/>
          <w:strike w:val="1"/>
        </w:rPr>
        <w:t>........................................ $ 28,135</w:t>
      </w:r>
    </w:p>
    <w:p>
      <w:pPr>
        <w:ind w:left="2220"/>
        <w:spacing w:after="0" w:line="237" w:lineRule="auto"/>
        <w:rPr>
          <w:sz w:val="20"/>
          <w:szCs w:val="20"/>
          <w:color w:val="auto"/>
        </w:rPr>
      </w:pPr>
      <w:r>
        <w:rPr>
          <w:rFonts w:ascii="Courier New" w:cs="Courier New" w:eastAsia="Courier New" w:hAnsi="Courier New"/>
          <w:sz w:val="18"/>
          <w:szCs w:val="18"/>
          <w:color w:val="auto"/>
          <w:strike w:val="1"/>
        </w:rPr>
        <w: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The components of the Company's identifiable intangible assets were as follows: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March 31, 2004</w:t>
      </w:r>
    </w:p>
    <w:p>
      <w:pPr>
        <w:ind w:left="60"/>
        <w:spacing w:after="0" w:line="238" w:lineRule="auto"/>
        <w:rPr>
          <w:sz w:val="20"/>
          <w:szCs w:val="20"/>
          <w:color w:val="auto"/>
        </w:rPr>
      </w:pPr>
      <w:r>
        <w:rPr>
          <w:rFonts w:ascii="Courier New" w:cs="Courier New" w:eastAsia="Courier New" w:hAnsi="Courier New"/>
          <w:sz w:val="18"/>
          <w:szCs w:val="18"/>
          <w:color w:val="auto"/>
        </w:rPr>
        <w:t>December 31, 2003</w:t>
      </w:r>
    </w:p>
    <w:p>
      <w:pPr>
        <w:ind w:left="60"/>
        <w:spacing w:after="0"/>
        <w:rPr>
          <w:sz w:val="20"/>
          <w:szCs w:val="20"/>
          <w:color w:val="auto"/>
        </w:rPr>
      </w:pPr>
      <w:r>
        <w:rPr>
          <w:rFonts w:ascii="Courier New" w:cs="Courier New" w:eastAsia="Courier New" w:hAnsi="Courier New"/>
          <w:sz w:val="18"/>
          <w:szCs w:val="18"/>
          <w:color w:val="auto"/>
        </w:rPr>
        <w:t>Weighted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380" w:right="8679" w:hanging="6"/>
        <w:spacing w:after="0" w:line="268" w:lineRule="auto"/>
        <w:tabs>
          <w:tab w:leader="none" w:pos="8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Accumulated</w:t>
      </w:r>
    </w:p>
    <w:p>
      <w:pPr>
        <w:ind w:left="120"/>
        <w:spacing w:after="0" w:line="233" w:lineRule="auto"/>
        <w:rPr>
          <w:sz w:val="20"/>
          <w:szCs w:val="20"/>
          <w:color w:val="auto"/>
        </w:rPr>
      </w:pPr>
      <w:r>
        <w:rPr>
          <w:rFonts w:ascii="Courier New" w:cs="Courier New" w:eastAsia="Courier New" w:hAnsi="Courier New"/>
          <w:sz w:val="18"/>
          <w:szCs w:val="18"/>
          <w:color w:val="auto"/>
        </w:rPr>
        <w:t>Accumulated Life</w:t>
      </w:r>
    </w:p>
    <w:p>
      <w:pPr>
        <w:ind w:left="60"/>
        <w:spacing w:after="0"/>
        <w:rPr>
          <w:sz w:val="20"/>
          <w:szCs w:val="20"/>
          <w:color w:val="auto"/>
        </w:rPr>
      </w:pPr>
      <w:r>
        <w:rPr>
          <w:rFonts w:ascii="Courier New" w:cs="Courier New" w:eastAsia="Courier New" w:hAnsi="Courier New"/>
          <w:sz w:val="18"/>
          <w:szCs w:val="18"/>
          <w:color w:val="auto"/>
        </w:rPr>
        <w:t>Cost Amortization</w:t>
      </w:r>
    </w:p>
    <w:p>
      <w:pPr>
        <w:ind w:left="60"/>
        <w:spacing w:after="0" w:line="237" w:lineRule="auto"/>
        <w:rPr>
          <w:sz w:val="20"/>
          <w:szCs w:val="20"/>
          <w:color w:val="auto"/>
        </w:rPr>
      </w:pPr>
      <w:r>
        <w:rPr>
          <w:rFonts w:ascii="Courier New" w:cs="Courier New" w:eastAsia="Courier New" w:hAnsi="Courier New"/>
          <w:sz w:val="18"/>
          <w:szCs w:val="18"/>
          <w:color w:val="auto"/>
        </w:rPr>
        <w:t>Cost Amortization</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 thousands)</w:t>
      </w:r>
    </w:p>
    <w:p>
      <w:pPr>
        <w:ind w:left="480"/>
        <w:spacing w:after="0" w:line="238" w:lineRule="auto"/>
        <w:rPr>
          <w:sz w:val="20"/>
          <w:szCs w:val="20"/>
          <w:color w:val="auto"/>
        </w:rPr>
      </w:pPr>
      <w:r>
        <w:rPr>
          <w:rFonts w:ascii="Courier New" w:cs="Courier New" w:eastAsia="Courier New" w:hAnsi="Courier New"/>
          <w:sz w:val="18"/>
          <w:szCs w:val="18"/>
          <w:color w:val="auto"/>
          <w:strike w:val="1"/>
        </w:rPr>
        <w:t>Completed</w:t>
      </w:r>
    </w:p>
    <w:p>
      <w:pPr>
        <w:ind w:left="420"/>
        <w:spacing w:after="0"/>
        <w:rPr>
          <w:sz w:val="20"/>
          <w:szCs w:val="20"/>
          <w:color w:val="auto"/>
        </w:rPr>
      </w:pPr>
      <w:r>
        <w:rPr>
          <w:rFonts w:ascii="Courier New" w:cs="Courier New" w:eastAsia="Courier New" w:hAnsi="Courier New"/>
          <w:sz w:val="18"/>
          <w:szCs w:val="18"/>
          <w:color w:val="auto"/>
          <w:strike w:val="1"/>
        </w:rPr>
        <w:t>technology</w:t>
      </w:r>
    </w:p>
    <w:p>
      <w:pPr>
        <w:ind w:left="120"/>
        <w:spacing w:after="0" w:line="237" w:lineRule="auto"/>
        <w:rPr>
          <w:sz w:val="20"/>
          <w:szCs w:val="20"/>
          <w:color w:val="auto"/>
        </w:rPr>
      </w:pPr>
      <w:r>
        <w:rPr>
          <w:rFonts w:ascii="Courier New" w:cs="Courier New" w:eastAsia="Courier New" w:hAnsi="Courier New"/>
          <w:sz w:val="18"/>
          <w:szCs w:val="18"/>
          <w:color w:val="auto"/>
          <w:strike w:val="1"/>
        </w:rPr>
        <w:t>....... 15 years</w:t>
      </w:r>
    </w:p>
    <w:p>
      <w:pPr>
        <w:jc w:val="center"/>
        <w:ind w:right="8319"/>
        <w:spacing w:after="0"/>
        <w:rPr>
          <w:sz w:val="20"/>
          <w:szCs w:val="20"/>
          <w:color w:val="auto"/>
        </w:rPr>
      </w:pPr>
      <w:r>
        <w:rPr>
          <w:rFonts w:ascii="Courier New" w:cs="Courier New" w:eastAsia="Courier New" w:hAnsi="Courier New"/>
          <w:sz w:val="18"/>
          <w:szCs w:val="18"/>
          <w:color w:val="auto"/>
          <w:strike w:val="1"/>
        </w:rPr>
        <w:t>$ 15,115 $</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(3,575) $ 15,062</w:t>
      </w:r>
    </w:p>
    <w:p>
      <w:pPr>
        <w:spacing w:after="0" w:line="5" w:lineRule="exact"/>
        <w:rPr>
          <w:sz w:val="20"/>
          <w:szCs w:val="20"/>
          <w:color w:val="auto"/>
        </w:rPr>
      </w:pPr>
    </w:p>
    <w:p>
      <w:pPr>
        <w:jc w:val="both"/>
        <w:ind w:left="540" w:right="8799" w:hanging="61"/>
        <w:spacing w:after="0" w:line="268" w:lineRule="auto"/>
        <w:tabs>
          <w:tab w:leader="none" w:pos="698" w:val="left"/>
        </w:tabs>
        <w:numPr>
          <w:ilvl w:val="0"/>
          <w:numId w:val="1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(3,337) Customer</w:t>
      </w:r>
    </w:p>
    <w:p>
      <w:pPr>
        <w:ind w:left="260"/>
        <w:spacing w:after="0" w:line="233" w:lineRule="auto"/>
        <w:rPr>
          <w:sz w:val="20"/>
          <w:szCs w:val="20"/>
          <w:color w:val="auto"/>
        </w:rPr>
      </w:pPr>
      <w:r>
        <w:rPr>
          <w:rFonts w:ascii="Courier New" w:cs="Courier New" w:eastAsia="Courier New" w:hAnsi="Courier New"/>
          <w:sz w:val="18"/>
          <w:szCs w:val="18"/>
          <w:color w:val="auto"/>
          <w:strike w:val="1"/>
        </w:rPr>
        <w:t>relationships</w:t>
      </w:r>
    </w:p>
    <w:p>
      <w:pPr>
        <w:ind w:left="220"/>
        <w:spacing w:after="0"/>
        <w:rPr>
          <w:sz w:val="20"/>
          <w:szCs w:val="20"/>
          <w:color w:val="auto"/>
        </w:rPr>
      </w:pPr>
      <w:r>
        <w:rPr>
          <w:rFonts w:ascii="Courier New" w:cs="Courier New" w:eastAsia="Courier New" w:hAnsi="Courier New"/>
          <w:sz w:val="18"/>
          <w:szCs w:val="18"/>
          <w:color w:val="auto"/>
          <w:strike w:val="1"/>
        </w:rPr>
        <w:t>..... 21 years</w:t>
      </w:r>
    </w:p>
    <w:tbl>
      <w:tblPr>
        <w:tblLayout w:type="fixed"/>
        <w:tblInd w:w="60" w:type="dxa"/>
        <w:tblCellMar>
          <w:top w:w="0" w:type="dxa"/>
          <w:left w:w="0" w:type="dxa"/>
          <w:bottom w:w="0" w:type="dxa"/>
          <w:right w:w="0" w:type="dxa"/>
        </w:tblCellMar>
      </w:tblPr>
      <w:tr>
        <w:trPr>
          <w:trHeight w:val="202"/>
        </w:trPr>
        <w:tc>
          <w:tcPr>
            <w:tcW w:w="90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strike w:val="1"/>
              </w:rPr>
              <w:t>16,848</w:t>
            </w:r>
          </w:p>
        </w:tc>
        <w:tc>
          <w:tcPr>
            <w:tcW w:w="88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strike w:val="1"/>
                <w:w w:val="95"/>
              </w:rPr>
              <w:t>(2,325)</w:t>
            </w: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strike w:val="1"/>
              </w:rPr>
              <w:t>16,755</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strike w:val="1"/>
                <w:w w:val="95"/>
              </w:rPr>
              <w:t>(2,053)</w:t>
            </w:r>
          </w:p>
        </w:tc>
      </w:tr>
      <w:tr>
        <w:trPr>
          <w:trHeight w:val="203"/>
        </w:trPr>
        <w:tc>
          <w:tcPr>
            <w:tcW w:w="1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Trademarks/brand</w:t>
            </w:r>
          </w:p>
        </w:tc>
      </w:tr>
      <w:tr>
        <w:trPr>
          <w:trHeight w:val="203"/>
        </w:trPr>
        <w:tc>
          <w:tcPr>
            <w:tcW w:w="1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names ..... 38</w:t>
            </w:r>
          </w:p>
        </w:tc>
      </w:tr>
      <w:tr>
        <w:trPr>
          <w:trHeight w:val="203"/>
        </w:trPr>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strike w:val="1"/>
              </w:rPr>
              <w:t>years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strike w:val="1"/>
                <w:w w:val="92"/>
              </w:rPr>
              <w:t>26,128</w:t>
            </w: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strike w:val="1"/>
                <w:w w:val="95"/>
              </w:rPr>
              <w:t>(1,215)</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strike w:val="1"/>
              </w:rPr>
              <w:t>25,235</w:t>
            </w:r>
          </w:p>
        </w:tc>
      </w:tr>
      <w:tr>
        <w:trPr>
          <w:trHeight w:val="203"/>
        </w:trPr>
        <w:tc>
          <w:tcPr>
            <w:tcW w:w="1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6"/>
              </w:rPr>
              <w:t>(1,017) All Other</w:t>
            </w:r>
          </w:p>
        </w:tc>
      </w:tr>
    </w:tbl>
    <w:p>
      <w:pPr>
        <w:spacing w:after="0" w:line="238" w:lineRule="auto"/>
        <w:rPr>
          <w:sz w:val="20"/>
          <w:szCs w:val="20"/>
          <w:color w:val="auto"/>
        </w:rPr>
      </w:pPr>
      <w:r>
        <w:rPr>
          <w:rFonts w:ascii="Courier New" w:cs="Courier New" w:eastAsia="Courier New" w:hAnsi="Courier New"/>
          <w:sz w:val="18"/>
          <w:szCs w:val="18"/>
          <w:color w:val="auto"/>
          <w:strike w:val="1"/>
        </w:rPr>
        <w:t>..................</w:t>
      </w:r>
    </w:p>
    <w:p>
      <w:pPr>
        <w:ind w:left="220"/>
        <w:spacing w:after="0"/>
        <w:rPr>
          <w:sz w:val="20"/>
          <w:szCs w:val="20"/>
          <w:color w:val="auto"/>
        </w:rPr>
      </w:pPr>
      <w:r>
        <w:rPr>
          <w:rFonts w:ascii="Courier New" w:cs="Courier New" w:eastAsia="Courier New" w:hAnsi="Courier New"/>
          <w:sz w:val="18"/>
          <w:szCs w:val="18"/>
          <w:color w:val="auto"/>
          <w:strike w:val="1"/>
        </w:rPr>
        <w:t>10 years 3,292</w:t>
      </w:r>
    </w:p>
    <w:p>
      <w:pPr>
        <w:ind w:left="260"/>
        <w:spacing w:after="0" w:line="237" w:lineRule="auto"/>
        <w:rPr>
          <w:sz w:val="20"/>
          <w:szCs w:val="20"/>
          <w:color w:val="auto"/>
        </w:rPr>
      </w:pPr>
      <w:r>
        <w:rPr>
          <w:rFonts w:ascii="Courier New" w:cs="Courier New" w:eastAsia="Courier New" w:hAnsi="Courier New"/>
          <w:sz w:val="18"/>
          <w:szCs w:val="18"/>
          <w:color w:val="auto"/>
          <w:strike w:val="1"/>
        </w:rPr>
        <w:t>(1,294) 2,909</w:t>
      </w:r>
    </w:p>
    <w:p>
      <w:pPr>
        <w:ind w:left="120"/>
        <w:spacing w:after="0" w:line="238" w:lineRule="auto"/>
        <w:rPr>
          <w:sz w:val="20"/>
          <w:szCs w:val="20"/>
          <w:color w:val="auto"/>
        </w:rPr>
      </w:pPr>
      <w:r>
        <w:rPr>
          <w:rFonts w:ascii="Courier New" w:cs="Courier New" w:eastAsia="Courier New" w:hAnsi="Courier New"/>
          <w:sz w:val="18"/>
          <w:szCs w:val="18"/>
          <w:color w:val="auto"/>
          <w:strike w:val="1"/>
        </w:rPr>
        <w:t>(1,119) --------</w:t>
      </w:r>
    </w:p>
    <w:p>
      <w:pPr>
        <w:ind w:left="60"/>
        <w:spacing w:after="0"/>
        <w:rPr>
          <w:sz w:val="20"/>
          <w:szCs w:val="20"/>
          <w:color w:val="auto"/>
        </w:rPr>
      </w:pPr>
      <w:r>
        <w:rPr>
          <w:rFonts w:ascii="Courier New" w:cs="Courier New" w:eastAsia="Courier New" w:hAnsi="Courier New"/>
          <w:sz w:val="18"/>
          <w:szCs w:val="18"/>
          <w:color w:val="auto"/>
          <w:strike w:val="1"/>
        </w:rPr>
        <w:t>------------ ----</w:t>
      </w:r>
    </w:p>
    <w:p>
      <w:pPr>
        <w:ind w:left="580" w:hanging="522"/>
        <w:spacing w:after="0" w:line="237" w:lineRule="auto"/>
        <w:tabs>
          <w:tab w:leader="none" w:pos="580" w:val="left"/>
        </w:tabs>
        <w:numPr>
          <w:ilvl w:val="0"/>
          <w:numId w:val="1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4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$ 61,383 $</w:t>
      </w:r>
    </w:p>
    <w:p>
      <w:pPr>
        <w:ind w:left="120"/>
        <w:spacing w:after="0"/>
        <w:rPr>
          <w:sz w:val="20"/>
          <w:szCs w:val="20"/>
          <w:color w:val="auto"/>
        </w:rPr>
      </w:pPr>
      <w:r>
        <w:rPr>
          <w:rFonts w:ascii="Courier New" w:cs="Courier New" w:eastAsia="Courier New" w:hAnsi="Courier New"/>
          <w:sz w:val="18"/>
          <w:szCs w:val="18"/>
          <w:color w:val="auto"/>
          <w:strike w:val="1"/>
        </w:rPr>
        <w:t>(8,409) $ 59,961</w:t>
      </w:r>
    </w:p>
    <w:p>
      <w:pPr>
        <w:spacing w:after="0" w:line="3" w:lineRule="exact"/>
        <w:rPr>
          <w:sz w:val="20"/>
          <w:szCs w:val="20"/>
          <w:color w:val="auto"/>
        </w:rPr>
      </w:pPr>
    </w:p>
    <w:p>
      <w:pPr>
        <w:ind w:left="380" w:right="8679" w:firstLine="99"/>
        <w:spacing w:after="0" w:line="268" w:lineRule="auto"/>
        <w:tabs>
          <w:tab w:leader="none" w:pos="696" w:val="left"/>
        </w:tabs>
        <w:numPr>
          <w:ilvl w:val="0"/>
          <w:numId w:val="2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(7,526) Accumulated</w:t>
      </w:r>
    </w:p>
    <w:p>
      <w:pPr>
        <w:jc w:val="center"/>
        <w:ind w:right="8319"/>
        <w:spacing w:after="0" w:line="233" w:lineRule="auto"/>
        <w:rPr>
          <w:sz w:val="20"/>
          <w:szCs w:val="20"/>
          <w:color w:val="auto"/>
        </w:rPr>
      </w:pPr>
      <w:r>
        <w:rPr>
          <w:rFonts w:ascii="Courier New" w:cs="Courier New" w:eastAsia="Courier New" w:hAnsi="Courier New"/>
          <w:sz w:val="18"/>
          <w:szCs w:val="18"/>
          <w:color w:val="auto"/>
          <w:strike w:val="1"/>
        </w:rPr>
        <w:t>amortization ..</w:t>
      </w:r>
    </w:p>
    <w:p>
      <w:pPr>
        <w:jc w:val="center"/>
        <w:ind w:right="8319"/>
        <w:spacing w:after="0"/>
        <w:rPr>
          <w:sz w:val="20"/>
          <w:szCs w:val="20"/>
          <w:color w:val="auto"/>
        </w:rPr>
      </w:pPr>
      <w:r>
        <w:rPr>
          <w:rFonts w:ascii="Courier New" w:cs="Courier New" w:eastAsia="Courier New" w:hAnsi="Courier New"/>
          <w:sz w:val="18"/>
          <w:szCs w:val="18"/>
          <w:color w:val="auto"/>
          <w:strike w:val="1"/>
        </w:rPr>
        <w:t>(8,409) (7,526) -</w:t>
      </w:r>
    </w:p>
    <w:p>
      <w:pPr>
        <w:ind w:left="120"/>
        <w:spacing w:after="0" w:line="237" w:lineRule="auto"/>
        <w:rPr>
          <w:sz w:val="20"/>
          <w:szCs w:val="20"/>
          <w:color w:val="auto"/>
        </w:rPr>
      </w:pPr>
      <w:r>
        <w:rPr>
          <w:rFonts w:ascii="Courier New" w:cs="Courier New" w:eastAsia="Courier New" w:hAnsi="Courier New"/>
          <w:sz w:val="18"/>
          <w:szCs w:val="18"/>
          <w:color w:val="auto"/>
          <w:strike w:val="1"/>
        </w:rPr>
        <w:t>------- --------</w:t>
      </w:r>
    </w:p>
    <w:p>
      <w:pPr>
        <w:ind w:left="260" w:hanging="202"/>
        <w:spacing w:after="0"/>
        <w:tabs>
          <w:tab w:leader="none" w:pos="260" w:val="left"/>
        </w:tabs>
        <w:numPr>
          <w:ilvl w:val="0"/>
          <w:numId w:val="2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52,974 $ 52,435</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Excluding the effects of the Berchtold and Mayfield acquisitions in April and May 2004, respectively, (see Note 9), annual amortization expense is expected to approximate $3.4 million in 2004, $3.3 million in 2005, $3.2 million in 2006, $2.9 million in 2007, and $2.5 million in 2008. Identifiable intangible assets are initially recorded at fair market value at the time of acquisition generally using an income or cost approach.</w:t>
      </w:r>
    </w:p>
    <w:p>
      <w:pPr>
        <w:spacing w:after="0" w:line="204"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 was as follows:</w:t>
      </w:r>
    </w:p>
    <w:p>
      <w:pPr>
        <w:ind w:left="60"/>
        <w:spacing w:after="0" w:line="238" w:lineRule="auto"/>
        <w:rPr>
          <w:sz w:val="20"/>
          <w:szCs w:val="20"/>
          <w:color w:val="auto"/>
        </w:rPr>
      </w:pPr>
      <w:r>
        <w:rPr>
          <w:rFonts w:ascii="Courier New" w:cs="Courier New" w:eastAsia="Courier New" w:hAnsi="Courier New"/>
          <w:sz w:val="18"/>
          <w:szCs w:val="18"/>
          <w:color w:val="auto"/>
        </w:rPr>
        <w:t>Three Months Ended March 31, -------------</w:t>
      </w:r>
    </w:p>
    <w:p>
      <w:pPr>
        <w:ind w:left="120"/>
        <w:spacing w:after="0"/>
        <w:rPr>
          <w:sz w:val="20"/>
          <w:szCs w:val="20"/>
          <w:color w:val="auto"/>
        </w:rPr>
      </w:pPr>
      <w:r>
        <w:rPr>
          <w:rFonts w:ascii="Courier New" w:cs="Courier New" w:eastAsia="Courier New" w:hAnsi="Courier New"/>
          <w:sz w:val="18"/>
          <w:szCs w:val="18"/>
          <w:color w:val="auto"/>
        </w:rPr>
        <w:t>------------- 2004 2003 -------- --------</w:t>
      </w:r>
    </w:p>
    <w:p>
      <w:pPr>
        <w:jc w:val="center"/>
        <w:ind w:right="5679"/>
        <w:spacing w:after="0" w:line="237" w:lineRule="auto"/>
        <w:rPr>
          <w:sz w:val="20"/>
          <w:szCs w:val="20"/>
          <w:color w:val="auto"/>
        </w:rPr>
      </w:pPr>
      <w:r>
        <w:rPr>
          <w:rFonts w:ascii="Courier New" w:cs="Courier New" w:eastAsia="Courier New" w:hAnsi="Courier New"/>
          <w:sz w:val="18"/>
          <w:szCs w:val="18"/>
          <w:color w:val="auto"/>
        </w:rPr>
        <w:t xml:space="preserve">(in thousands) </w:t>
      </w:r>
      <w:r>
        <w:rPr>
          <w:rFonts w:ascii="Courier New" w:cs="Courier New" w:eastAsia="Courier New" w:hAnsi="Courier New"/>
          <w:sz w:val="18"/>
          <w:szCs w:val="18"/>
          <w:color w:val="auto"/>
          <w:strike w:val="1"/>
        </w:rPr>
        <w:t>Net income</w:t>
      </w:r>
    </w:p>
    <w:p>
      <w:pPr>
        <w:spacing w:after="0" w:line="238"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320" w:right="5999" w:firstLine="265"/>
        <w:spacing w:after="0" w:line="268" w:lineRule="auto"/>
        <w:tabs>
          <w:tab w:leader="none" w:pos="794" w:val="left"/>
        </w:tabs>
        <w:numPr>
          <w:ilvl w:val="0"/>
          <w:numId w:val="2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7,438 $ 5,438 Foreign currency translation adjustment ..............</w:t>
      </w:r>
    </w:p>
    <w:p>
      <w:pPr>
        <w:ind w:left="3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(205) (130) Unrealized holding gains</w:t>
      </w:r>
    </w:p>
    <w:p>
      <w:pPr>
        <w:jc w:val="center"/>
        <w:ind w:right="5679"/>
        <w:spacing w:after="0"/>
        <w:rPr>
          <w:sz w:val="20"/>
          <w:szCs w:val="20"/>
          <w:color w:val="auto"/>
        </w:rPr>
      </w:pPr>
      <w:r>
        <w:rPr>
          <w:rFonts w:ascii="Courier New" w:cs="Courier New" w:eastAsia="Courier New" w:hAnsi="Courier New"/>
          <w:sz w:val="18"/>
          <w:szCs w:val="18"/>
          <w:color w:val="auto"/>
          <w:strike w:val="1"/>
        </w:rPr>
        <w:t>(losses) on available-for-sale securities,</w:t>
      </w:r>
    </w:p>
    <w:p>
      <w:pPr>
        <w:ind w:left="740"/>
        <w:spacing w:after="0" w:line="237" w:lineRule="auto"/>
        <w:rPr>
          <w:sz w:val="20"/>
          <w:szCs w:val="20"/>
          <w:color w:val="auto"/>
        </w:rPr>
      </w:pPr>
      <w:r>
        <w:rPr>
          <w:rFonts w:ascii="Courier New" w:cs="Courier New" w:eastAsia="Courier New" w:hAnsi="Courier New"/>
          <w:sz w:val="18"/>
          <w:szCs w:val="18"/>
          <w:color w:val="auto"/>
          <w:strike w:val="1"/>
        </w:rPr>
        <w:t>net of tax ........ 345 (139)</w:t>
      </w:r>
    </w:p>
    <w:p>
      <w:pPr>
        <w:ind w:left="320"/>
        <w:spacing w:after="0" w:line="238" w:lineRule="auto"/>
        <w:rPr>
          <w:sz w:val="20"/>
          <w:szCs w:val="20"/>
          <w:color w:val="auto"/>
        </w:rPr>
      </w:pPr>
      <w:r>
        <w:rPr>
          <w:rFonts w:ascii="Courier New" w:cs="Courier New" w:eastAsia="Courier New" w:hAnsi="Courier New"/>
          <w:sz w:val="18"/>
          <w:szCs w:val="18"/>
          <w:color w:val="auto"/>
          <w:strike w:val="1"/>
        </w:rPr>
        <w:t>Reclassification adjustment for gains</w:t>
      </w:r>
    </w:p>
    <w:p>
      <w:pPr>
        <w:ind w:left="1120"/>
        <w:spacing w:after="0"/>
        <w:rPr>
          <w:sz w:val="20"/>
          <w:szCs w:val="20"/>
          <w:color w:val="auto"/>
        </w:rPr>
      </w:pPr>
      <w:r>
        <w:rPr>
          <w:rFonts w:ascii="Courier New" w:cs="Courier New" w:eastAsia="Courier New" w:hAnsi="Courier New"/>
          <w:sz w:val="18"/>
          <w:szCs w:val="18"/>
          <w:color w:val="auto"/>
          <w:strike w:val="1"/>
        </w:rPr>
        <w:t>included in net income</w:t>
      </w:r>
    </w:p>
    <w:p>
      <w:pPr>
        <w:ind w:left="60"/>
        <w:spacing w:after="0" w:line="237" w:lineRule="auto"/>
        <w:rPr>
          <w:sz w:val="20"/>
          <w:szCs w:val="20"/>
          <w:color w:val="auto"/>
        </w:rPr>
      </w:pPr>
      <w:r>
        <w:rPr>
          <w:rFonts w:ascii="Courier New" w:cs="Courier New" w:eastAsia="Courier New" w:hAnsi="Courier New"/>
          <w:sz w:val="18"/>
          <w:szCs w:val="18"/>
          <w:color w:val="auto"/>
          <w:strike w:val="1"/>
        </w:rPr>
        <w:t>......................... -- (221) -------</w:t>
      </w:r>
    </w:p>
    <w:p>
      <w:pPr>
        <w:ind w:left="640"/>
        <w:spacing w:after="0"/>
        <w:rPr>
          <w:sz w:val="20"/>
          <w:szCs w:val="20"/>
          <w:color w:val="auto"/>
        </w:rPr>
      </w:pPr>
      <w:r>
        <w:rPr>
          <w:rFonts w:ascii="Courier New" w:cs="Courier New" w:eastAsia="Courier New" w:hAnsi="Courier New"/>
          <w:sz w:val="18"/>
          <w:szCs w:val="18"/>
          <w:color w:val="auto"/>
          <w:strike w:val="1"/>
        </w:rPr>
        <w:t>- -------- Comprehensive income</w:t>
      </w:r>
    </w:p>
    <w:p>
      <w:pPr>
        <w:ind w:left="120"/>
        <w:spacing w:after="0" w:line="237" w:lineRule="auto"/>
        <w:rPr>
          <w:sz w:val="20"/>
          <w:szCs w:val="20"/>
          <w:color w:val="auto"/>
        </w:rPr>
      </w:pPr>
      <w:r>
        <w:rPr>
          <w:rFonts w:ascii="Courier New" w:cs="Courier New" w:eastAsia="Courier New" w:hAnsi="Courier New"/>
          <w:sz w:val="18"/>
          <w:szCs w:val="18"/>
          <w:color w:val="auto"/>
          <w:strike w:val="1"/>
        </w:rPr>
        <w:t>................................. $ 7,578</w:t>
      </w:r>
    </w:p>
    <w:p>
      <w:pPr>
        <w:ind w:left="960"/>
        <w:spacing w:after="0"/>
        <w:rPr>
          <w:sz w:val="20"/>
          <w:szCs w:val="20"/>
          <w:color w:val="auto"/>
        </w:rPr>
      </w:pPr>
      <w:r>
        <w:rPr>
          <w:rFonts w:ascii="Courier New" w:cs="Courier New" w:eastAsia="Courier New" w:hAnsi="Courier New"/>
          <w:sz w:val="18"/>
          <w:szCs w:val="18"/>
          <w:color w:val="auto"/>
          <w:strike w:val="1"/>
        </w:rPr>
        <w:t>$ 4,948 ======== ========</w:t>
      </w:r>
    </w:p>
    <w:p>
      <w:pPr>
        <w:spacing w:after="0" w:line="20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59" w:gutter="0" w:footer="0" w:header="0"/>
        </w:sectPr>
      </w:pPr>
    </w:p>
    <w:bookmarkStart w:id="9" w:name="page10"/>
    <w:bookmarkEnd w:id="9"/>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SHARE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Basic and diluted net income per</w:t>
      </w:r>
    </w:p>
    <w:p>
      <w:pPr>
        <w:ind w:left="60"/>
        <w:spacing w:after="0" w:line="238" w:lineRule="auto"/>
        <w:rPr>
          <w:sz w:val="20"/>
          <w:szCs w:val="20"/>
          <w:color w:val="auto"/>
        </w:rPr>
      </w:pPr>
      <w:r>
        <w:rPr>
          <w:rFonts w:ascii="Courier New" w:cs="Courier New" w:eastAsia="Courier New" w:hAnsi="Courier New"/>
          <w:sz w:val="18"/>
          <w:szCs w:val="18"/>
          <w:color w:val="auto"/>
        </w:rPr>
        <w:t>share were as follows: Three Months</w:t>
      </w:r>
    </w:p>
    <w:p>
      <w:pPr>
        <w:ind w:left="100"/>
        <w:spacing w:after="0"/>
        <w:rPr>
          <w:sz w:val="20"/>
          <w:szCs w:val="20"/>
          <w:color w:val="auto"/>
        </w:rPr>
      </w:pPr>
      <w:r>
        <w:rPr>
          <w:rFonts w:ascii="Courier New" w:cs="Courier New" w:eastAsia="Courier New" w:hAnsi="Courier New"/>
          <w:sz w:val="18"/>
          <w:szCs w:val="18"/>
          <w:color w:val="auto"/>
        </w:rPr>
        <w:t>Ended March 31, ------------------</w:t>
      </w:r>
    </w:p>
    <w:p>
      <w:pPr>
        <w:ind w:left="480"/>
        <w:spacing w:after="0" w:line="237" w:lineRule="auto"/>
        <w:rPr>
          <w:sz w:val="20"/>
          <w:szCs w:val="20"/>
          <w:color w:val="auto"/>
        </w:rPr>
      </w:pPr>
      <w:r>
        <w:rPr>
          <w:rFonts w:ascii="Courier New" w:cs="Courier New" w:eastAsia="Courier New" w:hAnsi="Courier New"/>
          <w:sz w:val="18"/>
          <w:szCs w:val="18"/>
          <w:color w:val="auto"/>
        </w:rPr>
        <w:t>2004 2003 ------ ------ (In</w:t>
      </w:r>
    </w:p>
    <w:p>
      <w:pPr>
        <w:jc w:val="center"/>
        <w:ind w:right="6439"/>
        <w:spacing w:after="0" w:line="238" w:lineRule="auto"/>
        <w:rPr>
          <w:sz w:val="20"/>
          <w:szCs w:val="20"/>
          <w:color w:val="auto"/>
        </w:rPr>
      </w:pPr>
      <w:r>
        <w:rPr>
          <w:rFonts w:ascii="Courier New" w:cs="Courier New" w:eastAsia="Courier New" w:hAnsi="Courier New"/>
          <w:sz w:val="18"/>
          <w:szCs w:val="18"/>
          <w:color w:val="auto"/>
        </w:rPr>
        <w:t>thousands, except per share</w:t>
      </w:r>
    </w:p>
    <w:p>
      <w:pPr>
        <w:jc w:val="center"/>
        <w:ind w:right="6439"/>
        <w:spacing w:after="0"/>
        <w:rPr>
          <w:sz w:val="20"/>
          <w:szCs w:val="20"/>
          <w:color w:val="auto"/>
        </w:rPr>
      </w:pPr>
      <w:r>
        <w:rPr>
          <w:rFonts w:ascii="Courier New" w:cs="Courier New" w:eastAsia="Courier New" w:hAnsi="Courier New"/>
          <w:sz w:val="18"/>
          <w:szCs w:val="18"/>
          <w:color w:val="auto"/>
        </w:rPr>
        <w:t>amounts) Basic net income per</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share: - --------------------------</w:t>
      </w:r>
    </w:p>
    <w:p>
      <w:pPr>
        <w:spacing w:after="0" w:line="21" w:lineRule="exact"/>
        <w:rPr>
          <w:sz w:val="20"/>
          <w:szCs w:val="20"/>
          <w:color w:val="auto"/>
        </w:rPr>
      </w:pPr>
    </w:p>
    <w:p>
      <w:pPr>
        <w:ind w:left="100" w:right="6539" w:firstLine="113"/>
        <w:spacing w:after="0" w:line="237" w:lineRule="auto"/>
        <w:tabs>
          <w:tab w:leader="none" w:pos="41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Net income available to common stock .......................... $ 7,438 $ 5,438 Weighted average common shares outstanding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29,704 29,438</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Basic net income per share</w:t>
      </w:r>
    </w:p>
    <w:p>
      <w:pPr>
        <w:spacing w:after="0"/>
        <w:rPr>
          <w:sz w:val="20"/>
          <w:szCs w:val="20"/>
          <w:color w:val="auto"/>
        </w:rPr>
      </w:pPr>
      <w:r>
        <w:rPr>
          <w:rFonts w:ascii="Courier New" w:cs="Courier New" w:eastAsia="Courier New" w:hAnsi="Courier New"/>
          <w:sz w:val="18"/>
          <w:szCs w:val="18"/>
          <w:color w:val="auto"/>
          <w:strike w:val="1"/>
        </w:rPr>
        <w:t>....................................</w:t>
      </w:r>
    </w:p>
    <w:p>
      <w:pPr>
        <w:spacing w:after="0" w:line="3" w:lineRule="exact"/>
        <w:rPr>
          <w:sz w:val="20"/>
          <w:szCs w:val="20"/>
          <w:color w:val="auto"/>
        </w:rPr>
      </w:pPr>
    </w:p>
    <w:p>
      <w:pPr>
        <w:ind w:left="60" w:right="6479" w:firstLine="153"/>
        <w:spacing w:after="0" w:line="268" w:lineRule="auto"/>
        <w:tabs>
          <w:tab w:leader="none" w:pos="429" w:val="left"/>
        </w:tabs>
        <w:numPr>
          <w:ilvl w:val="0"/>
          <w:numId w:val="2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0.25 $ 0.18 Diluted net income per share: - ----------------------</w:t>
      </w:r>
    </w:p>
    <w:p>
      <w:pPr>
        <w:ind w:left="1260" w:right="6799" w:hanging="889"/>
        <w:spacing w:after="0" w:line="235" w:lineRule="auto"/>
        <w:tabs>
          <w:tab w:leader="none" w:pos="997" w:val="left"/>
        </w:tabs>
        <w:numPr>
          <w:ilvl w:val="1"/>
          <w:numId w:val="2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Net income available to common stock</w:t>
      </w:r>
    </w:p>
    <w:p>
      <w:pPr>
        <w:ind w:left="100"/>
        <w:spacing w:after="0"/>
        <w:rPr>
          <w:sz w:val="20"/>
          <w:szCs w:val="20"/>
          <w:color w:val="auto"/>
        </w:rPr>
      </w:pPr>
      <w:r>
        <w:rPr>
          <w:rFonts w:ascii="Courier New" w:cs="Courier New" w:eastAsia="Courier New" w:hAnsi="Courier New"/>
          <w:sz w:val="18"/>
          <w:szCs w:val="18"/>
          <w:color w:val="auto"/>
          <w:strike w:val="1"/>
        </w:rPr>
        <w:t>.......................... $ 7,438</w:t>
      </w:r>
    </w:p>
    <w:p>
      <w:pPr>
        <w:spacing w:after="0" w:line="4" w:lineRule="exact"/>
        <w:rPr>
          <w:sz w:val="20"/>
          <w:szCs w:val="20"/>
          <w:color w:val="auto"/>
        </w:rPr>
      </w:pPr>
    </w:p>
    <w:p>
      <w:pPr>
        <w:ind w:left="520" w:right="6679" w:hanging="254"/>
        <w:spacing w:after="0" w:line="268" w:lineRule="auto"/>
        <w:tabs>
          <w:tab w:leader="none" w:pos="468" w:val="left"/>
        </w:tabs>
        <w:numPr>
          <w:ilvl w:val="0"/>
          <w:numId w:val="2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5,438 Weighted average common shares outstanding - Basic</w:t>
      </w:r>
    </w:p>
    <w:p>
      <w:pPr>
        <w:ind w:left="160"/>
        <w:spacing w:after="0" w:line="233" w:lineRule="auto"/>
        <w:rPr>
          <w:sz w:val="20"/>
          <w:szCs w:val="20"/>
          <w:color w:val="auto"/>
        </w:rPr>
      </w:pPr>
      <w:r>
        <w:rPr>
          <w:rFonts w:ascii="Courier New" w:cs="Courier New" w:eastAsia="Courier New" w:hAnsi="Courier New"/>
          <w:sz w:val="18"/>
          <w:szCs w:val="18"/>
          <w:color w:val="auto"/>
          <w:strike w:val="1"/>
        </w:rPr>
        <w:t>............ 29,704 29,438 Effect</w:t>
      </w:r>
    </w:p>
    <w:p>
      <w:pPr>
        <w:ind w:left="320"/>
        <w:spacing w:after="0"/>
        <w:rPr>
          <w:sz w:val="20"/>
          <w:szCs w:val="20"/>
          <w:color w:val="auto"/>
        </w:rPr>
      </w:pPr>
      <w:r>
        <w:rPr>
          <w:rFonts w:ascii="Courier New" w:cs="Courier New" w:eastAsia="Courier New" w:hAnsi="Courier New"/>
          <w:sz w:val="18"/>
          <w:szCs w:val="18"/>
          <w:color w:val="auto"/>
          <w:strike w:val="1"/>
        </w:rPr>
        <w:t>of dilutive securities - stock</w:t>
      </w:r>
    </w:p>
    <w:p>
      <w:pPr>
        <w:ind w:left="260"/>
        <w:spacing w:after="0" w:line="237" w:lineRule="auto"/>
        <w:rPr>
          <w:sz w:val="20"/>
          <w:szCs w:val="20"/>
          <w:color w:val="auto"/>
        </w:rPr>
      </w:pPr>
      <w:r>
        <w:rPr>
          <w:rFonts w:ascii="Courier New" w:cs="Courier New" w:eastAsia="Courier New" w:hAnsi="Courier New"/>
          <w:sz w:val="18"/>
          <w:szCs w:val="18"/>
          <w:color w:val="auto"/>
          <w:strike w:val="1"/>
        </w:rPr>
        <w:t>options and warrants .... 1,155</w:t>
      </w:r>
    </w:p>
    <w:p>
      <w:pPr>
        <w:ind w:left="220"/>
        <w:spacing w:after="0"/>
        <w:rPr>
          <w:sz w:val="20"/>
          <w:szCs w:val="20"/>
          <w:color w:val="auto"/>
        </w:rPr>
      </w:pPr>
      <w:r>
        <w:rPr>
          <w:rFonts w:ascii="Courier New" w:cs="Courier New" w:eastAsia="Courier New" w:hAnsi="Courier New"/>
          <w:sz w:val="18"/>
          <w:szCs w:val="18"/>
          <w:color w:val="auto"/>
          <w:strike w:val="1"/>
        </w:rPr>
        <w:t>1,431 -------- -------- Weighted</w:t>
      </w:r>
    </w:p>
    <w:p>
      <w:pPr>
        <w:jc w:val="center"/>
        <w:ind w:right="6439"/>
        <w:spacing w:after="0" w:line="237" w:lineRule="auto"/>
        <w:rPr>
          <w:sz w:val="20"/>
          <w:szCs w:val="20"/>
          <w:color w:val="auto"/>
        </w:rPr>
      </w:pPr>
      <w:r>
        <w:rPr>
          <w:rFonts w:ascii="Courier New" w:cs="Courier New" w:eastAsia="Courier New" w:hAnsi="Courier New"/>
          <w:sz w:val="18"/>
          <w:szCs w:val="18"/>
          <w:color w:val="auto"/>
          <w:strike w:val="1"/>
        </w:rPr>
        <w:t>average common shares for diluted</w:t>
      </w:r>
    </w:p>
    <w:p>
      <w:pPr>
        <w:jc w:val="center"/>
        <w:ind w:right="6439"/>
        <w:spacing w:after="0"/>
        <w:rPr>
          <w:sz w:val="20"/>
          <w:szCs w:val="20"/>
          <w:color w:val="auto"/>
        </w:rPr>
      </w:pPr>
      <w:r>
        <w:rPr>
          <w:rFonts w:ascii="Courier New" w:cs="Courier New" w:eastAsia="Courier New" w:hAnsi="Courier New"/>
          <w:sz w:val="18"/>
          <w:szCs w:val="18"/>
          <w:color w:val="auto"/>
          <w:strike w:val="1"/>
        </w:rPr>
        <w:t>earnings per share.. 30,859 30,869</w:t>
      </w:r>
    </w:p>
    <w:p>
      <w:pPr>
        <w:jc w:val="center"/>
        <w:ind w:right="6439"/>
        <w:spacing w:after="0" w:line="237" w:lineRule="auto"/>
        <w:rPr>
          <w:sz w:val="20"/>
          <w:szCs w:val="20"/>
          <w:color w:val="auto"/>
        </w:rPr>
      </w:pPr>
      <w:r>
        <w:rPr>
          <w:rFonts w:ascii="Courier New" w:cs="Courier New" w:eastAsia="Courier New" w:hAnsi="Courier New"/>
          <w:sz w:val="18"/>
          <w:szCs w:val="18"/>
          <w:color w:val="auto"/>
          <w:strike w:val="1"/>
        </w:rPr>
        <w:t>Diluted net income per share</w:t>
      </w:r>
    </w:p>
    <w:p>
      <w:pPr>
        <w:ind w:left="100"/>
        <w:spacing w:after="0" w:line="238" w:lineRule="auto"/>
        <w:rPr>
          <w:sz w:val="20"/>
          <w:szCs w:val="20"/>
          <w:color w:val="auto"/>
        </w:rPr>
      </w:pPr>
      <w:r>
        <w:rPr>
          <w:rFonts w:ascii="Courier New" w:cs="Courier New" w:eastAsia="Courier New" w:hAnsi="Courier New"/>
          <w:sz w:val="18"/>
          <w:szCs w:val="18"/>
          <w:color w:val="auto"/>
          <w:strike w:val="1"/>
        </w:rPr>
        <w:t>..................................</w:t>
      </w:r>
    </w:p>
    <w:p>
      <w:pPr>
        <w:ind w:left="1220"/>
        <w:spacing w:after="0"/>
        <w:rPr>
          <w:sz w:val="20"/>
          <w:szCs w:val="20"/>
          <w:color w:val="auto"/>
        </w:rPr>
      </w:pPr>
      <w:r>
        <w:rPr>
          <w:rFonts w:ascii="Courier New" w:cs="Courier New" w:eastAsia="Courier New" w:hAnsi="Courier New"/>
          <w:sz w:val="18"/>
          <w:szCs w:val="18"/>
          <w:color w:val="auto"/>
          <w:strike w:val="1"/>
        </w:rPr>
        <w:t>$ 0.24 $ 0.18</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Options outstanding at March 31, 2004 and 2003, respectively, to purchase approximately 35,000 and 771,000 shares of common stock were excluded from the computation of diluted net income per share for the three month periods ended March 31, 2004 and 2003 because their exercise price exceeded the average market price of the Company's common stock during the period.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Notes payable outstanding at March 31, 2004 and 2003 that were convertible into 3.5 million and 3.1 million shares of common stock were excluded from the computation of diluted net income per share for the three month periods ended March 31, 2004 and 2003, respectively, because the conditions required to convert the notes were not met.</w:t>
      </w: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Holders have the right to convert their notes into shares of the Company's common stock at any time prior to their maturity, if any of the following conditions is met:</w:t>
      </w:r>
    </w:p>
    <w:p>
      <w:pPr>
        <w:spacing w:after="0" w:line="6" w:lineRule="exact"/>
        <w:rPr>
          <w:sz w:val="20"/>
          <w:szCs w:val="20"/>
          <w:color w:val="auto"/>
        </w:rPr>
      </w:pPr>
    </w:p>
    <w:p>
      <w:pPr>
        <w:ind w:left="960" w:right="2519" w:hanging="952"/>
        <w:spacing w:after="0" w:line="236" w:lineRule="auto"/>
        <w:tabs>
          <w:tab w:leader="none" w:pos="22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sale price of the Company's common stock on the trading day prior to the conversion date was 110% or more of the conversion price on such trading day;</w:t>
      </w:r>
    </w:p>
    <w:p>
      <w:pPr>
        <w:spacing w:after="0" w:line="6" w:lineRule="exact"/>
        <w:rPr>
          <w:rFonts w:ascii="Courier New" w:cs="Courier New" w:eastAsia="Courier New" w:hAnsi="Courier New"/>
          <w:sz w:val="18"/>
          <w:szCs w:val="18"/>
          <w:color w:val="auto"/>
        </w:rPr>
      </w:pPr>
    </w:p>
    <w:p>
      <w:pPr>
        <w:ind w:left="960" w:right="1779" w:hanging="952"/>
        <w:spacing w:after="0" w:line="237" w:lineRule="auto"/>
        <w:tabs>
          <w:tab w:leader="none" w:pos="22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distributes to holders of its common stock certain rights entitling them to purchase common stock at less than the last sale price of our common stock on the day preceding the declaration for such distribution;</w:t>
      </w:r>
    </w:p>
    <w:p>
      <w:pPr>
        <w:spacing w:after="0" w:line="4" w:lineRule="exact"/>
        <w:rPr>
          <w:rFonts w:ascii="Courier New" w:cs="Courier New" w:eastAsia="Courier New" w:hAnsi="Courier New"/>
          <w:sz w:val="18"/>
          <w:szCs w:val="18"/>
          <w:color w:val="auto"/>
        </w:rPr>
      </w:pPr>
    </w:p>
    <w:p>
      <w:pPr>
        <w:ind w:left="960" w:right="1779" w:hanging="952"/>
        <w:spacing w:after="0" w:line="237" w:lineRule="auto"/>
        <w:tabs>
          <w:tab w:leader="none" w:pos="22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distributes to holders of its common stock assets, debt, securities or certain rights to purchase its securities, which distribution has a per share value exceeding 10% of the last sale price of the Company's common stock on the day preceding the declaration of such distribution; or</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Company becomes a party to a consolidation, merger or sale of all</w:t>
      </w:r>
    </w:p>
    <w:p>
      <w:pPr>
        <w:spacing w:after="0" w:line="4" w:lineRule="exact"/>
        <w:rPr>
          <w:rFonts w:ascii="Courier New" w:cs="Courier New" w:eastAsia="Courier New" w:hAnsi="Courier New"/>
          <w:sz w:val="18"/>
          <w:szCs w:val="18"/>
          <w:color w:val="auto"/>
        </w:rPr>
      </w:pPr>
    </w:p>
    <w:p>
      <w:pPr>
        <w:ind w:left="96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substantially all of its assets or a change in control occurs pursuant to which the Company's common stock would be converted into cash, stock or other property that is not common equity interests traded on a national securities exchange or quoted on the Nasdaq National Market;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Holders may also convert their notes into shares of the Company's common stock as follows: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960" w:right="1579" w:hanging="952"/>
        <w:spacing w:after="0" w:line="235" w:lineRule="auto"/>
        <w:tabs>
          <w:tab w:leader="none" w:pos="22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March 15, 2006 after any 5 consecutive trading-day period in which the average trading prices for the notes for that 5</w:t>
      </w:r>
    </w:p>
    <w:p>
      <w:pPr>
        <w:sectPr>
          <w:pgSz w:w="11900" w:h="16838" w:orient="portrait"/>
          <w:cols w:equalWidth="0" w:num="1">
            <w:col w:w="10219"/>
          </w:cols>
          <w:pgMar w:left="240" w:top="1325" w:right="1440" w:bottom="0" w:gutter="0" w:footer="0" w:header="0"/>
        </w:sectPr>
      </w:pPr>
    </w:p>
    <w:bookmarkStart w:id="10" w:name="page11"/>
    <w:bookmarkEnd w:id="10"/>
    <w:p>
      <w:pPr>
        <w:ind w:left="960" w:right="1999"/>
        <w:spacing w:after="0" w:line="235" w:lineRule="auto"/>
        <w:rPr>
          <w:sz w:val="20"/>
          <w:szCs w:val="20"/>
          <w:color w:val="auto"/>
        </w:rPr>
      </w:pPr>
      <w:r>
        <w:rPr>
          <w:rFonts w:ascii="Courier New" w:cs="Courier New" w:eastAsia="Courier New" w:hAnsi="Courier New"/>
          <w:sz w:val="18"/>
          <w:szCs w:val="18"/>
          <w:color w:val="auto"/>
        </w:rPr>
        <w:t>trading-day period was less than 103% of the average conversion value for the notes during that period; or</w:t>
      </w:r>
    </w:p>
    <w:p>
      <w:pPr>
        <w:spacing w:after="0" w:line="6" w:lineRule="exact"/>
        <w:rPr>
          <w:sz w:val="20"/>
          <w:szCs w:val="20"/>
          <w:color w:val="auto"/>
        </w:rPr>
      </w:pPr>
    </w:p>
    <w:p>
      <w:pPr>
        <w:ind w:left="960" w:right="1679" w:hanging="952"/>
        <w:spacing w:after="0" w:line="237" w:lineRule="auto"/>
        <w:tabs>
          <w:tab w:leader="none" w:pos="22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on or after March 15, 2006 and prior to maturity after any 5 consecutive trading-day period in which the average trading prices for the notes for that 5 trading-day period was less than 97% of the average conversion value for the notes during that period (however, holders may not convert their notes on or after March 15, 2006 if, at the time of the calculation, the closing sale price of shares of the Company's common stock is between the then current conversion price on the notes and 110% of the then current conversion price on the notes.)</w:t>
      </w:r>
    </w:p>
    <w:p>
      <w:pPr>
        <w:spacing w:after="0" w:line="207"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REVENUE AND GEOGRAPHIC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develops, manufactures, and markets medical devices for use primarily in neuro-trauma and neurosurgery, plastic and reconstructive surgery, and general surgery. The Company's product lines include monitoring and drainage systems, surgical instruments, fixation systems, and innovative tissue repair products that incorporate the Company's proprietary absorbable implant technology. The Company reports its financial results under a single operating segment - the development, manufacturing, and distribution of medical devices.</w:t>
      </w:r>
    </w:p>
    <w:p>
      <w:pPr>
        <w:spacing w:after="0" w:line="9" w:lineRule="exact"/>
        <w:rPr>
          <w:sz w:val="20"/>
          <w:szCs w:val="20"/>
          <w:color w:val="auto"/>
        </w:rPr>
      </w:pPr>
    </w:p>
    <w:p>
      <w:pPr>
        <w:ind w:left="60" w:right="4799" w:firstLine="53"/>
        <w:spacing w:after="0" w:line="268" w:lineRule="auto"/>
        <w:rPr>
          <w:sz w:val="20"/>
          <w:szCs w:val="20"/>
          <w:color w:val="auto"/>
        </w:rPr>
      </w:pPr>
      <w:r>
        <w:rPr>
          <w:rFonts w:ascii="Courier New" w:cs="Courier New" w:eastAsia="Courier New" w:hAnsi="Courier New"/>
          <w:sz w:val="16"/>
          <w:szCs w:val="16"/>
          <w:color w:val="auto"/>
        </w:rPr>
        <w:t>Product revenues are segregated into the following categories Three Months Ended March 31, -----------</w:t>
      </w:r>
    </w:p>
    <w:p>
      <w:pPr>
        <w:ind w:left="220"/>
        <w:spacing w:after="0" w:line="233" w:lineRule="auto"/>
        <w:rPr>
          <w:sz w:val="20"/>
          <w:szCs w:val="20"/>
          <w:color w:val="auto"/>
        </w:rPr>
      </w:pPr>
      <w:r>
        <w:rPr>
          <w:rFonts w:ascii="Courier New" w:cs="Courier New" w:eastAsia="Courier New" w:hAnsi="Courier New"/>
          <w:sz w:val="18"/>
          <w:szCs w:val="18"/>
          <w:color w:val="auto"/>
        </w:rPr>
        <w:t>--------- 2004 2003 ------ ------ (in thousands)</w:t>
      </w:r>
    </w:p>
    <w:p>
      <w:pPr>
        <w:jc w:val="center"/>
        <w:ind w:right="4739"/>
        <w:spacing w:after="0"/>
        <w:rPr>
          <w:sz w:val="20"/>
          <w:szCs w:val="20"/>
          <w:color w:val="auto"/>
        </w:rPr>
      </w:pPr>
      <w:r>
        <w:rPr>
          <w:rFonts w:ascii="Courier New" w:cs="Courier New" w:eastAsia="Courier New" w:hAnsi="Courier New"/>
          <w:sz w:val="18"/>
          <w:szCs w:val="18"/>
          <w:color w:val="auto"/>
          <w:strike w:val="1"/>
        </w:rPr>
        <w:t>Monitoring</w:t>
      </w:r>
    </w:p>
    <w:p>
      <w:pPr>
        <w:spacing w:after="0" w:line="237" w:lineRule="auto"/>
        <w:rPr>
          <w:sz w:val="20"/>
          <w:szCs w:val="20"/>
          <w:color w:val="auto"/>
        </w:rPr>
      </w:pPr>
      <w:r>
        <w:rPr>
          <w:rFonts w:ascii="Courier New" w:cs="Courier New" w:eastAsia="Courier New" w:hAnsi="Courier New"/>
          <w:sz w:val="18"/>
          <w:szCs w:val="18"/>
          <w:color w:val="auto"/>
          <w:strike w:val="1"/>
        </w:rPr>
        <w:t>products............................................</w:t>
      </w:r>
    </w:p>
    <w:p>
      <w:pPr>
        <w:jc w:val="center"/>
        <w:ind w:right="4739"/>
        <w:spacing w:after="0"/>
        <w:rPr>
          <w:sz w:val="20"/>
          <w:szCs w:val="20"/>
          <w:color w:val="auto"/>
        </w:rPr>
      </w:pPr>
      <w:r>
        <w:rPr>
          <w:rFonts w:ascii="Courier New" w:cs="Courier New" w:eastAsia="Courier New" w:hAnsi="Courier New"/>
          <w:sz w:val="18"/>
          <w:szCs w:val="18"/>
          <w:color w:val="auto"/>
          <w:strike w:val="1"/>
        </w:rPr>
        <w:t>$ 11,198 $ 10,532 Operating room</w:t>
      </w:r>
    </w:p>
    <w:p>
      <w:pPr>
        <w:ind w:left="220"/>
        <w:spacing w:after="0" w:line="237" w:lineRule="auto"/>
        <w:rPr>
          <w:sz w:val="20"/>
          <w:szCs w:val="20"/>
          <w:color w:val="auto"/>
        </w:rPr>
      </w:pPr>
      <w:r>
        <w:rPr>
          <w:rFonts w:ascii="Courier New" w:cs="Courier New" w:eastAsia="Courier New" w:hAnsi="Courier New"/>
          <w:sz w:val="18"/>
          <w:szCs w:val="18"/>
          <w:color w:val="auto"/>
          <w:strike w:val="1"/>
        </w:rPr>
        <w:t>products........................................</w:t>
      </w:r>
    </w:p>
    <w:p>
      <w:pPr>
        <w:jc w:val="center"/>
        <w:ind w:right="4739"/>
        <w:spacing w:after="0"/>
        <w:rPr>
          <w:sz w:val="20"/>
          <w:szCs w:val="20"/>
          <w:color w:val="auto"/>
        </w:rPr>
      </w:pPr>
      <w:r>
        <w:rPr>
          <w:rFonts w:ascii="Courier New" w:cs="Courier New" w:eastAsia="Courier New" w:hAnsi="Courier New"/>
          <w:sz w:val="18"/>
          <w:szCs w:val="18"/>
          <w:color w:val="auto"/>
          <w:strike w:val="1"/>
        </w:rPr>
        <w:t>18,332 12,588 Instruments</w:t>
      </w:r>
    </w:p>
    <w:p>
      <w:pPr>
        <w:ind w:left="60"/>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4739"/>
        <w:spacing w:after="0" w:line="238" w:lineRule="auto"/>
        <w:rPr>
          <w:sz w:val="20"/>
          <w:szCs w:val="20"/>
          <w:color w:val="auto"/>
        </w:rPr>
      </w:pPr>
      <w:r>
        <w:rPr>
          <w:rFonts w:ascii="Courier New" w:cs="Courier New" w:eastAsia="Courier New" w:hAnsi="Courier New"/>
          <w:sz w:val="18"/>
          <w:szCs w:val="18"/>
          <w:color w:val="auto"/>
          <w:strike w:val="1"/>
        </w:rPr>
        <w:t>16,043 6,247 Private label products</w:t>
      </w:r>
    </w:p>
    <w:p>
      <w:pPr>
        <w:ind w:left="320"/>
        <w:spacing w:after="0"/>
        <w:rPr>
          <w:sz w:val="20"/>
          <w:szCs w:val="20"/>
          <w:color w:val="auto"/>
        </w:rPr>
      </w:pPr>
      <w:r>
        <w:rPr>
          <w:rFonts w:ascii="Courier New" w:cs="Courier New" w:eastAsia="Courier New" w:hAnsi="Courier New"/>
          <w:sz w:val="18"/>
          <w:szCs w:val="18"/>
          <w:color w:val="auto"/>
          <w:strike w:val="1"/>
        </w:rPr>
        <w:t>........................................ 5,862</w:t>
      </w:r>
    </w:p>
    <w:p>
      <w:pPr>
        <w:ind w:left="320"/>
        <w:spacing w:after="0" w:line="237" w:lineRule="auto"/>
        <w:rPr>
          <w:sz w:val="20"/>
          <w:szCs w:val="20"/>
          <w:color w:val="auto"/>
        </w:rPr>
      </w:pPr>
      <w:r>
        <w:rPr>
          <w:rFonts w:ascii="Courier New" w:cs="Courier New" w:eastAsia="Courier New" w:hAnsi="Courier New"/>
          <w:sz w:val="18"/>
          <w:szCs w:val="18"/>
          <w:color w:val="auto"/>
          <w:strike w:val="1"/>
        </w:rPr>
        <w:t>5,763 -------- -------- Total product revenues</w:t>
      </w:r>
    </w:p>
    <w:p>
      <w:pPr>
        <w:ind w:left="60"/>
        <w:spacing w:after="0"/>
        <w:rPr>
          <w:sz w:val="20"/>
          <w:szCs w:val="20"/>
          <w:color w:val="auto"/>
        </w:rPr>
      </w:pPr>
      <w:r>
        <w:rPr>
          <w:rFonts w:ascii="Courier New" w:cs="Courier New" w:eastAsia="Courier New" w:hAnsi="Courier New"/>
          <w:sz w:val="18"/>
          <w:szCs w:val="18"/>
          <w:color w:val="auto"/>
          <w:strike w:val="1"/>
        </w:rPr>
        <w:t>........................................ $ 51,435 $</w:t>
      </w:r>
    </w:p>
    <w:p>
      <w:pPr>
        <w:ind w:left="2420"/>
        <w:spacing w:after="0" w:line="237" w:lineRule="auto"/>
        <w:rPr>
          <w:sz w:val="20"/>
          <w:szCs w:val="20"/>
          <w:color w:val="auto"/>
        </w:rPr>
      </w:pPr>
      <w:r>
        <w:rPr>
          <w:rFonts w:ascii="Courier New" w:cs="Courier New" w:eastAsia="Courier New" w:hAnsi="Courier New"/>
          <w:sz w:val="18"/>
          <w:szCs w:val="18"/>
          <w:color w:val="auto"/>
          <w:strike w:val="1"/>
        </w:rPr>
        <w:t>35,130</w:t>
      </w:r>
    </w:p>
    <w:p>
      <w:pPr>
        <w:spacing w:after="0" w:line="200" w:lineRule="exact"/>
        <w:rPr>
          <w:sz w:val="20"/>
          <w:szCs w:val="20"/>
          <w:color w:val="auto"/>
        </w:rPr>
      </w:pPr>
    </w:p>
    <w:p>
      <w:pPr>
        <w:spacing w:after="0" w:line="210"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Beginning in 2004, the Company includes the sales of INTEGRA(R) Dermal Regeneration Template in operating room product revenues. In the prior year period, these product sales were included in private label product revenues.</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of the Company's products, including the DuraGen(R) Dural Graft products, NeuraGen(TM) Nerve Guide, INTEGRA(R) Dermal Regeneration Template, INTEGRA(TM) Bi-Layer Matrix Wound Dressing, and BioMend(R) Absorbable Collagen Membrane, contain material derived from bovine tissue. Products that contain materials derived from animal sources, including food as well as pharmaceuticals and medical devices, are increasingly subject to scrutiny from the press and regulatory authorities. These products comprised approximately 32% of product revenues in the three month periods ended March 31, 2004 and 2003.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ind w:left="160"/>
        <w:spacing w:after="0" w:line="238" w:lineRule="auto"/>
        <w:rPr>
          <w:sz w:val="20"/>
          <w:szCs w:val="20"/>
          <w:color w:val="auto"/>
        </w:rPr>
      </w:pPr>
      <w:r>
        <w:rPr>
          <w:rFonts w:ascii="Courier New" w:cs="Courier New" w:eastAsia="Courier New" w:hAnsi="Courier New"/>
          <w:sz w:val="18"/>
          <w:szCs w:val="18"/>
          <w:color w:val="auto"/>
        </w:rPr>
        <w:t>Product</w:t>
      </w:r>
    </w:p>
    <w:p>
      <w:pPr>
        <w:jc w:val="center"/>
        <w:ind w:right="9159"/>
        <w:spacing w:after="0"/>
        <w:rPr>
          <w:sz w:val="20"/>
          <w:szCs w:val="20"/>
          <w:color w:val="auto"/>
        </w:rPr>
      </w:pPr>
      <w:r>
        <w:rPr>
          <w:rFonts w:ascii="Courier New" w:cs="Courier New" w:eastAsia="Courier New" w:hAnsi="Courier New"/>
          <w:sz w:val="18"/>
          <w:szCs w:val="18"/>
          <w:color w:val="auto"/>
        </w:rPr>
        <w:t>revenues</w:t>
      </w:r>
    </w:p>
    <w:p>
      <w:pPr>
        <w:jc w:val="center"/>
        <w:ind w:right="9159"/>
        <w:spacing w:after="0" w:line="237" w:lineRule="auto"/>
        <w:rPr>
          <w:sz w:val="20"/>
          <w:szCs w:val="20"/>
          <w:color w:val="auto"/>
        </w:rPr>
      </w:pPr>
      <w:r>
        <w:rPr>
          <w:rFonts w:ascii="Courier New" w:cs="Courier New" w:eastAsia="Courier New" w:hAnsi="Courier New"/>
          <w:sz w:val="18"/>
          <w:szCs w:val="18"/>
          <w:color w:val="auto"/>
        </w:rPr>
        <w:t>by major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geographic</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area are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summarized</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below:</w:t>
      </w:r>
    </w:p>
    <w:p>
      <w:pPr>
        <w:jc w:val="center"/>
        <w:ind w:right="9159"/>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Total ----</w:t>
      </w:r>
    </w:p>
    <w:p>
      <w:pPr>
        <w:spacing w:after="0" w:line="16"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March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2004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40,386 $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7,248 $</w:t>
      </w:r>
    </w:p>
    <w:p>
      <w:pPr>
        <w:sectPr>
          <w:pgSz w:w="11900" w:h="16838" w:orient="portrait"/>
          <w:cols w:equalWidth="0" w:num="1">
            <w:col w:w="10219"/>
          </w:cols>
          <w:pgMar w:left="240" w:top="142" w:right="1440" w:bottom="0" w:gutter="0" w:footer="0" w:header="0"/>
        </w:sectPr>
      </w:pPr>
    </w:p>
    <w:bookmarkStart w:id="11" w:name="page12"/>
    <w:bookmarkEnd w:id="11"/>
    <w:p>
      <w:pPr>
        <w:jc w:val="center"/>
        <w:ind w:right="9159"/>
        <w:spacing w:after="0"/>
        <w:rPr>
          <w:sz w:val="20"/>
          <w:szCs w:val="20"/>
          <w:color w:val="auto"/>
        </w:rPr>
      </w:pPr>
      <w:r>
        <w:rPr>
          <w:rFonts w:ascii="Courier New" w:cs="Courier New" w:eastAsia="Courier New" w:hAnsi="Courier New"/>
          <w:sz w:val="18"/>
          <w:szCs w:val="18"/>
          <w:color w:val="auto"/>
          <w:strike w:val="1"/>
        </w:rPr>
        <w:t>1,829 $</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1,972 $</w:t>
      </w:r>
    </w:p>
    <w:p>
      <w:pPr>
        <w:jc w:val="center"/>
        <w:ind w:right="9159"/>
        <w:spacing w:after="0"/>
        <w:rPr>
          <w:sz w:val="20"/>
          <w:szCs w:val="20"/>
          <w:color w:val="auto"/>
        </w:rPr>
      </w:pPr>
      <w:r>
        <w:rPr>
          <w:rFonts w:ascii="Courier New" w:cs="Courier New" w:eastAsia="Courier New" w:hAnsi="Courier New"/>
          <w:sz w:val="18"/>
          <w:szCs w:val="18"/>
          <w:color w:val="auto"/>
          <w:strike w:val="1"/>
        </w:rPr>
        <w:t>51,435</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Three</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months</w:t>
      </w:r>
    </w:p>
    <w:p>
      <w:pPr>
        <w:jc w:val="center"/>
        <w:ind w:right="9159"/>
        <w:spacing w:after="0"/>
        <w:rPr>
          <w:sz w:val="20"/>
          <w:szCs w:val="20"/>
          <w:color w:val="auto"/>
        </w:rPr>
      </w:pPr>
      <w:r>
        <w:rPr>
          <w:rFonts w:ascii="Courier New" w:cs="Courier New" w:eastAsia="Courier New" w:hAnsi="Courier New"/>
          <w:sz w:val="18"/>
          <w:szCs w:val="18"/>
          <w:color w:val="auto"/>
          <w:strike w:val="1"/>
        </w:rPr>
        <w:t>ended</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March 31,</w:t>
      </w:r>
    </w:p>
    <w:p>
      <w:pPr>
        <w:jc w:val="center"/>
        <w:ind w:right="9159"/>
        <w:spacing w:after="0"/>
        <w:rPr>
          <w:sz w:val="20"/>
          <w:szCs w:val="20"/>
          <w:color w:val="auto"/>
        </w:rPr>
      </w:pPr>
      <w:r>
        <w:rPr>
          <w:rFonts w:ascii="Courier New" w:cs="Courier New" w:eastAsia="Courier New" w:hAnsi="Courier New"/>
          <w:sz w:val="18"/>
          <w:szCs w:val="18"/>
          <w:color w:val="auto"/>
          <w:strike w:val="1"/>
        </w:rPr>
        <w:t>2003 ...</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27,262</w:t>
      </w:r>
    </w:p>
    <w:p>
      <w:pPr>
        <w:jc w:val="center"/>
        <w:ind w:right="9159"/>
        <w:spacing w:after="0"/>
        <w:rPr>
          <w:sz w:val="20"/>
          <w:szCs w:val="20"/>
          <w:color w:val="auto"/>
        </w:rPr>
      </w:pPr>
      <w:r>
        <w:rPr>
          <w:rFonts w:ascii="Courier New" w:cs="Courier New" w:eastAsia="Courier New" w:hAnsi="Courier New"/>
          <w:sz w:val="18"/>
          <w:szCs w:val="18"/>
          <w:color w:val="auto"/>
          <w:strike w:val="1"/>
        </w:rPr>
        <w:t>5,001</w:t>
      </w:r>
    </w:p>
    <w:p>
      <w:pPr>
        <w:jc w:val="center"/>
        <w:ind w:right="9159"/>
        <w:spacing w:after="0" w:line="237" w:lineRule="auto"/>
        <w:rPr>
          <w:sz w:val="20"/>
          <w:szCs w:val="20"/>
          <w:color w:val="auto"/>
        </w:rPr>
      </w:pPr>
      <w:r>
        <w:rPr>
          <w:rFonts w:ascii="Courier New" w:cs="Courier New" w:eastAsia="Courier New" w:hAnsi="Courier New"/>
          <w:sz w:val="18"/>
          <w:szCs w:val="18"/>
          <w:color w:val="auto"/>
          <w:strike w:val="1"/>
        </w:rPr>
        <w:t>1,458</w:t>
      </w:r>
    </w:p>
    <w:p>
      <w:pPr>
        <w:jc w:val="center"/>
        <w:ind w:right="9159"/>
        <w:spacing w:after="0" w:line="238" w:lineRule="auto"/>
        <w:rPr>
          <w:sz w:val="20"/>
          <w:szCs w:val="20"/>
          <w:color w:val="auto"/>
        </w:rPr>
      </w:pPr>
      <w:r>
        <w:rPr>
          <w:rFonts w:ascii="Courier New" w:cs="Courier New" w:eastAsia="Courier New" w:hAnsi="Courier New"/>
          <w:sz w:val="18"/>
          <w:szCs w:val="18"/>
          <w:color w:val="auto"/>
          <w:strike w:val="1"/>
        </w:rPr>
        <w:t>1,409</w:t>
      </w:r>
    </w:p>
    <w:p>
      <w:pPr>
        <w:jc w:val="center"/>
        <w:ind w:right="9159"/>
        <w:spacing w:after="0"/>
        <w:rPr>
          <w:sz w:val="20"/>
          <w:szCs w:val="20"/>
          <w:color w:val="auto"/>
        </w:rPr>
      </w:pPr>
      <w:r>
        <w:rPr>
          <w:rFonts w:ascii="Courier New" w:cs="Courier New" w:eastAsia="Courier New" w:hAnsi="Courier New"/>
          <w:sz w:val="18"/>
          <w:szCs w:val="18"/>
          <w:color w:val="auto"/>
          <w:strike w:val="1"/>
        </w:rPr>
        <w:t>35,130</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consideration for certain technology, manufacturing, distribution and selling rights and licenses granted to Integra,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1996, Integra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the Company's favor and awarded Integra $15.0 million in damages, finding that Merck KGaA had willfully infringed and induced the infringement of Integra's patents. The Trial Court dismissed Scripps and Dr. Cheresh from the case.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2000, the Trial Court entered judgment in Integra's favor and against Merck KGaA in the case. In entering the judgment, the Trial Court also granted to the Company pre-judgment interest of approximately $1.4 million, bringing the total award to approximately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Merck KGaA and the Company each appealed various decisions of the Trial Court to the United States Court of Appeals for the Federal Circuit (the "Circuit Court"). The Circuit Court affirmed the Trial Court's finding that Merck KGaA had infringed Integra's patents. The Circuit Court also held that the basis of the jury's calculation of damages was not clear from the trial record, and remanded the case to the Trial Court for further factual development and a new calculation of damages consistent with the Circuit Court's decision.</w:t>
      </w:r>
    </w:p>
    <w:p>
      <w:pPr>
        <w:spacing w:after="0" w:line="2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Company expects the Trial Court to begin new hearings on damages in the summer of 2004. Integra has not recorded any gain in connection with this matter.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Three of the French subsidiaries that the Company acquired from the neurosciences division of NMT Medical, Inc. received a tax reassessment notice from the French tax authorities seeking in excess of 1.7 million euros in back taxes, interest and penalties. NMT Medical, Inc., the former owner of these entities, has agreed to specifically indemnify Integra against any liability in connection with these tax claims. In addition, NMT Medical, Inc. has agreed to provide the French tax authorities with payment of the tax liabilities on behalf of each of these subsidiaries.</w:t>
      </w:r>
    </w:p>
    <w:p>
      <w:pPr>
        <w:sectPr>
          <w:pgSz w:w="11900" w:h="16838" w:orient="portrait"/>
          <w:cols w:equalWidth="0" w:num="1">
            <w:col w:w="10219"/>
          </w:cols>
          <w:pgMar w:left="240" w:top="136" w:right="1440" w:bottom="0" w:gutter="0" w:footer="0" w:header="0"/>
        </w:sectPr>
      </w:pPr>
    </w:p>
    <w:bookmarkStart w:id="12" w:name="page13"/>
    <w:bookmarkEnd w:id="12"/>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also subject to various claims, lawsuits and proceedings in the ordinary course of our business, including claims by current or former employees and distributors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07" w:lineRule="exact"/>
        <w:rPr>
          <w:sz w:val="20"/>
          <w:szCs w:val="20"/>
          <w:color w:val="auto"/>
        </w:rPr>
      </w:pPr>
    </w:p>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April 2004, the Company acquired Berchtold Medizin-Elektronik GmbH from Berchtold Holding Company for approximately $5.0 million in cash subject to a working capital adjustment. Berchtold Medizin-Elektronik, based in Tuttlingen, Germany, manufactures and markets the Elektrotom(R) line of electrosurgery generators and the Sonotom(R) ultrasonic surgical aspirator as well as a broad line of related handpieces, instruments and disposables used in many surgical procedures including neurosurgery. The acquired business generated approximately $6.5 million in revenues for the year ended December 31, 2003, primarily in foreign currency denominated transactions. The Company plans to market these products through an international distributor network. This acquisition will allow the Company to continue to expand its European operations through an existing infrastructure through which its can sell its other products directly into Germany and to offer additional market leading devices to the European and international markets.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May 2004, the Company acquired the surgical business from Schaerer Mayfield USA, Inc. for approximately $20.0 million in cash subject to a working capital adjustment. The acquired business generated approximately $10.3 million in revenues for the year ended December 31, 2003. The products purchased include the Mayfield(R) Cranial Stabilization and Positioning Systems and the BUDDE(R) Halo Retractor System used in head surgery. Mayfield systems are the market leader in the United States, and have been used by neurosurgeons for over thirty years. This acquisition allows Integra to continue to broaden and strengthen the product lines offered by its well-trained and experienced sales group. The Mayfield and BUDDE product lines, which are sold to hospitals and physicians, will be sold in the United States through the Integra NeuroSciences direct sales organization and through distributors internationally. Mayfield's five sales and marketing employees will join Integra's growing sales and marketing teams.</w:t>
      </w:r>
    </w:p>
    <w:p>
      <w:pPr>
        <w:spacing w:after="0" w:line="18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determination of the fair value of the assets acquired and liabilities assumed as a result of these acquisitions is in progress.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41" w:right="1440" w:bottom="1440" w:gutter="0" w:footer="0" w:header="0"/>
        </w:sectPr>
      </w:pPr>
    </w:p>
    <w:bookmarkStart w:id="13" w:name="page14"/>
    <w:bookmarkEnd w:id="13"/>
    <w:p>
      <w:pPr>
        <w:ind w:left="1900" w:right="3159" w:hanging="2738"/>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discussion and analysis of our financial condition and results of operations should be read in conjunction with our consolidated financial statements and the related notes thereto appearing elsewhere in this report and our consolidated financial statements for the year ended December 31, 2003 included in our Annual Report on Form 10-K.</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discussion and analysis contains forward-looking statements that involve risks, uncertainties and assumptions. Our actual results may differ materially from those anticipated in these forward-looking statements as a result of many factors, including but not limited to those set forth below under the heading "Factors That May Affect Our Future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develops, manufactures, and markets medical devices for use primarily in neuro-trauma, neurosurgery, plastic and reconstructive surgery, and general surgery. Our product lines include monitoring and drainage systems, surgical instruments, fixation systems and innovative tissue repair products that incorporate our proprietary absorbable implant technology.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business is organized into product groups and distribution channels. Our product groups include implants and other devices for use in the operating room, monitoring systems for the measurement of various parameters in tissue (such as pressure, temperature, and oxygen), hand-held and ultrasonic surgical instruments, and private label products that we manufacture for other medical device companies.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distribution channels include a sales organization that we employ to call on neurosurgeons, another employed sales force to call on plastic and reconstructive surgeons, and networks of third-party distributors that we manage. We invest substantial resources and management effort to develop our sales organizations, and we believe that we compete very effectively in this aspect of our business.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manufacture most of the operating room, monitoring and private label products that we sell in various plants located in the United States, Puerto Rico, France, the United Kingdom and Germany. We also manufacture the ultrasonic surgical instruments that we sell, but we source most of our hand-held surgical instruments through specialized third-party vendors.</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We believe that we have a particular advantage in the development, manufacture and sale of specialty tissue repair products derived from bovine collagen. We develop and build these products in our manufacturing facility in Plainsboro, New Jersey. Taken together, these products accounted for approximately 32% of product revenues in the three months ended March 31, 2004 and 2003.</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manage these multiple product groups and distribution channels on a centralized basis. Accordingly, we report our financial results under a single operating segment - the development, manufacturing, and distribution of medical devices.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objective is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product lines.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aim to achieve this growth in revenues while maintaining strong financial results. While we pay attention to any meaningful trend in our financial results, we pay particular attention to measurements that tend to support the view that our profitability can grow for a period of years. These measurements include revenue growth from products developed internally or acquired, gross margins on products revenues, which we hope to increase to more than 65% over a period of several years, operating margins, which we hope to increase substantially from the level we reported in 2003, and earnings per fully diluted share of common stock.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ectPr>
          <w:pgSz w:w="11900" w:h="16838" w:orient="portrait"/>
          <w:cols w:equalWidth="0" w:num="1">
            <w:col w:w="10219"/>
          </w:cols>
          <w:pgMar w:left="240" w:top="1128" w:right="1440" w:bottom="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Our strategy for growing our business includes the acquisition of complementary product lines, technologies, and companies. Our acquisitions of the R&amp;B and Sparta instrument businesses in January 2004, Spinal Specialties, Inc. in November 2003, the Tissue Technologies, Inc. business in August 2003, and J. Jamner Surgical Instruments, Inc. ("JARIT") in March 2003, may make our financial results for the three month period ended March 31, 2004 not directly comparable to those of the corresponding prior year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Reported product revenues for the three month periods ended March 31, 2004 and 2003 included the following amounts in revenues from product lines acquired since January 1, 2003:</w:t>
      </w:r>
    </w:p>
    <w:p>
      <w:pPr>
        <w:spacing w:after="0" w:line="1"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Three Months Ended</w:t>
      </w:r>
    </w:p>
    <w:p>
      <w:pPr>
        <w:jc w:val="center"/>
        <w:ind w:right="7799"/>
        <w:spacing w:after="0" w:line="238" w:lineRule="auto"/>
        <w:rPr>
          <w:sz w:val="20"/>
          <w:szCs w:val="20"/>
          <w:color w:val="auto"/>
        </w:rPr>
      </w:pPr>
      <w:r>
        <w:rPr>
          <w:rFonts w:ascii="Courier New" w:cs="Courier New" w:eastAsia="Courier New" w:hAnsi="Courier New"/>
          <w:sz w:val="18"/>
          <w:szCs w:val="18"/>
          <w:color w:val="auto"/>
        </w:rPr>
        <w:t>March 31, (in</w:t>
      </w:r>
    </w:p>
    <w:p>
      <w:pPr>
        <w:jc w:val="center"/>
        <w:ind w:right="7799"/>
        <w:spacing w:after="0"/>
        <w:rPr>
          <w:sz w:val="20"/>
          <w:szCs w:val="20"/>
          <w:color w:val="auto"/>
        </w:rPr>
      </w:pPr>
      <w:r>
        <w:rPr>
          <w:rFonts w:ascii="Courier New" w:cs="Courier New" w:eastAsia="Courier New" w:hAnsi="Courier New"/>
          <w:sz w:val="18"/>
          <w:szCs w:val="18"/>
          <w:color w:val="auto"/>
        </w:rPr>
        <w:t>thousands) 2004 2003 -</w:t>
      </w:r>
    </w:p>
    <w:p>
      <w:pPr>
        <w:spacing w:after="0" w:line="3" w:lineRule="exact"/>
        <w:rPr>
          <w:sz w:val="20"/>
          <w:szCs w:val="20"/>
          <w:color w:val="auto"/>
        </w:rPr>
      </w:pPr>
    </w:p>
    <w:p>
      <w:pPr>
        <w:jc w:val="both"/>
        <w:ind w:left="260" w:right="8059" w:firstLine="9"/>
        <w:spacing w:after="0" w:line="268" w:lineRule="auto"/>
        <w:tabs>
          <w:tab w:leader="none" w:pos="89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Monitoring product</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jc w:val="center"/>
        <w:ind w:right="7799"/>
        <w:spacing w:after="0"/>
        <w:rPr>
          <w:sz w:val="20"/>
          <w:szCs w:val="20"/>
          <w:color w:val="auto"/>
        </w:rPr>
      </w:pPr>
      <w:r>
        <w:rPr>
          <w:rFonts w:ascii="Courier New" w:cs="Courier New" w:eastAsia="Courier New" w:hAnsi="Courier New"/>
          <w:sz w:val="18"/>
          <w:szCs w:val="18"/>
          <w:color w:val="auto"/>
        </w:rPr>
        <w:t>$11,198 $10,532 Total</w:t>
      </w:r>
    </w:p>
    <w:p>
      <w:pPr>
        <w:jc w:val="center"/>
        <w:ind w:right="7799"/>
        <w:spacing w:after="0" w:line="237" w:lineRule="auto"/>
        <w:rPr>
          <w:sz w:val="20"/>
          <w:szCs w:val="20"/>
          <w:color w:val="auto"/>
        </w:rPr>
      </w:pPr>
      <w:r>
        <w:rPr>
          <w:rFonts w:ascii="Courier New" w:cs="Courier New" w:eastAsia="Courier New" w:hAnsi="Courier New"/>
          <w:sz w:val="18"/>
          <w:szCs w:val="18"/>
          <w:color w:val="auto"/>
        </w:rPr>
        <w:t>Operating Room product</w:t>
      </w:r>
    </w:p>
    <w:p>
      <w:pPr>
        <w:jc w:val="center"/>
        <w:ind w:right="7799"/>
        <w:spacing w:after="0" w:line="238" w:lineRule="auto"/>
        <w:rPr>
          <w:sz w:val="20"/>
          <w:szCs w:val="20"/>
          <w:color w:val="auto"/>
        </w:rPr>
      </w:pPr>
      <w:r>
        <w:rPr>
          <w:rFonts w:ascii="Courier New" w:cs="Courier New" w:eastAsia="Courier New" w:hAnsi="Courier New"/>
          <w:sz w:val="18"/>
          <w:szCs w:val="18"/>
          <w:color w:val="auto"/>
        </w:rPr>
        <w:t>revenues ...........</w:t>
      </w:r>
    </w:p>
    <w:p>
      <w:pPr>
        <w:jc w:val="center"/>
        <w:ind w:right="7799"/>
        <w:spacing w:after="0"/>
        <w:rPr>
          <w:sz w:val="20"/>
          <w:szCs w:val="20"/>
          <w:color w:val="auto"/>
        </w:rPr>
      </w:pPr>
      <w:r>
        <w:rPr>
          <w:rFonts w:ascii="Courier New" w:cs="Courier New" w:eastAsia="Courier New" w:hAnsi="Courier New"/>
          <w:sz w:val="18"/>
          <w:szCs w:val="18"/>
          <w:color w:val="auto"/>
        </w:rPr>
        <w:t>18,332 12,588</w:t>
      </w:r>
    </w:p>
    <w:p>
      <w:pPr>
        <w:ind w:left="160"/>
        <w:spacing w:after="0" w:line="237" w:lineRule="auto"/>
        <w:rPr>
          <w:sz w:val="20"/>
          <w:szCs w:val="20"/>
          <w:color w:val="auto"/>
        </w:rPr>
      </w:pPr>
      <w:r>
        <w:rPr>
          <w:rFonts w:ascii="Courier New" w:cs="Courier New" w:eastAsia="Courier New" w:hAnsi="Courier New"/>
          <w:sz w:val="18"/>
          <w:szCs w:val="18"/>
          <w:color w:val="auto"/>
        </w:rPr>
        <w:t>Instruments Products</w:t>
      </w:r>
    </w:p>
    <w:p>
      <w:pPr>
        <w:ind w:left="160"/>
        <w:spacing w:after="0"/>
        <w:rPr>
          <w:sz w:val="20"/>
          <w:szCs w:val="20"/>
          <w:color w:val="auto"/>
        </w:rPr>
      </w:pPr>
      <w:r>
        <w:rPr>
          <w:rFonts w:ascii="Courier New" w:cs="Courier New" w:eastAsia="Courier New" w:hAnsi="Courier New"/>
          <w:sz w:val="18"/>
          <w:szCs w:val="18"/>
          <w:color w:val="auto"/>
        </w:rPr>
        <w:t>acquired during 2004</w:t>
      </w:r>
    </w:p>
    <w:p>
      <w:pPr>
        <w:ind w:left="60"/>
        <w:spacing w:after="0" w:line="237" w:lineRule="auto"/>
        <w:rPr>
          <w:sz w:val="20"/>
          <w:szCs w:val="20"/>
          <w:color w:val="auto"/>
        </w:rPr>
      </w:pPr>
      <w:r>
        <w:rPr>
          <w:rFonts w:ascii="Courier New" w:cs="Courier New" w:eastAsia="Courier New" w:hAnsi="Courier New"/>
          <w:sz w:val="18"/>
          <w:szCs w:val="18"/>
          <w:color w:val="auto"/>
        </w:rPr>
        <w:t>................ $ 336</w:t>
      </w:r>
    </w:p>
    <w:p>
      <w:pPr>
        <w:spacing w:after="0" w:line="5" w:lineRule="exact"/>
        <w:rPr>
          <w:sz w:val="20"/>
          <w:szCs w:val="20"/>
          <w:color w:val="auto"/>
        </w:rPr>
      </w:pPr>
    </w:p>
    <w:p>
      <w:pPr>
        <w:ind w:left="640" w:right="7839" w:hanging="582"/>
        <w:spacing w:after="0" w:line="268" w:lineRule="auto"/>
        <w:tabs>
          <w:tab w:leader="none" w:pos="27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Products acquired during 2003</w:t>
      </w:r>
    </w:p>
    <w:p>
      <w:pPr>
        <w:ind w:left="60"/>
        <w:spacing w:after="0" w:line="233" w:lineRule="auto"/>
        <w:rPr>
          <w:sz w:val="20"/>
          <w:szCs w:val="20"/>
          <w:color w:val="auto"/>
        </w:rPr>
      </w:pPr>
      <w:r>
        <w:rPr>
          <w:rFonts w:ascii="Courier New" w:cs="Courier New" w:eastAsia="Courier New" w:hAnsi="Courier New"/>
          <w:sz w:val="18"/>
          <w:szCs w:val="18"/>
          <w:color w:val="auto"/>
        </w:rPr>
        <w:t>................ 9,787</w:t>
      </w:r>
    </w:p>
    <w:p>
      <w:pPr>
        <w:ind w:left="420"/>
        <w:spacing w:after="0"/>
        <w:rPr>
          <w:sz w:val="20"/>
          <w:szCs w:val="20"/>
          <w:color w:val="auto"/>
        </w:rPr>
      </w:pPr>
      <w:r>
        <w:rPr>
          <w:rFonts w:ascii="Courier New" w:cs="Courier New" w:eastAsia="Courier New" w:hAnsi="Courier New"/>
          <w:sz w:val="18"/>
          <w:szCs w:val="18"/>
          <w:color w:val="auto"/>
        </w:rPr>
        <w:t>1,142 All other</w:t>
      </w:r>
    </w:p>
    <w:p>
      <w:pPr>
        <w:ind w:left="380"/>
        <w:spacing w:after="0" w:line="237" w:lineRule="auto"/>
        <w:rPr>
          <w:sz w:val="20"/>
          <w:szCs w:val="20"/>
          <w:color w:val="auto"/>
        </w:rPr>
      </w:pPr>
      <w:r>
        <w:rPr>
          <w:rFonts w:ascii="Courier New" w:cs="Courier New" w:eastAsia="Courier New" w:hAnsi="Courier New"/>
          <w:sz w:val="18"/>
          <w:szCs w:val="18"/>
          <w:color w:val="auto"/>
        </w:rPr>
        <w:t>product revenues</w:t>
      </w:r>
    </w:p>
    <w:p>
      <w:pPr>
        <w:ind w:left="2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5,920 5,105 ------ ---</w:t>
      </w:r>
    </w:p>
    <w:p>
      <w:pPr>
        <w:spacing w:after="0" w:line="5" w:lineRule="exact"/>
        <w:rPr>
          <w:sz w:val="20"/>
          <w:szCs w:val="20"/>
          <w:color w:val="auto"/>
        </w:rPr>
      </w:pPr>
    </w:p>
    <w:p>
      <w:pPr>
        <w:ind w:left="380" w:right="7899" w:hanging="269"/>
        <w:spacing w:after="0" w:line="268" w:lineRule="auto"/>
        <w:tabs>
          <w:tab w:leader="none" w:pos="53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Instruments product revenues</w:t>
      </w:r>
    </w:p>
    <w:p>
      <w:pPr>
        <w:ind w:left="120"/>
        <w:spacing w:after="0" w:line="233" w:lineRule="auto"/>
        <w:rPr>
          <w:sz w:val="20"/>
          <w:szCs w:val="20"/>
          <w:color w:val="auto"/>
        </w:rPr>
      </w:pPr>
      <w:r>
        <w:rPr>
          <w:rFonts w:ascii="Courier New" w:cs="Courier New" w:eastAsia="Courier New" w:hAnsi="Courier New"/>
          <w:sz w:val="18"/>
          <w:szCs w:val="18"/>
          <w:color w:val="auto"/>
        </w:rPr>
        <w:t>.............. 16,043</w:t>
      </w:r>
    </w:p>
    <w:p>
      <w:pPr>
        <w:jc w:val="center"/>
        <w:ind w:right="7799"/>
        <w:spacing w:after="0"/>
        <w:rPr>
          <w:sz w:val="20"/>
          <w:szCs w:val="20"/>
          <w:color w:val="auto"/>
        </w:rPr>
      </w:pPr>
      <w:r>
        <w:rPr>
          <w:rFonts w:ascii="Courier New" w:cs="Courier New" w:eastAsia="Courier New" w:hAnsi="Courier New"/>
          <w:sz w:val="18"/>
          <w:szCs w:val="18"/>
          <w:color w:val="auto"/>
        </w:rPr>
        <w:t>6,247 Total Private</w:t>
      </w:r>
    </w:p>
    <w:p>
      <w:pPr>
        <w:jc w:val="center"/>
        <w:ind w:right="7799"/>
        <w:spacing w:after="0" w:line="237" w:lineRule="auto"/>
        <w:rPr>
          <w:sz w:val="20"/>
          <w:szCs w:val="20"/>
          <w:color w:val="auto"/>
        </w:rPr>
      </w:pPr>
      <w:r>
        <w:rPr>
          <w:rFonts w:ascii="Courier New" w:cs="Courier New" w:eastAsia="Courier New" w:hAnsi="Courier New"/>
          <w:sz w:val="18"/>
          <w:szCs w:val="18"/>
          <w:color w:val="auto"/>
        </w:rPr>
        <w:t>Label product revenues</w:t>
      </w:r>
    </w:p>
    <w:p>
      <w:pPr>
        <w:ind w:left="260"/>
        <w:spacing w:after="0"/>
        <w:rPr>
          <w:sz w:val="20"/>
          <w:szCs w:val="20"/>
          <w:color w:val="auto"/>
        </w:rPr>
      </w:pPr>
      <w:r>
        <w:rPr>
          <w:rFonts w:ascii="Courier New" w:cs="Courier New" w:eastAsia="Courier New" w:hAnsi="Courier New"/>
          <w:sz w:val="18"/>
          <w:szCs w:val="18"/>
          <w:color w:val="auto"/>
        </w:rPr>
        <w:t>............ 5,862</w:t>
      </w:r>
    </w:p>
    <w:p>
      <w:pPr>
        <w:jc w:val="center"/>
        <w:ind w:right="7799"/>
        <w:spacing w:after="0" w:line="237" w:lineRule="auto"/>
        <w:rPr>
          <w:sz w:val="20"/>
          <w:szCs w:val="20"/>
          <w:color w:val="auto"/>
        </w:rPr>
      </w:pPr>
      <w:r>
        <w:rPr>
          <w:rFonts w:ascii="Courier New" w:cs="Courier New" w:eastAsia="Courier New" w:hAnsi="Courier New"/>
          <w:sz w:val="18"/>
          <w:szCs w:val="18"/>
          <w:color w:val="auto"/>
        </w:rPr>
        <w:t>5,763 Consolidated</w:t>
      </w:r>
    </w:p>
    <w:p>
      <w:pPr>
        <w:jc w:val="center"/>
        <w:ind w:right="7799"/>
        <w:spacing w:after="0"/>
        <w:rPr>
          <w:sz w:val="20"/>
          <w:szCs w:val="20"/>
          <w:color w:val="auto"/>
        </w:rPr>
      </w:pPr>
      <w:r>
        <w:rPr>
          <w:rFonts w:ascii="Courier New" w:cs="Courier New" w:eastAsia="Courier New" w:hAnsi="Courier New"/>
          <w:sz w:val="18"/>
          <w:szCs w:val="18"/>
          <w:color w:val="auto"/>
        </w:rPr>
        <w:t>Products acquired</w:t>
      </w:r>
    </w:p>
    <w:p>
      <w:pPr>
        <w:jc w:val="center"/>
        <w:ind w:right="7799"/>
        <w:spacing w:after="0" w:line="237" w:lineRule="auto"/>
        <w:rPr>
          <w:sz w:val="20"/>
          <w:szCs w:val="20"/>
          <w:color w:val="auto"/>
        </w:rPr>
      </w:pPr>
      <w:r>
        <w:rPr>
          <w:rFonts w:ascii="Courier New" w:cs="Courier New" w:eastAsia="Courier New" w:hAnsi="Courier New"/>
          <w:sz w:val="18"/>
          <w:szCs w:val="18"/>
          <w:color w:val="auto"/>
        </w:rPr>
        <w:t>during 2004</w:t>
      </w:r>
    </w:p>
    <w:p>
      <w:pPr>
        <w:ind w:left="60"/>
        <w:spacing w:after="0" w:line="238" w:lineRule="auto"/>
        <w:rPr>
          <w:sz w:val="20"/>
          <w:szCs w:val="20"/>
          <w:color w:val="auto"/>
        </w:rPr>
      </w:pPr>
      <w:r>
        <w:rPr>
          <w:rFonts w:ascii="Courier New" w:cs="Courier New" w:eastAsia="Courier New" w:hAnsi="Courier New"/>
          <w:sz w:val="18"/>
          <w:szCs w:val="18"/>
          <w:color w:val="auto"/>
        </w:rPr>
        <w:t>................ $ 336</w:t>
      </w:r>
    </w:p>
    <w:p>
      <w:pPr>
        <w:spacing w:after="0" w:line="5" w:lineRule="exact"/>
        <w:rPr>
          <w:sz w:val="20"/>
          <w:szCs w:val="20"/>
          <w:color w:val="auto"/>
        </w:rPr>
      </w:pPr>
    </w:p>
    <w:p>
      <w:pPr>
        <w:ind w:left="640" w:right="7839" w:hanging="582"/>
        <w:spacing w:after="0" w:line="268" w:lineRule="auto"/>
        <w:tabs>
          <w:tab w:leader="none" w:pos="27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Products acquired during 2003</w:t>
      </w:r>
    </w:p>
    <w:p>
      <w:pPr>
        <w:ind w:left="60"/>
        <w:spacing w:after="0" w:line="233" w:lineRule="auto"/>
        <w:rPr>
          <w:sz w:val="20"/>
          <w:szCs w:val="20"/>
          <w:color w:val="auto"/>
        </w:rPr>
      </w:pPr>
      <w:r>
        <w:rPr>
          <w:rFonts w:ascii="Courier New" w:cs="Courier New" w:eastAsia="Courier New" w:hAnsi="Courier New"/>
          <w:sz w:val="18"/>
          <w:szCs w:val="18"/>
          <w:color w:val="auto"/>
        </w:rPr>
        <w:t>................ 9,787</w:t>
      </w:r>
    </w:p>
    <w:p>
      <w:pPr>
        <w:ind w:left="420"/>
        <w:spacing w:after="0"/>
        <w:rPr>
          <w:sz w:val="20"/>
          <w:szCs w:val="20"/>
          <w:color w:val="auto"/>
        </w:rPr>
      </w:pPr>
      <w:r>
        <w:rPr>
          <w:rFonts w:ascii="Courier New" w:cs="Courier New" w:eastAsia="Courier New" w:hAnsi="Courier New"/>
          <w:sz w:val="18"/>
          <w:szCs w:val="18"/>
          <w:color w:val="auto"/>
        </w:rPr>
        <w:t>1,142 All other</w:t>
      </w:r>
    </w:p>
    <w:p>
      <w:pPr>
        <w:ind w:left="380"/>
        <w:spacing w:after="0" w:line="237" w:lineRule="auto"/>
        <w:rPr>
          <w:sz w:val="20"/>
          <w:szCs w:val="20"/>
          <w:color w:val="auto"/>
        </w:rPr>
      </w:pPr>
      <w:r>
        <w:rPr>
          <w:rFonts w:ascii="Courier New" w:cs="Courier New" w:eastAsia="Courier New" w:hAnsi="Courier New"/>
          <w:sz w:val="18"/>
          <w:szCs w:val="18"/>
          <w:color w:val="auto"/>
        </w:rPr>
        <w:t>product revenues</w:t>
      </w:r>
    </w:p>
    <w:p>
      <w:pPr>
        <w:ind w:left="2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41,312 33,988 ------ -</w:t>
      </w:r>
    </w:p>
    <w:p>
      <w:pPr>
        <w:ind w:left="220"/>
        <w:spacing w:after="0"/>
        <w:rPr>
          <w:sz w:val="20"/>
          <w:szCs w:val="20"/>
          <w:color w:val="auto"/>
        </w:rPr>
      </w:pPr>
      <w:r>
        <w:rPr>
          <w:rFonts w:ascii="Courier New" w:cs="Courier New" w:eastAsia="Courier New" w:hAnsi="Courier New"/>
          <w:sz w:val="18"/>
          <w:szCs w:val="18"/>
          <w:color w:val="auto"/>
        </w:rPr>
        <w:t>----- Total product</w:t>
      </w:r>
    </w:p>
    <w:p>
      <w:pPr>
        <w:ind w:left="800"/>
        <w:spacing w:after="0" w:line="237" w:lineRule="auto"/>
        <w:rPr>
          <w:sz w:val="20"/>
          <w:szCs w:val="20"/>
          <w:color w:val="auto"/>
        </w:rPr>
      </w:pPr>
      <w:r>
        <w:rPr>
          <w:rFonts w:ascii="Courier New" w:cs="Courier New" w:eastAsia="Courier New" w:hAnsi="Courier New"/>
          <w:sz w:val="18"/>
          <w:szCs w:val="18"/>
          <w:color w:val="auto"/>
        </w:rPr>
        <w:t>revenues</w:t>
      </w:r>
    </w:p>
    <w:p>
      <w:pPr>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51,435 35,130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ENDED MARCH 31, 2004 COMPARED TO QUARTER ENDED MARCH 31,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Revenues And Gross Margin On Product Revenues: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quarter ended March 31, 2004, total revenues increased by $15.7 million, or 43%, over the quarter ended March 31, 2003 to $52.4 million. This increase was primarily attributable to an increase in product revenues of $16.3 million, or 46%, over the prior year period. Other revenue decreased by $0.6 million due to the termination of the ETHICON distribution and development agreement in December 2003.</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Revenues from product lines acquired since the first quarter of 2003 accounted for $9.0 million of the $16.3 million increase in product revenues over the prior year period. Changes in foreign currency exchange rates also accounted for $1.0 million of the increase in product revenues. Domestic product revenues increased $13.1 million in the first quarter of 2004 to $40.4 million, or 79% of product revenues, as compared to 78% of product revenues in the first quarter</w:t>
      </w:r>
    </w:p>
    <w:p>
      <w:pPr>
        <w:sectPr>
          <w:pgSz w:w="11900" w:h="16838" w:orient="portrait"/>
          <w:cols w:equalWidth="0" w:num="1">
            <w:col w:w="10219"/>
          </w:cols>
          <w:pgMar w:left="240" w:top="344"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ended March 31, 2003.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from our monitoring product lines increased $0.7 million, or 6%, over the prior year period primarily as a result of increased sales of our intracranial monitoring products and drainage systems. Our operating room product line revenues increased over the prior year period by $5.7 million, or 46%. This increase is largely the result of growth in sales of our DuraGen(R) and DuraGen Plus(TM) Dural Graft Matrix products and the inclusion of INTEGRA(R) Dermal Regeneration Template sales in the operating room category. Prior to our resuming the direct sale and marketing of the INTEGRA product on January 1, 2004, we reported sales of the INTEGRA product to ETHICON, Inc. in the private label category.</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Revenues from our instrument product lines increased by $9.8 million, or 157%, principally as a result of revenues from the JARIT surgical instrument line and Spinal Specialties product line we acquired in 2003. We also experienced growth over the prior year period in each of our existing instrument product lines. Our private label product revenue increased by $0.1 million, or 2%, over the prior year period as increased revenues from the Absorbable Collagen Sponge we supply for use in Medtronic's INFUSE bone graft product offset by the removal of INTEGRA Dermal Regeneration Template revenues from this category for inclusion in operating room product revenues. Although sales of certain private label products vary highly from quarter to quarter depending on the timing and size of orders placed by our marketing partners, we do not believe that the variability is as significant on an annual basis.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generated our product revenue growth through acquisitions, new product launches and increased direct sales and marketing efforts both domestically and in Europe. We expect that our future revenue growth will be driven by our expanded domestic sales force, the continued implementation of our direct sales strategy in Europe and from internally developed and acquired products. We also intend to continue to acquire businesses that complement our existing businesses and products.</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Our gross margin on product revenues was 61% in both the quarter ended March 31, 2004 and the prior year period. The current quarter's gross margin benefited from strong growth in our higher margin products sold during the quarter and the resumption of direct sales of INTEGRA Dermal Regeneration Template which was offset by the full period impact of JARIT's instrument sales.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product revenues: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Three Months Ended March 31, (in</w:t>
      </w:r>
    </w:p>
    <w:p>
      <w:pPr>
        <w:ind w:left="60"/>
        <w:spacing w:after="0" w:line="238" w:lineRule="auto"/>
        <w:rPr>
          <w:sz w:val="20"/>
          <w:szCs w:val="20"/>
          <w:color w:val="auto"/>
        </w:rPr>
      </w:pPr>
      <w:r>
        <w:rPr>
          <w:rFonts w:ascii="Courier New" w:cs="Courier New" w:eastAsia="Courier New" w:hAnsi="Courier New"/>
          <w:sz w:val="18"/>
          <w:szCs w:val="18"/>
          <w:color w:val="auto"/>
        </w:rPr>
        <w:t>thousands) 2004 2003 ------ -----</w:t>
      </w:r>
    </w:p>
    <w:p>
      <w:pPr>
        <w:ind w:left="640" w:hanging="212"/>
        <w:spacing w:after="0"/>
        <w:tabs>
          <w:tab w:leader="none" w:pos="6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Research and development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5</w:t>
      </w:r>
    </w:p>
    <w:p>
      <w:pPr>
        <w:ind w:left="580" w:hanging="205"/>
        <w:spacing w:after="0" w:line="238" w:lineRule="auto"/>
        <w:tabs>
          <w:tab w:leader="none" w:pos="580" w:val="left"/>
        </w:tabs>
        <w:numPr>
          <w:ilvl w:val="0"/>
          <w:numId w:val="3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8 % Selling and marketing</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7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22 % 22 % General and</w:t>
      </w:r>
    </w:p>
    <w:p>
      <w:pPr>
        <w:ind w:left="10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administrative</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11</w:t>
      </w:r>
    </w:p>
    <w:p>
      <w:pPr>
        <w:ind w:left="1700" w:hanging="219"/>
        <w:spacing w:after="0" w:line="238" w:lineRule="auto"/>
        <w:tabs>
          <w:tab w:leader="none" w:pos="1700" w:val="left"/>
        </w:tabs>
        <w:numPr>
          <w:ilvl w:val="2"/>
          <w:numId w:val="3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14 %</w:t>
      </w:r>
    </w:p>
    <w:p>
      <w:pPr>
        <w:spacing w:after="0" w:line="200" w:lineRule="exact"/>
        <w:rPr>
          <w:sz w:val="20"/>
          <w:szCs w:val="20"/>
          <w:color w:val="auto"/>
        </w:rPr>
      </w:pP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Total other operating expenses, which exclude cost of product revenue but include amortization, increased 32% to $20.7 million in the first quarter of 2004, compared to $15.6 million in the first quarter of 2003.</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increased approximately $0.2 million to $2.8 million in the first quarter of 2004. The savings that resulted from closing our San Diego research center were offset by increased spending on new product development and clinical studies.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decline in research and development expenses as a percentage of product revenues in the first quarter of 2004 is primarily related to the significant increase in hand-held instrument product revenues as a proportion of our total revenues. By their nature, our hand-held instrument product lines require less research and development and depend on sales and marketing efforts to support continued growth. Research and development expenses on products other than our traditional hand-held instruments was 7% of product revenues in the first quarter of 2004, as compared to 8% in the first quarter of 2003.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obligated to pay $1.5 million to the sellers of the Novus Monitoring</w:t>
      </w:r>
    </w:p>
    <w:p>
      <w:pPr>
        <w:sectPr>
          <w:pgSz w:w="11900" w:h="16838" w:orient="portrait"/>
          <w:cols w:equalWidth="0" w:num="1">
            <w:col w:w="10219"/>
          </w:cols>
          <w:pgMar w:left="240" w:top="136" w:right="1440" w:bottom="0" w:gutter="0" w:footer="0" w:header="0"/>
        </w:sectPr>
      </w:pPr>
    </w:p>
    <w:bookmarkStart w:id="16" w:name="page17"/>
    <w:bookmarkEnd w:id="16"/>
    <w:p>
      <w:pPr>
        <w:ind w:right="2199"/>
        <w:spacing w:after="0" w:line="236" w:lineRule="auto"/>
        <w:rPr>
          <w:sz w:val="20"/>
          <w:szCs w:val="20"/>
          <w:color w:val="auto"/>
        </w:rPr>
      </w:pPr>
      <w:r>
        <w:rPr>
          <w:rFonts w:ascii="Courier New" w:cs="Courier New" w:eastAsia="Courier New" w:hAnsi="Courier New"/>
          <w:sz w:val="18"/>
          <w:szCs w:val="18"/>
          <w:color w:val="auto"/>
        </w:rPr>
        <w:t>Limited assets upon their achievement of a product development milestone. If such payment is made, we estimate that approximately $1.0 million will be recorded as an in-process research and development charge.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and marketing expenses increased 47% over the prior year period to $11.2 million as a result of the expansion of our direct sales organizations and because we owned JARIT for the entire current period compared to a portion of the prior year period. Sales and marketing expenses were 22% of product revenues in both the quarter ending March 31, 2004 and the prior year period.</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General and administrative expenses increased $1.0 million to $5.9 million in the quarter, largely as a result of increases in professional fees.</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Amortization expense increased approximately $300,000 to approximately $900,000 in the first quarter of 2004 as a result of amortization of intangible assets from recent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And Expenses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 the first quarter of 2004, we recorded $871,000 in interest expense associated with the $120 million of contingent convertible subordinated notes we issued in March and April of 2003 and a related interest rate swap agreement.</w:t>
      </w:r>
    </w:p>
    <w:p>
      <w:pPr>
        <w:spacing w:after="0" w:line="17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Our reported interest expense includes $205,000 of non-cash amortization of debt issuance costs. Debt issuance costs totaled $4.1 million and are being amortized using the straight-line method over the five-year term of the notes.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pay additional interest ("Contingent Interest") on our convertible notes under certain conditions. The fair value of this Contingent Interest obligation is marked to its fair value at each balance sheet date, with changes in the fair value recorded to interest expense. In the first quarter of 2004, the change in the estimated fair value of the Contingent Interest obligation increased interest expense by $102,000.</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August 2003, we entered into an interest rate swap agreement with a $50.0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Interest expense for the three months ended March 31, 2004 reflects a $210,000 reduction in interest expense associated with the interest rate swap.</w:t>
      </w: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net fair value of the interest rate swap at December 31, 2003 was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$1,072,000. At March 31, 2004, the net fair value of the interest rate swap decreased $509,000 to $563,000, and this amount is included in other liabilities. In connection with this fair value hedge transaction, during the first quarter of 2004, we recorded a $467,000 net increase in the carrying value of our convertible notes. The net $42,000 difference between changes in the fair value of the interest rate swap and the contingent convertible notes represents the ineffective portion of the hedging relationship, and this amount is recorded in other income.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net other income/expense decreased by $366,000 from $349,000 of income in the first quarter of 2003 to $17,000 of expense in the first quarter of 2004. In the first quarter of 2003, we recorded $221,000 of gains realized on the sale of marketable securities.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Income tax expense was approximately 36.8% and 36.5% of income before income taxes for the first quarters of 2004 and 2003, respectively. Income tax expense for the first quarters of 2004 and 2003 included a deferred income tax provision of $3.2 million and $2.6 million, respectively. The increase in the effective income tax rate in 2004 results primarily from a change in the geographic mix of projected taxable income for 2004.</w:t>
      </w:r>
    </w:p>
    <w:p>
      <w:pPr>
        <w:spacing w:after="0" w:line="210"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We reported net income for the first quarter of 2004 of $7.4 million, or $0.24 per diluted share, as compared to net income of $5.4 million, or $0.18 diluted per share, for the prior year quarter.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periods when the holders of our convertible notes are permitted to exercise their conversion rights, the "if-converted" method will be used to determine the dilutive effect on earnings per share of the notes. The notes are convertible into approximately 3.5 million shares of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Product Revenues and Operations</w:t>
      </w:r>
    </w:p>
    <w:p>
      <w:pPr>
        <w:sectPr>
          <w:pgSz w:w="11900" w:h="16838" w:orient="portrait"/>
          <w:cols w:equalWidth="0" w:num="1">
            <w:col w:w="10219"/>
          </w:cols>
          <w:pgMar w:left="240" w:top="142" w:right="1440" w:bottom="0" w:gutter="0" w:footer="0" w:header="0"/>
        </w:sectPr>
      </w:pPr>
    </w:p>
    <w:bookmarkStart w:id="17" w:name="page18"/>
    <w:bookmarkEnd w:id="17"/>
    <w:p>
      <w:pPr>
        <w:ind w:right="1999"/>
        <w:spacing w:after="0" w:line="279" w:lineRule="auto"/>
        <w:rPr>
          <w:sz w:val="20"/>
          <w:szCs w:val="20"/>
          <w:color w:val="auto"/>
        </w:rPr>
      </w:pPr>
      <w:r>
        <w:rPr>
          <w:rFonts w:ascii="Courier New" w:cs="Courier New" w:eastAsia="Courier New" w:hAnsi="Courier New"/>
          <w:sz w:val="16"/>
          <w:szCs w:val="16"/>
          <w:color w:val="auto"/>
        </w:rPr>
        <w:t>Because we have operations based in Europe and we generate revenues and incur operating expenses in euros and British pounds, we have currency exchange risk with respect to those foreign currency denominated revenues or expenses.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first quarter of 2004,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Our sales to foreign markets may be affected by local economic conditions, regulatory or political considerations, the effectiveness of our sales representatives and distributors, local competition, and changes in local medical practice.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Relationships with customers and effective terms of sale frequently vary by country, often with longer-term receivables than are typical in the United States.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238" w:lineRule="auto"/>
        <w:rPr>
          <w:sz w:val="20"/>
          <w:szCs w:val="20"/>
          <w:color w:val="auto"/>
        </w:rPr>
      </w:pPr>
      <w:r>
        <w:rPr>
          <w:rFonts w:ascii="Courier New" w:cs="Courier New" w:eastAsia="Courier New" w:hAnsi="Courier New"/>
          <w:sz w:val="18"/>
          <w:szCs w:val="18"/>
          <w:color w:val="auto"/>
        </w:rPr>
        <w:t>Total ----</w:t>
      </w: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March 31,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2004 $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40,386 $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7,248 $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1,829 $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1,972 $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51,435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March 31,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2003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27,262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5,001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1,458</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1,409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35,130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three months ending March 31, 2004, product revenues from customers outside the United States totaled $11.0 million, or 21% of consolidated product revenues, of which approximately 66% were to European customers. Of this amount, $8.1 million was generated in foreign currencies primarily by our subsidiaries in the Europe.</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 the three months ending March 31, 2003, product revenues from customers outside the United States totaled $7.9 million, or 22% of consolidated product revenue, of which approximately 64% were to European customers. Of this amount, $4.1 million was generated in foreign currencies by our subsidiaries in Europe.</w:t>
      </w:r>
    </w:p>
    <w:p>
      <w:pPr>
        <w:sectPr>
          <w:pgSz w:w="11900" w:h="16838" w:orient="portrait"/>
          <w:cols w:equalWidth="0" w:num="1">
            <w:col w:w="10219"/>
          </w:cols>
          <w:pgMar w:left="240" w:top="14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Marketable Securities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March 31, 2004, we had cash, cash equivalents and current and non-current investments totaling approximately $212.1 million. Our investments consist almost entirely of highly liquid, interest bearing debt securities. We believe that our cash and marketable securities are sufficient to finance our operations and capital expenditures in the short term. However, given the significant level of liquid assets and our objective to grow by acquisitions and alliances, our financial position and future financial results could change significantly if we were to use a significant portion of our liquid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Cash provided by operations has recently been and is expected to continue to be our primary means of funding existing operations and capital expenditures. We have generated positive operating cash flows on an annual basis, including $32.0 million in 2002, $34.8 million in 2003, and $10.9 million of operating cash flows in the three months ending March 31, 2004. Operating cash flows for the quarter ending March 31, 2003, were $8.8 million.</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principal uses of funds during the three month period ended March 31, 2004 were $3.9 million for acquisition consideration, $8.3 million for purchases of investments, net of maturities and sales, and $2.9 million for purchases of property and equipment. In addition to the $10.9 million in operating cash flows, we received $1.2 million from the issuance of common stock through the exercise of stock options during the period.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March 31, 2004 and December 31, 2003, working capital was $170.0 million and $167.3 million, respectively. The increase in working capital was primarily due to additional investments in inventory to support our growth in product revenues and higher accounts receivable balances related to increased sales, offset by a net use of cash in the first quarter of 2004.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Debt and Related Hedging Activities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outstanding $120.0 million of 2 1/2% contingent convertible subordinated notes due 2008. We are obligated to pay $3.0 million of interest per year on the notes and to repay their principal amount on March 15, 2008, if the notes are not converted into common stock before that date. We will also pay contingent interest on the notes if, at thirty days prior to maturity, Integra's common stock price is greater than $37.56, subject to certain conditions.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also have outstanding an interest rate swap agreement with a $50 million notional amount to hedge the risk of changes in fair value attributable to interest rate risk with respect to a portion of the convertible notes. We receive a 2 1/2% fixed rate from the counterparty, payable on a semi-annual basis, and pay to the counterparty a floating rate based on 3 month LIBOR minus 35 basis points, payable on a quarterly basis. The interest rate swap agreement terminates on March 15, 2008, subject to early termination upon the occurrence of certain events, including redemption or conversion of the contingent convertible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Plans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March 2004, our Board of Directors authorized us to repurchase up to 1.5 million shares of our common stock for an aggregate purchase price not to exceed $40.0 million. We may repurchase shares under this program through March 2005 either in the open market or in privately negotiated transactions. We did not repurchase any shares of common stock during the first quarter of 2004.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not paid any cash dividends on our common stock since our formation.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and Capital Resources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We believe that our cash and marketable securities are sufficient to finance our operations and capital expenditures in the near term. In 2004, we expect to</w:t>
      </w:r>
    </w:p>
    <w:p>
      <w:pPr>
        <w:sectPr>
          <w:pgSz w:w="11900" w:h="16838" w:orient="portrait"/>
          <w:cols w:equalWidth="0" w:num="1">
            <w:col w:w="10219"/>
          </w:cols>
          <w:pgMar w:left="240" w:top="339" w:right="1440" w:bottom="0" w:gutter="0" w:footer="0" w:header="0"/>
        </w:sectPr>
      </w:pPr>
    </w:p>
    <w:bookmarkStart w:id="19" w:name="page20"/>
    <w:bookmarkEnd w:id="19"/>
    <w:p>
      <w:pPr>
        <w:ind w:right="1779"/>
        <w:spacing w:after="0" w:line="236" w:lineRule="auto"/>
        <w:rPr>
          <w:sz w:val="20"/>
          <w:szCs w:val="20"/>
          <w:color w:val="auto"/>
        </w:rPr>
      </w:pPr>
      <w:r>
        <w:rPr>
          <w:rFonts w:ascii="Courier New" w:cs="Courier New" w:eastAsia="Courier New" w:hAnsi="Courier New"/>
          <w:sz w:val="18"/>
          <w:szCs w:val="18"/>
          <w:color w:val="auto"/>
        </w:rPr>
        <w:t>increase cash outlays for capital expenditures as compared to 2003, primarily because of an estimated $4.3 million of expenditures associated with information system upgrades.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Given the significant level of liquid assets and our objective to grow by acquisition and alliances, our financial position could change significantly if we were to complete a business acquisition by utilizing a significant portion of our liquid assets.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Currently, we do not have any existing borrowing capacity or other credit facilities in place to raise significant amounts of capital if such a need arises.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and Commitments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Under certain agreements, we are required to make payments based on sales levels of certain products or if specific development milestones are achieved.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April 2004, we acquired the Berchtold Medizin-Elektronik GmbH from Berchtold Holding Company for approximately $5.0 million in cash subject to a working capital adjustment. Berchtold Medizin-Elektronik, based in Tuttlingen, Germany, manufactures and markets the Elektrotom(R) line of electrosurgery generators and the Sonotom(R) ultrasonic surgical aspirator as well as a broad line of related handpieces, instruments and disposables used in many surgical procedures including neurosurgery.</w:t>
      </w:r>
    </w:p>
    <w:p>
      <w:pPr>
        <w:spacing w:after="0" w:line="21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May 2004, we acquired the surgical business from Schaerer Mayfield USA, Inc. for approximately $20.0 million in cash subject to a working capital adjustment. The products purchased include the Mayfield(R)Cranial Stabilization and Positioning Systems and the BUDDE(R) Halo Retractor System used in head surgery.</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OUR FUTURE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Operating Results May Fluctuate.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operating results, including components of operating results, such as gross margin on product sales, may fluctuate from time to time, which could affect our stock price. Our operating results have fluctuated in the past and can be expected to fluctuate from time to time in the future. Some of the factors that may cause these fluctuations include: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the impact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of acquisitions;</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timing of significant customer orders;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market acceptance of our existing products, as well as products in</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timing of regulatory approvals;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the timing of payments  received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the recognition of those payments</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 revenue under  collaborative</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arrangements and other alliances;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changes in the rate of exchange between the U.S. dollar, the euro and</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British pound;</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expenses incurred and business lost in connection with product field</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corrections or recalls;</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our ability to manufacture our products efficiently; and</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timing of our research and development expenditures.</w:t>
            </w:r>
          </w:p>
        </w:tc>
      </w:tr>
    </w:tbl>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Industry And Market Segments in Which We Operate Are Highly Competitive, And We May Be Unable to Compete Effectively with Other Companies.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general, the medical technology industry is characterized by intense competition. We compete with established medical technology and pharmaceutical companies. Competition also comes from early 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Further, our competitors may be more effective at implementing their technologies to develop commercial products.</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competitive position will depend on our ability to achieve market acceptance for our products, develop new products, implement production and marketing plans, secure regulatory approval for products under development,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w:t>
      </w:r>
    </w:p>
    <w:p>
      <w:pPr>
        <w:sectPr>
          <w:pgSz w:w="11900" w:h="16838" w:orient="portrait"/>
          <w:cols w:equalWidth="0" w:num="1">
            <w:col w:w="10219"/>
          </w:cols>
          <w:pgMar w:left="240" w:top="142"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technological advances. Competitive pressures could adversely affect our profitability. For example, the introduction of a competitively priced onlay dural graft matrix could reduce the sales, or growth in sales, of our DuraGen(R) Dural Graft products. We expect that one or more other companies may introduce such a product in the near future.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Our largest competitors in the neurosurgery markets are the Medtronic Neurotechnologies division of Medtronic, Inc., the Codman division of Johnson &amp; Johnson, the Aesculap division of B. Braun, and the Valleylab division of Tyco International Ltd. In addition, many of our product lines compete with smaller specialized companies or larger companies that do not otherwise focus on neurosurgery. Our plastic and reconstructive surgery business is small compared to its principal competitors, which include major medical device and wound care companies such as the ETHICON division of Johnson &amp; Johnson, Smith and Nephew, Inamed, Mentor, and Zimmer. Our private label products face diverse and broad competition, depending on the market addressed by the product. Finally, in certain cases our products compete primarily against medical practices that treat a condition without using a device, rather than any particular product, such as autograft tissue as an alternative for the INTEGRA(R) Dermal Regeneration Template, our duraplasty products, and the NeuraGen(TM) Nerve Guide.</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Current Strategy Involves Growth Through Acquisitions, Which Requires Us To Incur Substantial Costs And Potential Liabilities For Which We May Never Realize The Anticipated Benefits.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addition to internal growth, our current strategy involves growth through acquisitions. Since 1999, we have acquired 18 businesses or product lines at a total cost of approximately $123 million.</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be unable to continue to implement our growth strategy, and our strategy may be ultimately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 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or legal liabilities relating to those acquired businesses for which the sellers of the acquired businesses may not indemnify us. Future acquisitions may also result in potentially dilutive issuances of securities.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research and development activities and the manufacturing, labeling, distribution and marketing of our existing and future products are subject to regulation by numerous governmental agencies in the United States and in other countries. The Food and Drug Administration (FDA) and comparable agencies in other countries impose mandatory procedures and standards for the conduct of clinical trials and the production and marketing of products for diagnostic and human therapeutic use.</w:t>
      </w:r>
    </w:p>
    <w:p>
      <w:pPr>
        <w:spacing w:after="0" w:line="211"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Our products under development are subject to FDA approval or clearance prior to marketing for commercial use. The process of obtaining necessary FDA approvals</w:t>
      </w:r>
    </w:p>
    <w:p>
      <w:pPr>
        <w:sectPr>
          <w:pgSz w:w="11900" w:h="16838" w:orient="portrait"/>
          <w:cols w:equalWidth="0" w:num="1">
            <w:col w:w="10219"/>
          </w:cols>
          <w:pgMar w:left="240" w:top="142" w:right="1440" w:bottom="0" w:gutter="0" w:footer="0" w:header="0"/>
        </w:sectPr>
      </w:pPr>
    </w:p>
    <w:bookmarkStart w:id="21" w:name="page22"/>
    <w:bookmarkEnd w:id="21"/>
    <w:p>
      <w:pPr>
        <w:ind w:right="1779"/>
        <w:spacing w:after="0" w:line="238" w:lineRule="auto"/>
        <w:rPr>
          <w:sz w:val="20"/>
          <w:szCs w:val="20"/>
          <w:color w:val="auto"/>
        </w:rPr>
      </w:pPr>
      <w:r>
        <w:rPr>
          <w:rFonts w:ascii="Courier New" w:cs="Courier New" w:eastAsia="Courier New" w:hAnsi="Courier New"/>
          <w:sz w:val="18"/>
          <w:szCs w:val="18"/>
          <w:color w:val="auto"/>
        </w:rPr>
        <w:t>or clearances can take years and is expensive and full of uncertainties. Our inability to obtain required regulatory approval on a timely or acceptable basis could harm our business. Further, approval or clearance may place substantial restrictions on the indications for which the product may be marketed or to whom it may be marketed. Further studies, including clinical trials and FDA approvals, may be required to gain approval for the use of a product for clinical indications other than those for which the product was initially approved or cleared or for significant changes to the product. In addition, for products with an approved PMA, the FDA requires annual reports and may require post-approval surveillance programs to monitor the products' safety and effectiveness. Results of post-approval programs may limit or expand the further marketing of the product.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Another risk of application to the FDA relates to the regulatory classification of new products or proposed new uses for existing products. In the filing of each application, we make a legal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a third-party manufacturer or we change our approved manufacturing 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and civil and criminal penalties.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Certain Of Our Products Contain Materials Derived From Animal Sources And May Become Subject To Additional Regulation.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of our products, including the DuraGen(R) Dural Graft products, the NeuraGen(TM) Nerve Guide, and the INTEGRA(R) Dermal Regeneration Template,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cattle,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discovered in Canada and the United States have increased awareness of the issue in North America.</w:t>
      </w:r>
    </w:p>
    <w:p>
      <w:pPr>
        <w:spacing w:after="0" w:line="3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take great care to provide that our products are safe and free of agents that can cause disease. In particular, the collagen used in the manufacture of our products is derived only from the deep flexor tendon of cattle from the United States that are less than 24 months old. The World Health Organization classifies different types of cattle tissue for relative risk of BSE transmission. Deep flexor tendon, the sole source of our collagen, is in the lowest risk category for BSE transmission (the same category as milk, for example), and is therefore considered to have a negligible risk of containing the agent that causes BSE (an improperly folded protein known as a prion). Additionally, we use processes in the manufacturing of our products that are believed to inactivate prions. Nevertheless, products that contain materials derived from animals, including our products, may become subject to additional regulation, or even be banned in certain countries, because of concern over the potential for prion transmission. Significant new regulation, or a ban of our</w:t>
      </w:r>
    </w:p>
    <w:p>
      <w:pPr>
        <w:sectPr>
          <w:pgSz w:w="11900" w:h="16838" w:orient="portrait"/>
          <w:cols w:equalWidth="0" w:num="1">
            <w:col w:w="10219"/>
          </w:cols>
          <w:pgMar w:left="240" w:top="142" w:right="1440" w:bottom="0" w:gutter="0" w:footer="0" w:header="0"/>
        </w:sectPr>
      </w:pPr>
    </w:p>
    <w:bookmarkStart w:id="22" w:name="page23"/>
    <w:bookmarkEnd w:id="22"/>
    <w:p>
      <w:pPr>
        <w:ind w:right="1779"/>
        <w:spacing w:after="0" w:line="235" w:lineRule="auto"/>
        <w:rPr>
          <w:sz w:val="20"/>
          <w:szCs w:val="20"/>
          <w:color w:val="auto"/>
        </w:rPr>
      </w:pPr>
      <w:r>
        <w:rPr>
          <w:rFonts w:ascii="Courier New" w:cs="Courier New" w:eastAsia="Courier New" w:hAnsi="Courier New"/>
          <w:sz w:val="18"/>
          <w:szCs w:val="18"/>
          <w:color w:val="auto"/>
        </w:rPr>
        <w:t>products, could have a material effect on our current business or our ability to expand our business.</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European Union has recently announced that new medical devices containing tissues of animal origin will have to conform to new requirements, and existing medical devices containing animal tissue must be re-assessed between April 1, 2004 and September 30, 2004. If the required documentation is not submitted, received and approved, by September 30, 2004, existing EC Certificates will become invalid. We plan to submit all documents required for a re-assessment of our products within the schedule required by the European Union.</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we have been notified that Japan has issued new regulations regarding medical devices that contain tissue of animal origin. Among other regulations, Japan may require that the tendon used in the manufacture of medical devices sold in Japan originate in a country that has never had a case of BSE. Currently, we source all of our tendon from the United States. If we cannot secure and qualify a source of tendon from a country that has never had a case of BSE, we may not be permitted to sell our collagen hemostatic agents and products for oral surgery in Japan after September 2004. We do not currently sell our dural or skin repair products in Japan.</w:t>
      </w:r>
    </w:p>
    <w:p>
      <w:pPr>
        <w:spacing w:after="0" w:line="21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Lack Of Market Acceptance For Our Products Or Market Preference For Technologies That Compete With Our Products Could Reduce Our Revenues And Profitability.</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competes for acceptance in the market with the INTEGRA(R) Dermal Regeneration Template.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we cannot be certain that the medical community will accept the NeuraGen(TM) Nerve Guide over conventional microsurgical techniques for connecting severed peripheral nerves.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cost less, or are ready for commercial introduction before our products. For example, our sales of shunt products could decline if neurosurgeons increase their use of programmable valves and we fail to introduce a competitive product, or our sales of certain catheters may be adversely affected by the recent introduction by other companies of catheters that contain anti-microbial agents intended to reduce the incidence of infection after implantation. If we are unable to develop additional commercially viable products, our future prospects could be adversely affected.</w:t>
      </w:r>
    </w:p>
    <w:p>
      <w:pPr>
        <w:spacing w:after="0" w:line="39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limited funding available for product and technology acquisitions by our customers, as well as internal obstacles to customer approvals of purchases of our products, could harm acceptance of our products. The industry is subject to rapid and continuous change arising from, among other things, consolidation and technological improvements. One or more of these factors may vary unpredictably, which could materially adversely affect our competitive position. We may not be able to adjust our contemplated plan of development to meet changing market demands.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Intellectual Property Rights May Not Provide Meaningful Commercial Protection For Our Products, Which Could Enable Third Parties To Use Our Technology Or Very Similar Technology And Could Reduce Our Ability To Compete In The Market.</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Our ability to compete effectively depends in part, on our ability to maintain the proprietary nature of our technologies and manufacturing processes, which includes the ability to obtain, protect and enforce patents on our technology and to protect our trade secrets. We own or have licensed patents that cover significant aspects of many of our product lines. However, you should not rely</w:t>
      </w:r>
    </w:p>
    <w:p>
      <w:pPr>
        <w:sectPr>
          <w:pgSz w:w="11900" w:h="16838" w:orient="portrait"/>
          <w:cols w:equalWidth="0" w:num="1">
            <w:col w:w="10219"/>
          </w:cols>
          <w:pgMar w:left="240" w:top="142" w:right="1440" w:bottom="0" w:gutter="0" w:footer="0" w:header="0"/>
        </w:sectPr>
      </w:pPr>
    </w:p>
    <w:bookmarkStart w:id="23" w:name="page24"/>
    <w:bookmarkEnd w:id="23"/>
    <w:p>
      <w:pPr>
        <w:ind w:right="1879"/>
        <w:spacing w:after="0" w:line="272" w:lineRule="auto"/>
        <w:rPr>
          <w:sz w:val="20"/>
          <w:szCs w:val="20"/>
          <w:color w:val="auto"/>
        </w:rPr>
      </w:pPr>
      <w:r>
        <w:rPr>
          <w:rFonts w:ascii="Courier New" w:cs="Courier New" w:eastAsia="Courier New" w:hAnsi="Courier New"/>
          <w:sz w:val="16"/>
          <w:szCs w:val="16"/>
          <w:color w:val="auto"/>
        </w:rPr>
        <w:t>on our patents to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3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Competitive Position Depends, In Part, Upon Unpatented Trade Secrets Which We May Be Unable To Protect.</w:t>
      </w:r>
    </w:p>
    <w:p>
      <w:pPr>
        <w:spacing w:after="0" w:line="208"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Our competitive position also depends upon unpatented trade secrets. Trade secrets are difficult to protect. We cannot assure you that others will not independently develop substantially equivalent proprietary information and</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techniques or otherwise gain access to our trade secrets, that our trade secrets will not be disclosed, or that we can effectively protect our rights to unpatented trade secrets.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an effort to protect our trade secrets, we have a policy of requiring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18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Success Will Depend Partly On Our Ability To Operate Without Infringing Or Misappropriating The Proprietary Rights Of Others.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Any required license may be unavailable to us on acceptable terms, or at all. In addition, some licenses may be nonexclusive, and allow our competitors to access the same technology we license. If we fail to obtain a required license or are unable to design our product so as not to infringe on the proprietary rights of others, we may be unable to sell some of our products, which could have a material adverse effect on our revenues and profitability.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May Be Difficult To Replace Some Of Our Suppliers.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our Camino(R) and Ventrix(R) lines of intracranial pressure monitors and catheters, which we assemble using many different electronic parts from numerous suppliers. While we are not dependent on sole-source suppliers, if we were suddenly unable to purchase products from one or more of these companies, we could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Any Of Our Manufacturing Facilities Were Damaged And/Or Our Manufacturing Processes Interrupted, We Could Experience Lost Revenues And Our Business Could Be Seriously Harmed.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manufacture our products in a limited number of facilities. Damage to our</w:t>
      </w:r>
    </w:p>
    <w:p>
      <w:pPr>
        <w:sectPr>
          <w:pgSz w:w="11900" w:h="16838" w:orient="portrait"/>
          <w:cols w:equalWidth="0" w:num="1">
            <w:col w:w="10219"/>
          </w:cols>
          <w:pgMar w:left="240" w:top="142" w:right="1440" w:bottom="0" w:gutter="0" w:footer="0" w:header="0"/>
        </w:sectPr>
      </w:pPr>
    </w:p>
    <w:bookmarkStart w:id="24" w:name="page25"/>
    <w:bookmarkEnd w:id="24"/>
    <w:p>
      <w:pPr>
        <w:jc w:val="center"/>
        <w:ind w:right="1779"/>
        <w:spacing w:after="0"/>
        <w:rPr>
          <w:sz w:val="20"/>
          <w:szCs w:val="20"/>
          <w:color w:val="auto"/>
        </w:rPr>
      </w:pPr>
      <w:r>
        <w:rPr>
          <w:rFonts w:ascii="Courier New" w:cs="Courier New" w:eastAsia="Courier New" w:hAnsi="Courier New"/>
          <w:sz w:val="16"/>
          <w:szCs w:val="16"/>
          <w:color w:val="auto"/>
        </w:rPr>
        <w:t>manufacturing, development or research facilities due to fire, natural disaster,</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power loss, communications failure, unauthorized entry or other events could cause us to cease development and manufacturing of some or all of our products. In particular, our San Diego, California facility that manufactures our Camino(R) and Ventrix(R) product line is as susceptible to earthquake damage, wildfire damage, and power losses from electrical shortages as are other businesses in the Southern California area. Our silicone manufacturing plant in Anasco, Puerto Rico is vulnerable to hurricane damage. Although we maintain property damage and business interruption insurance coverage on these facilities, we may not be able to renew or obtain such insurance in the future on acceptable terms with adequate coverage or at reasonable costs.</w:t>
      </w:r>
    </w:p>
    <w:p>
      <w:pPr>
        <w:spacing w:after="0" w:line="21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Be Involved In Lawsuits To Protect Or Enforce Our Intellectual Property Rights, Which May Be Expensive.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protect or enforce our intellectual property rights, we may have to initiate legal proceedings against third parties, such as infringement suits or interference proceedings. Intellectual property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Are Exposed To A Variety Of Risks Relating To Our International Sales And Operations, Including Fluctuations In Exchange Rates, Local Economic Conditions, And Delays In Collection Of Accounts Receivable.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Because we have operations based in Europe and we generate revenues and incur operating expenses in euros and British pounds, we experience currency exchange risk with respect to those foreign currency-denominated revenues and expenses. In 2003, the cost of products we manufactured in our European facilities or purchased in foreign currencies exceeded our foreign currency-denominated revenues. We expect this imbalance to continue into 2004. We currently do not hedge our exposure to foreign currency risk. Accordingly, a further weakening of the dollar against the euro and British pound could negatively affect future gross margins and operating margins.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Currently, we do not use derivative financial instruments to manage foreign currency risk. As the volume of our business transacted in foreign currencies increases, we will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sales to foreign markets may be affected by local economic conditions, regulatory or political considerations, the effectiveness of our sales representatives and distributors, local competition, and changes in local medical practice. Relationships with customers and effective terms of sale frequently vary by country, often with longer-term receivables than are typical in the United States.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Changes In The Health Care Industry May Require Us To Decrease The Selling Price For Our Products Or Reduce The Size Of The Market For Our Products, Either Of Which Could Have A Negative Impact On Our Financial Performance.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Trends toward managed care, health 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ectPr>
          <w:pgSz w:w="11900" w:h="16838" w:orient="portrait"/>
          <w:cols w:equalWidth="0" w:num="1">
            <w:col w:w="10219"/>
          </w:cols>
          <w:pgMar w:left="240" w:top="142" w:right="1440" w:bottom="0" w:gutter="0" w:footer="0" w:header="0"/>
        </w:sectPr>
      </w:pPr>
    </w:p>
    <w:bookmarkStart w:id="25" w:name="page26"/>
    <w:bookmarkEnd w:id="25"/>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major third-party payors of hospital services, including Medicare,</w:t>
      </w:r>
    </w:p>
    <w:p>
      <w:pPr>
        <w:spacing w:after="0" w:line="238" w:lineRule="auto"/>
        <w:rPr>
          <w:sz w:val="20"/>
          <w:szCs w:val="20"/>
          <w:color w:val="auto"/>
        </w:rPr>
      </w:pPr>
      <w:r>
        <w:rPr>
          <w:rFonts w:ascii="Courier New" w:cs="Courier New" w:eastAsia="Courier New" w:hAnsi="Courier New"/>
          <w:sz w:val="18"/>
          <w:szCs w:val="18"/>
          <w:color w:val="auto"/>
        </w:rPr>
        <w:t>Medicaid and private health care insurers, have substantially revised</w:t>
      </w:r>
    </w:p>
    <w:p>
      <w:pPr>
        <w:spacing w:after="0"/>
        <w:rPr>
          <w:sz w:val="20"/>
          <w:szCs w:val="20"/>
          <w:color w:val="auto"/>
        </w:rPr>
      </w:pPr>
      <w:r>
        <w:rPr>
          <w:rFonts w:ascii="Courier New" w:cs="Courier New" w:eastAsia="Courier New" w:hAnsi="Courier New"/>
          <w:sz w:val="18"/>
          <w:szCs w:val="18"/>
          <w:color w:val="auto"/>
        </w:rPr>
        <w:t>their payment methodologies, which has resulted in stricter standards</w:t>
      </w:r>
    </w:p>
    <w:p>
      <w:pPr>
        <w:spacing w:after="0" w:line="237" w:lineRule="auto"/>
        <w:rPr>
          <w:sz w:val="20"/>
          <w:szCs w:val="20"/>
          <w:color w:val="auto"/>
        </w:rPr>
      </w:pPr>
      <w:r>
        <w:rPr>
          <w:rFonts w:ascii="Courier New" w:cs="Courier New" w:eastAsia="Courier New" w:hAnsi="Courier New"/>
          <w:sz w:val="18"/>
          <w:szCs w:val="18"/>
          <w:color w:val="auto"/>
        </w:rPr>
        <w:t>for reimbursement of hospital charges for certain medical procedures;</w:t>
      </w:r>
    </w:p>
    <w:p>
      <w:pPr>
        <w:spacing w:after="0" w:line="238" w:lineRule="auto"/>
        <w:rPr>
          <w:sz w:val="20"/>
          <w:szCs w:val="20"/>
          <w:color w:val="auto"/>
        </w:rPr>
      </w:pPr>
      <w:r>
        <w:rPr>
          <w:rFonts w:ascii="Courier New" w:cs="Courier New" w:eastAsia="Courier New" w:hAnsi="Courier New"/>
          <w:sz w:val="18"/>
          <w:szCs w:val="18"/>
          <w:color w:val="auto"/>
        </w:rPr>
        <w:t>Medicare, Medicaid and private health care insurer cutbacks could</w:t>
      </w:r>
    </w:p>
    <w:p>
      <w:pPr>
        <w:spacing w:after="0"/>
        <w:rPr>
          <w:sz w:val="20"/>
          <w:szCs w:val="20"/>
          <w:color w:val="auto"/>
        </w:rPr>
      </w:pPr>
      <w:r>
        <w:rPr>
          <w:rFonts w:ascii="Courier New" w:cs="Courier New" w:eastAsia="Courier New" w:hAnsi="Courier New"/>
          <w:sz w:val="18"/>
          <w:szCs w:val="18"/>
          <w:color w:val="auto"/>
        </w:rPr>
        <w:t>create downward price pressure on our products;</w:t>
      </w:r>
    </w:p>
    <w:p>
      <w:pPr>
        <w:spacing w:after="0" w:line="237" w:lineRule="auto"/>
        <w:rPr>
          <w:sz w:val="20"/>
          <w:szCs w:val="20"/>
          <w:color w:val="auto"/>
        </w:rPr>
      </w:pPr>
      <w:r>
        <w:rPr>
          <w:rFonts w:ascii="Courier New" w:cs="Courier New" w:eastAsia="Courier New" w:hAnsi="Courier New"/>
          <w:sz w:val="18"/>
          <w:szCs w:val="18"/>
          <w:color w:val="auto"/>
        </w:rPr>
        <w:t>numerous legislative proposals have been considered that would result</w:t>
      </w:r>
    </w:p>
    <w:p>
      <w:pPr>
        <w:spacing w:after="0"/>
        <w:rPr>
          <w:sz w:val="20"/>
          <w:szCs w:val="20"/>
          <w:color w:val="auto"/>
        </w:rPr>
      </w:pPr>
      <w:r>
        <w:rPr>
          <w:rFonts w:ascii="Courier New" w:cs="Courier New" w:eastAsia="Courier New" w:hAnsi="Courier New"/>
          <w:sz w:val="18"/>
          <w:szCs w:val="18"/>
          <w:color w:val="auto"/>
        </w:rPr>
        <w:t>in major reforms in the U.S. health care system that</w:t>
      </w:r>
    </w:p>
    <w:p>
      <w:pPr>
        <w:spacing w:after="0" w:line="237" w:lineRule="auto"/>
        <w:rPr>
          <w:sz w:val="20"/>
          <w:szCs w:val="20"/>
          <w:color w:val="auto"/>
        </w:rPr>
      </w:pPr>
      <w:r>
        <w:rPr>
          <w:rFonts w:ascii="Courier New" w:cs="Courier New" w:eastAsia="Courier New" w:hAnsi="Courier New"/>
          <w:sz w:val="18"/>
          <w:szCs w:val="18"/>
          <w:color w:val="auto"/>
        </w:rPr>
        <w:t>could have an adverse effect on our business;</w:t>
      </w:r>
    </w:p>
    <w:p>
      <w:pPr>
        <w:spacing w:after="0"/>
        <w:rPr>
          <w:sz w:val="20"/>
          <w:szCs w:val="20"/>
          <w:color w:val="auto"/>
        </w:rPr>
      </w:pPr>
      <w:r>
        <w:rPr>
          <w:rFonts w:ascii="Courier New" w:cs="Courier New" w:eastAsia="Courier New" w:hAnsi="Courier New"/>
          <w:sz w:val="18"/>
          <w:szCs w:val="18"/>
          <w:color w:val="auto"/>
        </w:rPr>
        <w:t>there has been a consolidation among health care facilities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purchasers of medical devices in the United States who prefer to limit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number of suppliers from whom they purchase medical products, and</w:t>
      </w:r>
    </w:p>
    <w:p>
      <w:pPr>
        <w:spacing w:after="0" w:line="238" w:lineRule="auto"/>
        <w:rPr>
          <w:sz w:val="20"/>
          <w:szCs w:val="20"/>
          <w:color w:val="auto"/>
        </w:rPr>
      </w:pPr>
      <w:r>
        <w:rPr>
          <w:rFonts w:ascii="Courier New" w:cs="Courier New" w:eastAsia="Courier New" w:hAnsi="Courier New"/>
          <w:sz w:val="18"/>
          <w:szCs w:val="18"/>
          <w:color w:val="auto"/>
        </w:rPr>
        <w:t>these entities may decide to stop purchasing our products or demand</w:t>
      </w:r>
    </w:p>
    <w:p>
      <w:pPr>
        <w:spacing w:after="0"/>
        <w:rPr>
          <w:sz w:val="20"/>
          <w:szCs w:val="20"/>
          <w:color w:val="auto"/>
        </w:rPr>
      </w:pPr>
      <w:r>
        <w:rPr>
          <w:rFonts w:ascii="Courier New" w:cs="Courier New" w:eastAsia="Courier New" w:hAnsi="Courier New"/>
          <w:sz w:val="18"/>
          <w:szCs w:val="18"/>
          <w:color w:val="auto"/>
        </w:rPr>
        <w:t>discounts on our prices;</w:t>
      </w:r>
    </w:p>
    <w:p>
      <w:pPr>
        <w:spacing w:after="0" w:line="237" w:lineRule="auto"/>
        <w:rPr>
          <w:sz w:val="20"/>
          <w:szCs w:val="20"/>
          <w:color w:val="auto"/>
        </w:rPr>
      </w:pPr>
      <w:r>
        <w:rPr>
          <w:rFonts w:ascii="Courier New" w:cs="Courier New" w:eastAsia="Courier New" w:hAnsi="Courier New"/>
          <w:sz w:val="18"/>
          <w:szCs w:val="18"/>
          <w:color w:val="auto"/>
        </w:rPr>
        <w:t>we are party to contracts with group purchasing organizations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 us to discount our prices for certain of our products and limit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ability to raise prices for certain of our products, particularly</w:t>
      </w:r>
    </w:p>
    <w:p>
      <w:pPr>
        <w:spacing w:after="0" w:line="238" w:lineRule="auto"/>
        <w:rPr>
          <w:sz w:val="20"/>
          <w:szCs w:val="20"/>
          <w:color w:val="auto"/>
        </w:rPr>
      </w:pPr>
      <w:r>
        <w:rPr>
          <w:rFonts w:ascii="Courier New" w:cs="Courier New" w:eastAsia="Courier New" w:hAnsi="Courier New"/>
          <w:sz w:val="18"/>
          <w:szCs w:val="18"/>
          <w:color w:val="auto"/>
        </w:rPr>
        <w:t>surgical instruments;</w:t>
      </w:r>
    </w:p>
    <w:p>
      <w:pPr>
        <w:spacing w:after="0"/>
        <w:rPr>
          <w:sz w:val="20"/>
          <w:szCs w:val="20"/>
          <w:color w:val="auto"/>
        </w:rPr>
      </w:pPr>
      <w:r>
        <w:rPr>
          <w:rFonts w:ascii="Courier New" w:cs="Courier New" w:eastAsia="Courier New" w:hAnsi="Courier New"/>
          <w:sz w:val="18"/>
          <w:szCs w:val="18"/>
          <w:color w:val="auto"/>
        </w:rPr>
        <w:t>there is economic pressure to contain health care costs in</w:t>
      </w:r>
    </w:p>
    <w:p>
      <w:pPr>
        <w:spacing w:after="0" w:line="237" w:lineRule="auto"/>
        <w:rPr>
          <w:sz w:val="20"/>
          <w:szCs w:val="20"/>
          <w:color w:val="auto"/>
        </w:rPr>
      </w:pPr>
      <w:r>
        <w:rPr>
          <w:rFonts w:ascii="Courier New" w:cs="Courier New" w:eastAsia="Courier New" w:hAnsi="Courier New"/>
          <w:sz w:val="18"/>
          <w:szCs w:val="18"/>
          <w:color w:val="auto"/>
        </w:rPr>
        <w:t>international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proposed and existing laws, regulations and industry policies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domestic and international markets regulating the sales and</w:t>
      </w:r>
    </w:p>
    <w:p>
      <w:pPr>
        <w:spacing w:after="0" w:line="238" w:lineRule="auto"/>
        <w:rPr>
          <w:sz w:val="20"/>
          <w:szCs w:val="20"/>
          <w:color w:val="auto"/>
        </w:rPr>
      </w:pPr>
      <w:r>
        <w:rPr>
          <w:rFonts w:ascii="Courier New" w:cs="Courier New" w:eastAsia="Courier New" w:hAnsi="Courier New"/>
          <w:sz w:val="18"/>
          <w:szCs w:val="18"/>
          <w:color w:val="auto"/>
        </w:rPr>
        <w:t>marketing practices and the pricing and profitability of companies in</w:t>
      </w:r>
    </w:p>
    <w:p>
      <w:pPr>
        <w:spacing w:after="0"/>
        <w:rPr>
          <w:sz w:val="20"/>
          <w:szCs w:val="20"/>
          <w:color w:val="auto"/>
        </w:rPr>
      </w:pPr>
      <w:r>
        <w:rPr>
          <w:rFonts w:ascii="Courier New" w:cs="Courier New" w:eastAsia="Courier New" w:hAnsi="Courier New"/>
          <w:sz w:val="18"/>
          <w:szCs w:val="18"/>
          <w:color w:val="auto"/>
        </w:rPr>
        <w:t>the health care industry; and</w:t>
      </w:r>
    </w:p>
    <w:p>
      <w:pPr>
        <w:spacing w:after="0" w:line="237" w:lineRule="auto"/>
        <w:rPr>
          <w:sz w:val="20"/>
          <w:szCs w:val="20"/>
          <w:color w:val="auto"/>
        </w:rPr>
      </w:pPr>
      <w:r>
        <w:rPr>
          <w:rFonts w:ascii="Courier New" w:cs="Courier New" w:eastAsia="Courier New" w:hAnsi="Courier New"/>
          <w:sz w:val="18"/>
          <w:szCs w:val="18"/>
          <w:color w:val="auto"/>
        </w:rPr>
        <w:t>there have been initiatives by third-party payors to challenge the</w:t>
      </w:r>
    </w:p>
    <w:p>
      <w:pPr>
        <w:spacing w:after="0" w:line="238" w:lineRule="auto"/>
        <w:rPr>
          <w:sz w:val="20"/>
          <w:szCs w:val="20"/>
          <w:color w:val="auto"/>
        </w:rPr>
      </w:pPr>
      <w:r>
        <w:rPr>
          <w:rFonts w:ascii="Courier New" w:cs="Courier New" w:eastAsia="Courier New" w:hAnsi="Courier New"/>
          <w:sz w:val="18"/>
          <w:szCs w:val="18"/>
          <w:color w:val="auto"/>
        </w:rPr>
        <w:t>prices charged for medical products that could affect our ability to</w:t>
      </w:r>
    </w:p>
    <w:p>
      <w:pPr>
        <w:spacing w:after="0"/>
        <w:rPr>
          <w:sz w:val="20"/>
          <w:szCs w:val="20"/>
          <w:color w:val="auto"/>
        </w:rPr>
      </w:pPr>
      <w:r>
        <w:rPr>
          <w:rFonts w:ascii="Courier New" w:cs="Courier New" w:eastAsia="Courier New" w:hAnsi="Courier New"/>
          <w:sz w:val="18"/>
          <w:szCs w:val="18"/>
          <w:color w:val="auto"/>
        </w:rPr>
        <w:t>sell products on a competitive basis.</w:t>
      </w:r>
    </w:p>
    <w:p>
      <w:pPr>
        <w:spacing w:after="0" w:line="200" w:lineRule="exact"/>
        <w:rPr>
          <w:sz w:val="20"/>
          <w:szCs w:val="20"/>
          <w:color w:val="auto"/>
        </w:rPr>
      </w:pPr>
    </w:p>
    <w:p>
      <w:pPr>
        <w:sectPr>
          <w:pgSz w:w="11900" w:h="16838" w:orient="portrait"/>
          <w:cols w:equalWidth="0" w:num="2">
            <w:col w:w="320" w:space="640"/>
            <w:col w:w="9259"/>
          </w:cols>
          <w:pgMar w:left="240" w:top="339" w:right="1440" w:bottom="0" w:gutter="0" w:footer="0" w:header="0"/>
        </w:sectPr>
      </w:pPr>
    </w:p>
    <w:p>
      <w:pPr>
        <w:spacing w:after="0" w:line="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Regulatory Oversight of the Medical Device Industry Might Affect The Manner in Which We May Sell Medical Devices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are laws and regulations that regulate the means by which companies in the health care industry may market their products to health care professionals and may compete by discounting the prices of their products. Although we exercise care in structuring our sales and marketing practices and customer discount arrangements to comply with those laws and regulations, we cannot assure you that:</w:t>
      </w:r>
    </w:p>
    <w:p>
      <w:pPr>
        <w:sectPr>
          <w:pgSz w:w="11900" w:h="16838" w:orient="portrait"/>
          <w:cols w:equalWidth="0" w:num="1">
            <w:col w:w="10219"/>
          </w:cols>
          <w:pgMar w:left="240" w:top="339"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government officials charged with responsibility for enforcing those laws will not assert that our sales and marketing practices or customer discount arrangements are in violation of those laws or regulations; or government regulators or courts will interpret those laws or regulations in a manner consistent with our interpretation.</w:t>
      </w:r>
    </w:p>
    <w:p>
      <w:pPr>
        <w:spacing w:after="0" w:line="200" w:lineRule="exact"/>
        <w:rPr>
          <w:sz w:val="20"/>
          <w:szCs w:val="20"/>
          <w:color w:val="auto"/>
        </w:rPr>
      </w:pPr>
    </w:p>
    <w:p>
      <w:pPr>
        <w:sectPr>
          <w:pgSz w:w="11900" w:h="16838" w:orient="portrait"/>
          <w:cols w:equalWidth="0" w:num="2">
            <w:col w:w="320" w:space="640"/>
            <w:col w:w="9259"/>
          </w:cols>
          <w:pgMar w:left="240" w:top="339" w:right="1440" w:bottom="0" w:gutter="0" w:footer="0" w:header="0"/>
          <w:type w:val="continuous"/>
        </w:sectPr>
      </w:pPr>
    </w:p>
    <w:p>
      <w:pPr>
        <w:spacing w:after="0" w:line="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2003 ADVAMED, the principal U.S. trade association for the medical device industry, promulgated a model "code of conduct" that sets forth standards by which its members should abide in the promotion of their products. The ADVAMED Code became effective as of January 1, 2004. In addition, we have in place policies and procedures for compliance that we believe are as stringent as, or more stringent than, those set forth in the ADVAMED Code, and we provide routine training to our sales and marketing personnel on our policies regarding sales and marketing practices. Nevertheless, we believe that the sales and marketing practices of our industry will be subject to increased scrutiny from government agencies.</w:t>
      </w:r>
    </w:p>
    <w:p>
      <w:pPr>
        <w:spacing w:after="0" w:line="21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Our Private Label Business Depends Significantly On Key Relationships With Third Parties, Which We May Be Unable To Establish And Maintain.</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Our private 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 bone in humans. Termination of any of our alliances would require us to develop other means to distribute the affected products and could adversely affect our expectations for the growth of private label products.</w:t>
      </w:r>
    </w:p>
    <w:p>
      <w:pPr>
        <w:spacing w:after="0" w:line="38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Our ability to enter into agreements with collaborators depends in part on convincing them that our technology can help them achieve their goals and execute their strategies. This may require substantial time, effort and expense on our part with no guarantee that a relationship will result. We may not be able to establish or maintain these relationships on commercially acceptable</w:t>
      </w:r>
    </w:p>
    <w:p>
      <w:pPr>
        <w:sectPr>
          <w:pgSz w:w="11900" w:h="16838" w:orient="portrait"/>
          <w:cols w:equalWidth="0" w:num="1">
            <w:col w:w="10219"/>
          </w:cols>
          <w:pgMar w:left="240" w:top="339" w:right="1440" w:bottom="0" w:gutter="0" w:footer="0" w:header="0"/>
          <w:type w:val="continuous"/>
        </w:sectPr>
      </w:pPr>
    </w:p>
    <w:bookmarkStart w:id="26" w:name="page27"/>
    <w:bookmarkEnd w:id="26"/>
    <w:p>
      <w:pPr>
        <w:ind w:right="1879"/>
        <w:spacing w:after="0" w:line="273" w:lineRule="auto"/>
        <w:rPr>
          <w:sz w:val="20"/>
          <w:szCs w:val="20"/>
          <w:color w:val="auto"/>
        </w:rPr>
      </w:pPr>
      <w:r>
        <w:rPr>
          <w:rFonts w:ascii="Courier New" w:cs="Courier New" w:eastAsia="Courier New" w:hAnsi="Courier New"/>
          <w:sz w:val="16"/>
          <w:szCs w:val="16"/>
          <w:color w:val="auto"/>
        </w:rPr>
        <w:t>terms. Our future agreements may not ultimately be successful. Even if we enter into collaborative or alliance agreements, our collaborators could terminate these agreements, or these agreements could expire before meaningful developmental milestones are reached. The termination or expiration of any of these relationships could have a material adverse effect on our business.</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Much of the revenue that we may receive under these collaborations will depend upon our collaborators' ability to successfully introduce, market and sell new products derived from our products. Our success depends in part upon the performance by these collaborators of their responsibilities under these agreements. Some collaborators may not perform their obligations when and as we expect. Thus revenues to be derived from collaborations may vary significantly over time and be difficult to forecast. Some of the companies we currently have alliances with or are targeting as potential allies offer products competitive with our products or may develop competitive production technologies or competitive products outside of their collaborations with us that could have a material adverse effect on our competitive position.</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our role in the collaborations is mostly limited to the production aspects. As a result, we may also be dependent on collaborators for other aspects of the development, preclinical and clinical testing, regulatory approval, sales, marketing and distribution of our products. If our current or future collaborators fail to market our products effectively or to develop additional products based on our technology, our sales and other revenues could significantly be reduced.</w:t>
      </w:r>
    </w:p>
    <w:p>
      <w:pPr>
        <w:spacing w:after="0" w:line="211"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Finally, we have received and may continue to receive payments from collaborators that may not be immediately recognized as revenue and therefore may not contribute to reported profits until further conditions are satisfied.</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Have Significant Product Liability Exposure And Our Insurance May Not Cover All Potential Claims.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1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We Are Subject To Other Regulatory Requirements Relating To Occupational Health And Safety And The Use Of Hazardous Substances Which May Impose Significant Compliance Costs On Us.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are subject to regulation under federal and state laws regarding occupational health and safety, laboratory practices, and the use, handling and disposal of toxic or hazardous substances. Our research, development and manufacturing processes involve the controlled use of certain hazardous materials. Although we believe that our safety procedures for handling and disposing of those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 We may incur significant costs to comply with environmental laws and regulations in the future. We may also be subject to other present and possible future local, state, federal and foreign regulations.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Loss Of Key Personnel Could Harm Our Business.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have made statements in this report, including statements under "Management's Discussion and Analysis of Financial Condition and Results of Operations" which constitute forward-looking statements within the meaning of Section 27A of the Securities Act of 1933 and Section 21E of the Securities Exchange Act of 1934. These forward-looking statements are subject to a number of risks, uncertainties and assumptions about the Company, including those described under "Factors that May Affect Our Future Performance" in the Company's Annual Report on Form 10-K</w:t>
      </w:r>
    </w:p>
    <w:p>
      <w:pPr>
        <w:sectPr>
          <w:pgSz w:w="11900" w:h="16838" w:orient="portrait"/>
          <w:cols w:equalWidth="0" w:num="1">
            <w:col w:w="10219"/>
          </w:cols>
          <w:pgMar w:left="240" w:top="142" w:right="1440" w:bottom="0" w:gutter="0" w:footer="0" w:header="0"/>
        </w:sectPr>
      </w:pPr>
    </w:p>
    <w:bookmarkStart w:id="27" w:name="page28"/>
    <w:bookmarkEnd w:id="27"/>
    <w:p>
      <w:pPr>
        <w:ind w:right="1999"/>
        <w:spacing w:after="0" w:line="237" w:lineRule="auto"/>
        <w:rPr>
          <w:sz w:val="20"/>
          <w:szCs w:val="20"/>
          <w:color w:val="auto"/>
        </w:rPr>
      </w:pPr>
      <w:r>
        <w:rPr>
          <w:rFonts w:ascii="Courier New" w:cs="Courier New" w:eastAsia="Courier New" w:hAnsi="Courier New"/>
          <w:sz w:val="18"/>
          <w:szCs w:val="18"/>
          <w:color w:val="auto"/>
        </w:rPr>
        <w:t>for the year ended December 31, 2003 filed with the Securities and Exchange Commission and those set forth under the heading "Factors That May Affect our Future Performance" in this report. In light of these risks and uncertainties, the forward-looking events and circumstances discussed in this report may not occur and actual results could differ materially from those anticipated or implied in the forward-looking statements.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42" w:right="1440" w:bottom="1440" w:gutter="0" w:footer="0" w:header="0"/>
        </w:sectPr>
      </w:pPr>
    </w:p>
    <w:bookmarkStart w:id="28" w:name="page29"/>
    <w:bookmarkEnd w:id="28"/>
    <w:p>
      <w:pPr>
        <w:spacing w:after="0" w:line="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Exchange Rate Risk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Marketable Securities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March 31, 2004 would increase or decrease interest income by approximately $2.1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Long Term Debt and Related Hedging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net interest received or paid under the terms of an interest rate swap. At March 31, 2004,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interest rate swap agreement qualifies as a fair value hedge under SFAS No. 133, as amended, "Accounting for Derivative Instruments and Hedging Activities". At March 31, 2004, the net fair value of the interest rate swap approximated $563,000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Senior Vice President, Finance and Treasurer,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required by SEC Rule 13a-15(b), we have carried out an evaluation, under the supervision and with the participation of our management, including our Chief Executive Officer and Senior Vice President, Finance and Treasurer, of the effectiveness of the design and operation of our disclosure controls and procedures as of the end of the quarter covered by this report. Based on the foregoing, our Chief Executive Officer and Senior Vice President, Finance and Treasurer concluded that our disclosure controls and procedures were effective at the reasonable assurance level.</w:t>
      </w:r>
    </w:p>
    <w:p>
      <w:pPr>
        <w:spacing w:after="0" w:line="212"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There has been no change in our internal controls over financial reporting during our most recent fiscal quarter that has materially affected, or is</w:t>
      </w:r>
    </w:p>
    <w:p>
      <w:pPr>
        <w:sectPr>
          <w:pgSz w:w="11900" w:h="16838" w:orient="portrait"/>
          <w:cols w:equalWidth="0" w:num="1">
            <w:col w:w="10219"/>
          </w:cols>
          <w:pgMar w:left="240" w:top="1440" w:right="1440" w:bottom="0" w:gutter="0" w:footer="0" w:header="0"/>
        </w:sectPr>
      </w:pPr>
    </w:p>
    <w:bookmarkStart w:id="29" w:name="page30"/>
    <w:bookmarkEnd w:id="29"/>
    <w:p>
      <w:pPr>
        <w:ind w:right="2199"/>
        <w:spacing w:after="0" w:line="235" w:lineRule="auto"/>
        <w:rPr>
          <w:sz w:val="20"/>
          <w:szCs w:val="20"/>
          <w:color w:val="auto"/>
        </w:rPr>
      </w:pPr>
      <w:r>
        <w:rPr>
          <w:rFonts w:ascii="Courier New" w:cs="Courier New" w:eastAsia="Courier New" w:hAnsi="Courier New"/>
          <w:sz w:val="18"/>
          <w:szCs w:val="18"/>
          <w:color w:val="auto"/>
        </w:rPr>
        <w:t>reasonably likely to materially affect, our internal controls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w:t>
      </w:r>
    </w:p>
    <w:p>
      <w:pPr>
        <w:spacing w:after="0" w:line="6"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w:t>
      </w:r>
    </w:p>
    <w:p>
      <w:pPr>
        <w:spacing w:after="0" w:line="6" w:lineRule="exact"/>
        <w:rPr>
          <w:sz w:val="20"/>
          <w:szCs w:val="20"/>
          <w:color w:val="auto"/>
        </w:rPr>
      </w:pPr>
    </w:p>
    <w:p>
      <w:pPr>
        <w:jc w:val="both"/>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Executive Officer and Principal Financial Officer Pursuant to 18 U.S.C. Section 1350, as created by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On February 27, 2004 we filed a Report on Form 8-K under items 7 and 12 regarding our earnings for the quarter and year ended December 31, 2003.</w:t>
      </w:r>
    </w:p>
    <w:p>
      <w:pPr>
        <w:spacing w:after="0" w:line="17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March 3, 2004, we filed a Report on Form 8-K under item 12 regarding a conference call we held to discuss our earnings for the quarter and year ended December 31, 2003.</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March 8, 2004, we filed a Report on Form 8-K under item 5 regarding a board resolution authorizing the Company to repurchase up to an additional 1.5 million shares of its common stock for an aggregate purchase price not to exceed $40.0 million.</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42" w:right="1440" w:bottom="1440" w:gutter="0" w:footer="0" w:header="0"/>
        </w:sectPr>
      </w:pPr>
    </w:p>
    <w:bookmarkStart w:id="30" w:name="page31"/>
    <w:bookmarkEnd w:id="30"/>
    <w:p>
      <w:pPr>
        <w:spacing w:after="0" w:line="200" w:lineRule="exact"/>
        <w:rPr>
          <w:sz w:val="20"/>
          <w:szCs w:val="20"/>
          <w:color w:val="auto"/>
        </w:rPr>
      </w:pPr>
    </w:p>
    <w:p>
      <w:pPr>
        <w:spacing w:after="0" w:line="29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676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INTEGRA LIFESCIENCES HOLDINGS CORPORATION</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May 7, 2004</w:t>
            </w: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Stuart M. Essig</w:t>
            </w:r>
          </w:p>
        </w:tc>
      </w:tr>
      <w:tr>
        <w:trPr>
          <w:trHeight w:val="203"/>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Stuart M. Essig</w:t>
            </w:r>
          </w:p>
        </w:tc>
      </w:tr>
      <w:tr>
        <w:trPr>
          <w:trHeight w:val="203"/>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and Chief Executive Officer</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May 7, 2004</w:t>
            </w:r>
          </w:p>
        </w:tc>
        <w:tc>
          <w:tcPr>
            <w:tcW w:w="620" w:type="dxa"/>
            <w:vAlign w:val="bottom"/>
          </w:tcPr>
          <w:p>
            <w:pPr>
              <w:ind w:left="260"/>
              <w:spacing w:after="0"/>
              <w:rPr>
                <w:sz w:val="20"/>
                <w:szCs w:val="20"/>
                <w:color w:val="auto"/>
              </w:rPr>
            </w:pPr>
            <w:r>
              <w:rPr>
                <w:rFonts w:ascii="Courier New" w:cs="Courier New" w:eastAsia="Courier New" w:hAnsi="Courier New"/>
                <w:sz w:val="18"/>
                <w:szCs w:val="18"/>
                <w:color w:val="auto"/>
              </w:rPr>
              <w:t>/s/</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David B. Holtz</w:t>
            </w:r>
          </w:p>
        </w:tc>
      </w:tr>
      <w:tr>
        <w:trPr>
          <w:trHeight w:val="203"/>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David B. Holtz</w:t>
            </w:r>
          </w:p>
        </w:tc>
      </w:tr>
      <w:tr>
        <w:trPr>
          <w:trHeight w:val="203"/>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Senior Vice President, Finance and Treasurer</w:t>
            </w:r>
          </w:p>
        </w:tc>
      </w:tr>
      <w:tr>
        <w:trPr>
          <w:trHeight w:val="405"/>
        </w:trPr>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ind w:left="580"/>
              <w:spacing w:after="0"/>
              <w:rPr>
                <w:sz w:val="20"/>
                <w:szCs w:val="20"/>
                <w:color w:val="auto"/>
              </w:rPr>
            </w:pPr>
            <w:r>
              <w:rPr>
                <w:rFonts w:ascii="Courier New" w:cs="Courier New" w:eastAsia="Courier New" w:hAnsi="Courier New"/>
                <w:sz w:val="18"/>
                <w:szCs w:val="18"/>
                <w:color w:val="auto"/>
              </w:rPr>
              <w:t>33</w:t>
            </w:r>
          </w:p>
        </w:tc>
      </w:tr>
    </w:tbl>
    <w:p>
      <w:pPr>
        <w:sectPr>
          <w:pgSz w:w="11900" w:h="16838" w:orient="portrait"/>
          <w:cols w:equalWidth="0" w:num="1">
            <w:col w:w="9259"/>
          </w:cols>
          <w:pgMar w:left="1200" w:top="144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w:t>
      </w:r>
    </w:p>
    <w:p>
      <w:pPr>
        <w:spacing w:after="0" w:line="6"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w:t>
      </w:r>
    </w:p>
    <w:p>
      <w:pPr>
        <w:spacing w:after="0" w:line="6" w:lineRule="exact"/>
        <w:rPr>
          <w:sz w:val="20"/>
          <w:szCs w:val="20"/>
          <w:color w:val="auto"/>
        </w:rPr>
      </w:pPr>
    </w:p>
    <w:p>
      <w:pPr>
        <w:jc w:val="both"/>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Executive Officer and Principal Financial Officer pursuant to 18 U.S.C. Section 1350, as created by Section 906 of the Sarbanes-Oxley Act of 2002</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12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Certification of Principal Executive Officer</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Stuart M. Essig,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13a-15(e) and 15d-15(e))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2004</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Stuart M. Essig</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Stuart M. Essig</w:t>
      </w:r>
    </w:p>
    <w:p>
      <w:pPr>
        <w:ind w:left="560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325" w:right="1440" w:bottom="0" w:gutter="0" w:footer="0" w:header="0"/>
        </w:sectPr>
      </w:pPr>
    </w:p>
    <w:bookmarkStart w:id="33" w:name="page34"/>
    <w:bookmarkEnd w:id="33"/>
    <w:p>
      <w:pPr>
        <w:ind w:left="3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019"/>
          </w:cols>
          <w:pgMar w:left="1440" w:top="54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Certification of Principal Financial Officer</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David B. Holtz,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13a-15(e) and 15d-15(e))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2004</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David B. Holtz</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David B. Holtz</w:t>
      </w:r>
    </w:p>
    <w:p>
      <w:pPr>
        <w:ind w:left="4740"/>
        <w:spacing w:after="0"/>
        <w:rPr>
          <w:sz w:val="20"/>
          <w:szCs w:val="20"/>
          <w:color w:val="auto"/>
        </w:rPr>
      </w:pPr>
      <w:r>
        <w:rPr>
          <w:rFonts w:ascii="Courier New" w:cs="Courier New" w:eastAsia="Courier New" w:hAnsi="Courier New"/>
          <w:sz w:val="18"/>
          <w:szCs w:val="18"/>
          <w:color w:val="auto"/>
        </w:rPr>
        <w:t>Senior Vice President, Finance and</w:t>
      </w:r>
    </w:p>
    <w:p>
      <w:pPr>
        <w:ind w:left="4740"/>
        <w:spacing w:after="0" w:line="237" w:lineRule="auto"/>
        <w:rPr>
          <w:sz w:val="20"/>
          <w:szCs w:val="20"/>
          <w:color w:val="auto"/>
        </w:rPr>
      </w:pPr>
      <w:r>
        <w:rPr>
          <w:rFonts w:ascii="Courier New" w:cs="Courier New" w:eastAsia="Courier New" w:hAnsi="Courier New"/>
          <w:sz w:val="18"/>
          <w:szCs w:val="18"/>
          <w:color w:val="auto"/>
        </w:rPr>
        <w:t>Treasurer</w:t>
      </w:r>
    </w:p>
    <w:p>
      <w:pPr>
        <w:sectPr>
          <w:pgSz w:w="11900" w:h="16838" w:orient="portrait"/>
          <w:cols w:equalWidth="0" w:num="1">
            <w:col w:w="10219"/>
          </w:cols>
          <w:pgMar w:left="240" w:top="1122" w:right="1440" w:bottom="0" w:gutter="0" w:footer="0" w:header="0"/>
        </w:sectPr>
      </w:pPr>
    </w:p>
    <w:bookmarkStart w:id="35" w:name="page36"/>
    <w:bookmarkEnd w:id="35"/>
    <w:p>
      <w:pPr>
        <w:ind w:left="3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019"/>
          </w:cols>
          <w:pgMar w:left="1440" w:top="33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Principal Executive Officer</w:t>
      </w:r>
    </w:p>
    <w:p>
      <w:pPr>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rPr>
          <w:sz w:val="20"/>
          <w:szCs w:val="20"/>
          <w:color w:val="auto"/>
        </w:rPr>
      </w:pPr>
      <w:r>
        <w:rPr>
          <w:rFonts w:ascii="Courier New" w:cs="Courier New" w:eastAsia="Courier New" w:hAnsi="Courier New"/>
          <w:sz w:val="18"/>
          <w:szCs w:val="18"/>
          <w:color w:val="auto"/>
        </w:rPr>
        <w:t>Sarbanes-Oxley Act of 2002</w:t>
      </w:r>
    </w:p>
    <w:p>
      <w:pPr>
        <w:spacing w:after="0" w:line="200" w:lineRule="exact"/>
        <w:rPr>
          <w:sz w:val="20"/>
          <w:szCs w:val="20"/>
          <w:color w:val="auto"/>
        </w:rPr>
      </w:pPr>
    </w:p>
    <w:p>
      <w:pPr>
        <w:spacing w:after="0" w:line="209"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I, Stuart M. Essig, Chief Executive Officer of Integra LifeSciences Holdings Corporation (the "Company"), hereby certify that, to my knowledge:</w:t>
      </w:r>
    </w:p>
    <w:p>
      <w:pPr>
        <w:spacing w:after="0" w:line="170" w:lineRule="exact"/>
        <w:rPr>
          <w:sz w:val="20"/>
          <w:szCs w:val="20"/>
          <w:color w:val="auto"/>
        </w:rPr>
      </w:pPr>
    </w:p>
    <w:p>
      <w:pPr>
        <w:ind w:left="1900" w:right="2199" w:hanging="944"/>
        <w:spacing w:after="0" w:line="237"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period ending March 31, 2004 (the "Report") fully complies with the requirement of Section 13(a) or Section 15(d), as applicable, of the Securities Exchange Act of 1934, as amended; and</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2004</w:t>
      </w:r>
    </w:p>
    <w:p>
      <w:pPr>
        <w:spacing w:after="0" w:line="201"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Stuart M. Essig</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Stuart M. Essig</w:t>
      </w:r>
    </w:p>
    <w:p>
      <w:pPr>
        <w:ind w:left="580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rPr>
          <w:sz w:val="20"/>
          <w:szCs w:val="20"/>
          <w:color w:val="auto"/>
        </w:rPr>
      </w:pPr>
      <w:r>
        <w:rPr>
          <w:rFonts w:ascii="Courier New" w:cs="Courier New" w:eastAsia="Courier New" w:hAnsi="Courier New"/>
          <w:sz w:val="18"/>
          <w:szCs w:val="18"/>
          <w:color w:val="auto"/>
        </w:rPr>
        <w:t>Sarbanes -Oxley Act of 2002</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 David B. Holtz, Senior Vice President, Finance and Treasurer of Integra LifeSciences Holdings Corporation (the "Company"), hereby certify that, to my knowledge:</w:t>
      </w:r>
    </w:p>
    <w:p>
      <w:pPr>
        <w:spacing w:after="0" w:line="209" w:lineRule="exact"/>
        <w:rPr>
          <w:sz w:val="20"/>
          <w:szCs w:val="20"/>
          <w:color w:val="auto"/>
        </w:rPr>
      </w:pPr>
    </w:p>
    <w:p>
      <w:pPr>
        <w:ind w:left="1900" w:right="2199" w:hanging="944"/>
        <w:spacing w:after="0" w:line="237" w:lineRule="auto"/>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period ending March 31, 2004 (the "Report") fully complies with the requirement of Section 13(a) or Section 15(d), as applicable, of the Securities Exchange Act of 1934, as amended; and</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2004</w:t>
      </w:r>
    </w:p>
    <w:p>
      <w:pPr>
        <w:spacing w:after="0" w:line="201"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B. Holtz</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David B. Holtz</w:t>
      </w:r>
    </w:p>
    <w:p>
      <w:pPr>
        <w:spacing w:after="0" w:line="3"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Sr. Vice President, Finance and</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4"/>
    </w:lvl>
  </w:abstractNum>
  <w:abstractNum w:abstractNumId="1">
    <w:nsid w:val="6763845E"/>
    <w:multiLevelType w:val="hybridMultilevel"/>
    <w:lvl w:ilvl="0">
      <w:lvlJc w:val="left"/>
      <w:lvlText w:val="%1"/>
      <w:numFmt w:val="decimal"/>
      <w:start w:val="33"/>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5"/>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3"/>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2"/>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1."/>
      <w:numFmt w:val="decimal"/>
      <w:start w:val="4"/>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5"/>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6"/>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7"/>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8"/>
    </w:lvl>
  </w:abstractNum>
  <w:abstractNum w:abstractNumId="33">
    <w:nsid w:val="51EAD36B"/>
    <w:multiLevelType w:val="hybridMultilevel"/>
    <w:lvl w:ilvl="0">
      <w:lvlJc w:val="left"/>
      <w:lvlText w:val="%1."/>
      <w:numFmt w:val="decimal"/>
      <w:start w:val="9"/>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2019-12-14T02:27:08Z</dcterms:created>
  <dcterms:modified xsi:type="dcterms:W3CDTF">2019-12-14T02:27:08Z</dcterms:modified>
</cp:coreProperties>
</file>