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88"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38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54" w:lineRule="exact"/>
        <w:rPr>
          <w:sz w:val="24"/>
          <w:szCs w:val="24"/>
          <w:color w:val="auto"/>
        </w:rPr>
      </w:pPr>
    </w:p>
    <w:p>
      <w:pPr>
        <w:ind w:left="720" w:right="16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For the quarterly period ended September 30, 2013</w:t>
      </w:r>
    </w:p>
    <w:p>
      <w:pPr>
        <w:spacing w:after="0" w:line="343" w:lineRule="exact"/>
        <w:rPr>
          <w:sz w:val="24"/>
          <w:szCs w:val="24"/>
          <w:color w:val="auto"/>
        </w:rPr>
      </w:pPr>
    </w:p>
    <w:p>
      <w:pPr>
        <w:ind w:left="720" w:right="140" w:hanging="685"/>
        <w:spacing w:after="0" w:line="256" w:lineRule="auto"/>
        <w:tabs>
          <w:tab w:leader="none" w:pos="72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17" w:lineRule="exact"/>
        <w:rPr>
          <w:sz w:val="24"/>
          <w:szCs w:val="24"/>
          <w:color w:val="auto"/>
        </w:rPr>
      </w:pPr>
    </w:p>
    <w:p>
      <w:pPr>
        <w:ind w:left="4020"/>
        <w:spacing w:after="0"/>
        <w:tabs>
          <w:tab w:leader="none" w:pos="66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NO. 0-26224</w:t>
      </w:r>
    </w:p>
    <w:p>
      <w:pPr>
        <w:spacing w:after="0" w:line="292"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INTEGRA LIFESCIENCES HOLDINGS CORPORATION</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61" w:lineRule="exact"/>
        <w:rPr>
          <w:sz w:val="24"/>
          <w:szCs w:val="24"/>
          <w:color w:val="auto"/>
        </w:rPr>
      </w:pPr>
    </w:p>
    <w:tbl>
      <w:tblPr>
        <w:tblLayout w:type="fixed"/>
        <w:tblInd w:w="1120" w:type="dxa"/>
        <w:tblCellMar>
          <w:top w:w="0" w:type="dxa"/>
          <w:left w:w="0" w:type="dxa"/>
          <w:bottom w:w="0" w:type="dxa"/>
          <w:right w:w="0" w:type="dxa"/>
        </w:tblCellMar>
      </w:tblPr>
      <w:tr>
        <w:trPr>
          <w:trHeight w:val="234"/>
        </w:trPr>
        <w:tc>
          <w:tcPr>
            <w:tcW w:w="5080" w:type="dxa"/>
            <w:vAlign w:val="bottom"/>
          </w:tcPr>
          <w:p>
            <w:pPr>
              <w:jc w:val="center"/>
              <w:ind w:right="1619"/>
              <w:spacing w:after="0"/>
              <w:rPr>
                <w:sz w:val="20"/>
                <w:szCs w:val="20"/>
                <w:color w:val="auto"/>
              </w:rPr>
            </w:pPr>
            <w:r>
              <w:rPr>
                <w:rFonts w:ascii="Arial" w:cs="Arial" w:eastAsia="Arial" w:hAnsi="Arial"/>
                <w:sz w:val="18"/>
                <w:szCs w:val="18"/>
                <w:b w:val="1"/>
                <w:bCs w:val="1"/>
                <w:color w:val="auto"/>
                <w:w w:val="98"/>
              </w:rPr>
              <w:t>DELAWARE</w:t>
            </w:r>
          </w:p>
        </w:tc>
        <w:tc>
          <w:tcPr>
            <w:tcW w:w="3260" w:type="dxa"/>
            <w:vAlign w:val="bottom"/>
          </w:tcPr>
          <w:p>
            <w:pPr>
              <w:jc w:val="right"/>
              <w:ind w:right="261"/>
              <w:spacing w:after="0"/>
              <w:rPr>
                <w:sz w:val="20"/>
                <w:szCs w:val="20"/>
                <w:color w:val="auto"/>
              </w:rPr>
            </w:pPr>
            <w:r>
              <w:rPr>
                <w:rFonts w:ascii="Arial" w:cs="Arial" w:eastAsia="Arial" w:hAnsi="Arial"/>
                <w:sz w:val="18"/>
                <w:szCs w:val="18"/>
                <w:b w:val="1"/>
                <w:bCs w:val="1"/>
                <w:color w:val="auto"/>
              </w:rPr>
              <w:t>51-0317849</w:t>
            </w:r>
          </w:p>
        </w:tc>
      </w:tr>
      <w:tr>
        <w:trPr>
          <w:trHeight w:val="180"/>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(STATE OR OTHER JURISDICTION OF</w:t>
            </w:r>
          </w:p>
        </w:tc>
        <w:tc>
          <w:tcPr>
            <w:tcW w:w="3260" w:type="dxa"/>
            <w:vAlign w:val="bottom"/>
          </w:tcPr>
          <w:p>
            <w:pPr>
              <w:jc w:val="center"/>
              <w:ind w:left="1641"/>
              <w:spacing w:after="0"/>
              <w:rPr>
                <w:sz w:val="20"/>
                <w:szCs w:val="20"/>
                <w:color w:val="auto"/>
              </w:rPr>
            </w:pPr>
            <w:r>
              <w:rPr>
                <w:rFonts w:ascii="Arial" w:cs="Arial" w:eastAsia="Arial" w:hAnsi="Arial"/>
                <w:sz w:val="14"/>
                <w:szCs w:val="14"/>
                <w:b w:val="1"/>
                <w:bCs w:val="1"/>
                <w:color w:val="auto"/>
              </w:rPr>
              <w:t>(I.R.S. EMPLOYER</w:t>
            </w:r>
          </w:p>
        </w:tc>
      </w:tr>
      <w:tr>
        <w:trPr>
          <w:trHeight w:val="186"/>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INCORPORATION OR ORGANIZATION)</w:t>
            </w:r>
          </w:p>
        </w:tc>
        <w:tc>
          <w:tcPr>
            <w:tcW w:w="3260" w:type="dxa"/>
            <w:vAlign w:val="bottom"/>
          </w:tcPr>
          <w:p>
            <w:pPr>
              <w:jc w:val="center"/>
              <w:ind w:left="1621"/>
              <w:spacing w:after="0"/>
              <w:rPr>
                <w:sz w:val="20"/>
                <w:szCs w:val="20"/>
                <w:color w:val="auto"/>
              </w:rPr>
            </w:pPr>
            <w:r>
              <w:rPr>
                <w:rFonts w:ascii="Arial" w:cs="Arial" w:eastAsia="Arial" w:hAnsi="Arial"/>
                <w:sz w:val="14"/>
                <w:szCs w:val="14"/>
                <w:b w:val="1"/>
                <w:bCs w:val="1"/>
                <w:color w:val="auto"/>
              </w:rPr>
              <w:t>IDENTIFICATION NO.)</w:t>
            </w:r>
          </w:p>
        </w:tc>
      </w:tr>
      <w:tr>
        <w:trPr>
          <w:trHeight w:val="561"/>
        </w:trPr>
        <w:tc>
          <w:tcPr>
            <w:tcW w:w="5080" w:type="dxa"/>
            <w:vAlign w:val="bottom"/>
          </w:tcPr>
          <w:p>
            <w:pPr>
              <w:jc w:val="center"/>
              <w:ind w:right="1599"/>
              <w:spacing w:after="0"/>
              <w:rPr>
                <w:sz w:val="20"/>
                <w:szCs w:val="20"/>
                <w:color w:val="auto"/>
              </w:rPr>
            </w:pPr>
            <w:r>
              <w:rPr>
                <w:rFonts w:ascii="Arial" w:cs="Arial" w:eastAsia="Arial" w:hAnsi="Arial"/>
                <w:sz w:val="18"/>
                <w:szCs w:val="18"/>
                <w:b w:val="1"/>
                <w:bCs w:val="1"/>
                <w:color w:val="auto"/>
                <w:w w:val="98"/>
              </w:rPr>
              <w:t>311 ENTERPRISE DRIVE</w:t>
            </w:r>
          </w:p>
        </w:tc>
        <w:tc>
          <w:tcPr>
            <w:tcW w:w="3260" w:type="dxa"/>
            <w:vAlign w:val="bottom"/>
          </w:tcPr>
          <w:p>
            <w:pPr>
              <w:spacing w:after="0"/>
              <w:rPr>
                <w:sz w:val="24"/>
                <w:szCs w:val="24"/>
                <w:color w:val="auto"/>
              </w:rPr>
            </w:pPr>
          </w:p>
        </w:tc>
      </w:tr>
      <w:tr>
        <w:trPr>
          <w:trHeight w:val="234"/>
        </w:trPr>
        <w:tc>
          <w:tcPr>
            <w:tcW w:w="5080" w:type="dxa"/>
            <w:vAlign w:val="bottom"/>
          </w:tcPr>
          <w:p>
            <w:pPr>
              <w:jc w:val="center"/>
              <w:ind w:right="1619"/>
              <w:spacing w:after="0"/>
              <w:rPr>
                <w:sz w:val="20"/>
                <w:szCs w:val="20"/>
                <w:color w:val="auto"/>
              </w:rPr>
            </w:pPr>
            <w:r>
              <w:rPr>
                <w:rFonts w:ascii="Arial" w:cs="Arial" w:eastAsia="Arial" w:hAnsi="Arial"/>
                <w:sz w:val="18"/>
                <w:szCs w:val="18"/>
                <w:b w:val="1"/>
                <w:bCs w:val="1"/>
                <w:color w:val="auto"/>
                <w:w w:val="99"/>
              </w:rPr>
              <w:t>PLAINSBORO, NEW JERSEY</w:t>
            </w:r>
          </w:p>
        </w:tc>
        <w:tc>
          <w:tcPr>
            <w:tcW w:w="3260" w:type="dxa"/>
            <w:vAlign w:val="bottom"/>
          </w:tcPr>
          <w:p>
            <w:pPr>
              <w:jc w:val="right"/>
              <w:ind w:right="461"/>
              <w:spacing w:after="0"/>
              <w:rPr>
                <w:sz w:val="20"/>
                <w:szCs w:val="20"/>
                <w:color w:val="auto"/>
              </w:rPr>
            </w:pPr>
            <w:r>
              <w:rPr>
                <w:rFonts w:ascii="Arial" w:cs="Arial" w:eastAsia="Arial" w:hAnsi="Arial"/>
                <w:sz w:val="18"/>
                <w:szCs w:val="18"/>
                <w:b w:val="1"/>
                <w:bCs w:val="1"/>
                <w:color w:val="auto"/>
              </w:rPr>
              <w:t>08536</w:t>
            </w:r>
          </w:p>
        </w:tc>
      </w:tr>
      <w:tr>
        <w:trPr>
          <w:trHeight w:val="218"/>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(ADDRESS OF PRINCIPAL EXECUTIVE OFFICES)</w:t>
            </w:r>
          </w:p>
        </w:tc>
        <w:tc>
          <w:tcPr>
            <w:tcW w:w="3260" w:type="dxa"/>
            <w:vAlign w:val="bottom"/>
          </w:tcPr>
          <w:p>
            <w:pPr>
              <w:jc w:val="center"/>
              <w:ind w:left="1641"/>
              <w:spacing w:after="0"/>
              <w:rPr>
                <w:sz w:val="20"/>
                <w:szCs w:val="20"/>
                <w:color w:val="auto"/>
              </w:rPr>
            </w:pPr>
            <w:r>
              <w:rPr>
                <w:rFonts w:ascii="Arial" w:cs="Arial" w:eastAsia="Arial" w:hAnsi="Arial"/>
                <w:sz w:val="14"/>
                <w:szCs w:val="14"/>
                <w:b w:val="1"/>
                <w:bCs w:val="1"/>
                <w:color w:val="auto"/>
              </w:rPr>
              <w:t>(ZIP CODE)</w:t>
            </w:r>
          </w:p>
        </w:tc>
      </w:tr>
    </w:tbl>
    <w:p>
      <w:pPr>
        <w:spacing w:after="0" w:line="160"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REGISTRANT’S TELEPHONE NUMBER, INCLUDING AREA CODE: (609) 275-0500</w:t>
      </w:r>
    </w:p>
    <w:p>
      <w:pPr>
        <w:spacing w:after="0" w:line="225" w:lineRule="exact"/>
        <w:rPr>
          <w:sz w:val="24"/>
          <w:szCs w:val="24"/>
          <w:color w:val="auto"/>
        </w:rPr>
      </w:pPr>
    </w:p>
    <w:p>
      <w:pPr>
        <w:ind w:right="100"/>
        <w:spacing w:after="0" w:line="26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29"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29" w:lineRule="exact"/>
        <w:rPr>
          <w:sz w:val="24"/>
          <w:szCs w:val="24"/>
          <w:color w:val="auto"/>
        </w:rPr>
      </w:pPr>
    </w:p>
    <w:p>
      <w:pPr>
        <w:ind w:right="34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1820" w:type="dxa"/>
            <w:vAlign w:val="bottom"/>
          </w:tcPr>
          <w:p>
            <w:pPr>
              <w:ind w:left="40"/>
              <w:spacing w:after="0"/>
              <w:rPr>
                <w:sz w:val="20"/>
                <w:szCs w:val="20"/>
                <w:color w:val="auto"/>
              </w:rPr>
            </w:pPr>
            <w:r>
              <w:rPr>
                <w:rFonts w:ascii="Arial" w:cs="Arial" w:eastAsia="Arial" w:hAnsi="Arial"/>
                <w:sz w:val="16"/>
                <w:szCs w:val="16"/>
                <w:color w:val="auto"/>
              </w:rPr>
              <w:t>Large accelerated filer</w:t>
            </w:r>
          </w:p>
        </w:tc>
        <w:tc>
          <w:tcPr>
            <w:tcW w:w="480" w:type="dxa"/>
            <w:vAlign w:val="bottom"/>
          </w:tcPr>
          <w:p>
            <w:pPr>
              <w:ind w:left="340"/>
              <w:spacing w:after="0"/>
              <w:rPr>
                <w:sz w:val="20"/>
                <w:szCs w:val="20"/>
                <w:color w:val="auto"/>
              </w:rPr>
            </w:pPr>
            <w:r>
              <w:rPr>
                <w:rFonts w:ascii="Arial" w:cs="Arial" w:eastAsia="Arial" w:hAnsi="Arial"/>
                <w:sz w:val="16"/>
                <w:szCs w:val="16"/>
                <w:color w:val="auto"/>
              </w:rPr>
              <w:t>x</w:t>
            </w:r>
          </w:p>
        </w:tc>
        <w:tc>
          <w:tcPr>
            <w:tcW w:w="5700" w:type="dxa"/>
            <w:vAlign w:val="bottom"/>
          </w:tcPr>
          <w:p>
            <w:pPr>
              <w:spacing w:after="0"/>
              <w:rPr>
                <w:sz w:val="17"/>
                <w:szCs w:val="17"/>
                <w:color w:val="auto"/>
              </w:rPr>
            </w:pPr>
          </w:p>
        </w:tc>
        <w:tc>
          <w:tcPr>
            <w:tcW w:w="2260" w:type="dxa"/>
            <w:vAlign w:val="bottom"/>
          </w:tcPr>
          <w:p>
            <w:pPr>
              <w:ind w:left="10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400"/>
              <w:spacing w:after="0"/>
              <w:rPr>
                <w:sz w:val="20"/>
                <w:szCs w:val="20"/>
                <w:color w:val="auto"/>
              </w:rPr>
            </w:pPr>
            <w:r>
              <w:rPr>
                <w:rFonts w:ascii="Arial" w:cs="Arial" w:eastAsia="Arial" w:hAnsi="Arial"/>
                <w:sz w:val="15"/>
                <w:szCs w:val="15"/>
                <w:color w:val="auto"/>
                <w:w w:val="71"/>
              </w:rPr>
              <w:t>o</w:t>
            </w:r>
          </w:p>
        </w:tc>
      </w:tr>
      <w:tr>
        <w:trPr>
          <w:trHeight w:val="446"/>
        </w:trPr>
        <w:tc>
          <w:tcPr>
            <w:tcW w:w="1820" w:type="dxa"/>
            <w:vAlign w:val="bottom"/>
          </w:tcPr>
          <w:p>
            <w:pPr>
              <w:ind w:left="40"/>
              <w:spacing w:after="0"/>
              <w:rPr>
                <w:sz w:val="20"/>
                <w:szCs w:val="20"/>
                <w:color w:val="auto"/>
              </w:rPr>
            </w:pPr>
            <w:r>
              <w:rPr>
                <w:rFonts w:ascii="Arial" w:cs="Arial" w:eastAsia="Arial" w:hAnsi="Arial"/>
                <w:sz w:val="16"/>
                <w:szCs w:val="16"/>
                <w:color w:val="auto"/>
              </w:rPr>
              <w:t>Non-accelerated filer</w:t>
            </w:r>
          </w:p>
        </w:tc>
        <w:tc>
          <w:tcPr>
            <w:tcW w:w="480" w:type="dxa"/>
            <w:vAlign w:val="bottom"/>
          </w:tcPr>
          <w:p>
            <w:pPr>
              <w:ind w:left="340"/>
              <w:spacing w:after="0"/>
              <w:rPr>
                <w:sz w:val="20"/>
                <w:szCs w:val="20"/>
                <w:color w:val="auto"/>
              </w:rPr>
            </w:pPr>
            <w:r>
              <w:rPr>
                <w:rFonts w:ascii="Arial" w:cs="Arial" w:eastAsia="Arial" w:hAnsi="Arial"/>
                <w:sz w:val="16"/>
                <w:szCs w:val="16"/>
                <w:color w:val="auto"/>
              </w:rPr>
              <w:t>o</w:t>
            </w:r>
          </w:p>
        </w:tc>
        <w:tc>
          <w:tcPr>
            <w:tcW w:w="5700" w:type="dxa"/>
            <w:vAlign w:val="bottom"/>
          </w:tcPr>
          <w:p>
            <w:pPr>
              <w:ind w:left="40"/>
              <w:spacing w:after="0"/>
              <w:rPr>
                <w:sz w:val="20"/>
                <w:szCs w:val="20"/>
                <w:color w:val="auto"/>
              </w:rPr>
            </w:pPr>
            <w:r>
              <w:rPr>
                <w:rFonts w:ascii="Arial" w:cs="Arial" w:eastAsia="Arial" w:hAnsi="Arial"/>
                <w:sz w:val="16"/>
                <w:szCs w:val="16"/>
                <w:color w:val="auto"/>
              </w:rPr>
              <w:t>(Do not check if a smaller reporting company)</w:t>
            </w:r>
          </w:p>
        </w:tc>
        <w:tc>
          <w:tcPr>
            <w:tcW w:w="2260" w:type="dxa"/>
            <w:vAlign w:val="bottom"/>
          </w:tcPr>
          <w:p>
            <w:pPr>
              <w:ind w:left="10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400"/>
              <w:spacing w:after="0"/>
              <w:rPr>
                <w:sz w:val="20"/>
                <w:szCs w:val="20"/>
                <w:color w:val="auto"/>
              </w:rPr>
            </w:pPr>
            <w:r>
              <w:rPr>
                <w:rFonts w:ascii="Arial" w:cs="Arial" w:eastAsia="Arial" w:hAnsi="Arial"/>
                <w:sz w:val="15"/>
                <w:szCs w:val="15"/>
                <w:color w:val="auto"/>
                <w:w w:val="71"/>
              </w:rPr>
              <w:t>o</w:t>
            </w:r>
          </w:p>
        </w:tc>
      </w:tr>
      <w:tr>
        <w:trPr>
          <w:trHeight w:val="410"/>
        </w:trPr>
        <w:tc>
          <w:tcPr>
            <w:tcW w:w="8000" w:type="dxa"/>
            <w:vAlign w:val="bottom"/>
            <w:gridSpan w:val="3"/>
          </w:tcPr>
          <w:p>
            <w:pPr>
              <w:spacing w:after="0"/>
              <w:rPr>
                <w:sz w:val="20"/>
                <w:szCs w:val="20"/>
                <w:color w:val="auto"/>
              </w:rPr>
            </w:pPr>
            <w:r>
              <w:rPr>
                <w:rFonts w:ascii="Arial" w:cs="Arial" w:eastAsia="Arial" w:hAnsi="Arial"/>
                <w:sz w:val="16"/>
                <w:szCs w:val="16"/>
                <w:color w:val="auto"/>
                <w:w w:val="93"/>
              </w:rPr>
              <w:t>Indicate by check mark whether the registrant is a shell company (as defined in Rule 12b-2 of the Exchange Act).  Yes o</w:t>
            </w:r>
          </w:p>
        </w:tc>
        <w:tc>
          <w:tcPr>
            <w:tcW w:w="2260" w:type="dxa"/>
            <w:vAlign w:val="bottom"/>
          </w:tcPr>
          <w:p>
            <w:pPr>
              <w:ind w:left="8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480" w:type="dxa"/>
            <w:vAlign w:val="bottom"/>
          </w:tcPr>
          <w:p>
            <w:pPr>
              <w:spacing w:after="0"/>
              <w:rPr>
                <w:sz w:val="24"/>
                <w:szCs w:val="24"/>
                <w:color w:val="auto"/>
              </w:rPr>
            </w:pPr>
          </w:p>
        </w:tc>
      </w:tr>
    </w:tbl>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Common Stock, $0.01 par value, outstanding as of October 28, 2013 was 28,113,418.</w:t>
      </w:r>
    </w:p>
    <w:p>
      <w:pPr>
        <w:sectPr>
          <w:pgSz w:w="11900" w:h="16838" w:orient="portrait"/>
          <w:cols w:equalWidth="0" w:num="1">
            <w:col w:w="11380"/>
          </w:cols>
          <w:pgMar w:left="240" w:top="233" w:right="27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560" w:type="dxa"/>
            <w:vAlign w:val="bottom"/>
            <w:gridSpan w:val="7"/>
          </w:tcPr>
          <w:p>
            <w:pPr>
              <w:jc w:val="center"/>
              <w:ind w:right="1380"/>
              <w:spacing w:after="0"/>
              <w:rPr>
                <w:sz w:val="20"/>
                <w:szCs w:val="20"/>
                <w:color w:val="auto"/>
              </w:rPr>
            </w:pPr>
            <w:r>
              <w:rPr>
                <w:rFonts w:ascii="Arial" w:cs="Arial" w:eastAsia="Arial" w:hAnsi="Arial"/>
                <w:sz w:val="18"/>
                <w:szCs w:val="18"/>
                <w:b w:val="1"/>
                <w:bCs w:val="1"/>
                <w:color w:val="auto"/>
              </w:rPr>
              <w:t>INTEGRA LIFESCIENCES HOLDINGS CORPORATION</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40" w:type="dxa"/>
            <w:vAlign w:val="bottom"/>
            <w:gridSpan w:val="5"/>
          </w:tcPr>
          <w:p>
            <w:pPr>
              <w:jc w:val="center"/>
              <w:ind w:right="3200"/>
              <w:spacing w:after="0"/>
              <w:rPr>
                <w:sz w:val="20"/>
                <w:szCs w:val="20"/>
                <w:color w:val="auto"/>
              </w:rPr>
            </w:pPr>
            <w:r>
              <w:rPr>
                <w:rFonts w:ascii="Arial" w:cs="Arial" w:eastAsia="Arial" w:hAnsi="Arial"/>
                <w:sz w:val="18"/>
                <w:szCs w:val="18"/>
                <w:b w:val="1"/>
                <w:bCs w:val="1"/>
                <w:color w:val="auto"/>
              </w:rPr>
              <w:t>INDEX</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gridSpan w:val="4"/>
          </w:tcPr>
          <w:p>
            <w:pPr>
              <w:jc w:val="center"/>
              <w:spacing w:after="0"/>
              <w:rPr>
                <w:sz w:val="20"/>
                <w:szCs w:val="20"/>
                <w:color w:val="auto"/>
              </w:rPr>
            </w:pPr>
            <w:r>
              <w:rPr>
                <w:rFonts w:ascii="Arial" w:cs="Arial" w:eastAsia="Arial" w:hAnsi="Arial"/>
                <w:sz w:val="16"/>
                <w:szCs w:val="16"/>
                <w:b w:val="1"/>
                <w:bCs w:val="1"/>
                <w:color w:val="auto"/>
                <w:w w:val="83"/>
              </w:rPr>
              <w:t>Page</w:t>
            </w:r>
          </w:p>
        </w:tc>
        <w:tc>
          <w:tcPr>
            <w:tcW w:w="0" w:type="dxa"/>
            <w:vAlign w:val="bottom"/>
          </w:tcPr>
          <w:p>
            <w:pPr>
              <w:spacing w:after="0"/>
              <w:rPr>
                <w:sz w:val="1"/>
                <w:szCs w:val="1"/>
                <w:color w:val="auto"/>
              </w:rPr>
            </w:pPr>
          </w:p>
        </w:tc>
      </w:tr>
      <w:tr>
        <w:trPr>
          <w:trHeight w:val="210"/>
        </w:trPr>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Number</w:t>
            </w:r>
          </w:p>
        </w:tc>
        <w:tc>
          <w:tcPr>
            <w:tcW w:w="0" w:type="dxa"/>
            <w:vAlign w:val="bottom"/>
          </w:tcPr>
          <w:p>
            <w:pPr>
              <w:spacing w:after="0"/>
              <w:rPr>
                <w:sz w:val="1"/>
                <w:szCs w:val="1"/>
                <w:color w:val="auto"/>
              </w:rPr>
            </w:pPr>
          </w:p>
        </w:tc>
      </w:tr>
      <w:tr>
        <w:trPr>
          <w:trHeight w:val="33"/>
        </w:trPr>
        <w:tc>
          <w:tcPr>
            <w:tcW w:w="10140" w:type="dxa"/>
            <w:vAlign w:val="bottom"/>
            <w:gridSpan w:val="15"/>
            <w:vMerge w:val="restart"/>
          </w:tcPr>
          <w:p>
            <w:pPr>
              <w:spacing w:after="0"/>
              <w:rPr>
                <w:rFonts w:ascii="Arial" w:cs="Arial" w:eastAsia="Arial" w:hAnsi="Arial"/>
                <w:sz w:val="16"/>
                <w:szCs w:val="16"/>
                <w:color w:val="0000FF"/>
              </w:rPr>
            </w:pPr>
            <w:hyperlink w:anchor="page2">
              <w:r>
                <w:rPr>
                  <w:rFonts w:ascii="Arial" w:cs="Arial" w:eastAsia="Arial" w:hAnsi="Arial"/>
                  <w:sz w:val="16"/>
                  <w:szCs w:val="16"/>
                  <w:color w:val="0000FF"/>
                </w:rPr>
                <w:t>PART I. FINANCIAL INFORMATION</w:t>
              </w:r>
            </w:hyperlink>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140" w:type="dxa"/>
            <w:vAlign w:val="bottom"/>
            <w:gridSpan w:val="15"/>
            <w:vMerge w:val="continue"/>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2580" w:type="dxa"/>
            <w:vAlign w:val="bottom"/>
            <w:tcBorders>
              <w:top w:val="single" w:sz="8" w:color="0000FF"/>
            </w:tcBorders>
            <w:gridSpan w:val="8"/>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Item 1. Financial Statements</w:t>
              </w:r>
            </w:hyperlink>
          </w:p>
        </w:tc>
        <w:tc>
          <w:tcPr>
            <w:tcW w:w="7560" w:type="dxa"/>
            <w:vAlign w:val="bottom"/>
            <w:gridSpan w:val="7"/>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
              <w:r>
                <w:rPr>
                  <w:rFonts w:ascii="Arial" w:cs="Arial" w:eastAsia="Arial" w:hAnsi="Arial"/>
                  <w:sz w:val="16"/>
                  <w:szCs w:val="16"/>
                  <w:color w:val="0000FF"/>
                </w:rPr>
                <w:t>3</w:t>
              </w:r>
            </w:hyperlink>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140" w:type="dxa"/>
            <w:vAlign w:val="bottom"/>
            <w:gridSpan w:val="15"/>
          </w:tcPr>
          <w:p>
            <w:pPr>
              <w:spacing w:after="0"/>
              <w:rPr>
                <w:rFonts w:ascii="Arial" w:cs="Arial" w:eastAsia="Arial" w:hAnsi="Arial"/>
                <w:sz w:val="16"/>
                <w:szCs w:val="16"/>
                <w:color w:val="0000FF"/>
                <w:w w:val="96"/>
              </w:rPr>
            </w:pPr>
            <w:hyperlink w:anchor="page3">
              <w:r>
                <w:rPr>
                  <w:rFonts w:ascii="Arial" w:cs="Arial" w:eastAsia="Arial" w:hAnsi="Arial"/>
                  <w:sz w:val="16"/>
                  <w:szCs w:val="16"/>
                  <w:color w:val="0000FF"/>
                  <w:w w:val="96"/>
                </w:rPr>
                <w:t>Condensed Consolidated Statements of Operations and Comprehensive Income for the three and nine months ended September 30, 2013 and 2012</w:t>
              </w:r>
            </w:hyperlink>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80" w:type="dxa"/>
            <w:vAlign w:val="bottom"/>
            <w:tcBorders>
              <w:top w:val="single" w:sz="8" w:color="0000FF"/>
            </w:tcBorders>
          </w:tcPr>
          <w:p>
            <w:pPr>
              <w:spacing w:after="0" w:line="183" w:lineRule="exact"/>
              <w:rPr>
                <w:rFonts w:ascii="Arial" w:cs="Arial" w:eastAsia="Arial" w:hAnsi="Arial"/>
                <w:sz w:val="16"/>
                <w:szCs w:val="16"/>
                <w:color w:val="0000FF"/>
                <w:w w:val="90"/>
              </w:rPr>
            </w:pPr>
            <w:hyperlink w:anchor="page3">
              <w:r>
                <w:rPr>
                  <w:rFonts w:ascii="Arial" w:cs="Arial" w:eastAsia="Arial" w:hAnsi="Arial"/>
                  <w:sz w:val="16"/>
                  <w:szCs w:val="16"/>
                  <w:color w:val="0000FF"/>
                  <w:w w:val="90"/>
                </w:rPr>
                <w:t>(Unaudited)</w:t>
              </w:r>
            </w:hyperlink>
          </w:p>
        </w:tc>
        <w:tc>
          <w:tcPr>
            <w:tcW w:w="8720" w:type="dxa"/>
            <w:vAlign w:val="bottom"/>
            <w:tcBorders>
              <w:top w:val="single" w:sz="8" w:color="0000FF"/>
            </w:tcBorders>
            <w:gridSpan w:val="13"/>
          </w:tcPr>
          <w:p>
            <w:pPr>
              <w:spacing w:after="0"/>
              <w:rPr>
                <w:sz w:val="15"/>
                <w:szCs w:val="15"/>
                <w:color w:val="auto"/>
              </w:rPr>
            </w:pPr>
          </w:p>
        </w:tc>
        <w:tc>
          <w:tcPr>
            <w:tcW w:w="640" w:type="dxa"/>
            <w:vAlign w:val="bottom"/>
          </w:tcPr>
          <w:p>
            <w:pPr>
              <w:spacing w:after="0"/>
              <w:rPr>
                <w:sz w:val="15"/>
                <w:szCs w:val="15"/>
                <w:color w:val="auto"/>
              </w:rPr>
            </w:pPr>
          </w:p>
        </w:tc>
        <w:tc>
          <w:tcPr>
            <w:tcW w:w="1240" w:type="dxa"/>
            <w:vAlign w:val="bottom"/>
            <w:gridSpan w:val="4"/>
          </w:tcPr>
          <w:p>
            <w:pPr>
              <w:jc w:val="right"/>
              <w:ind w:right="20"/>
              <w:spacing w:after="0" w:line="183" w:lineRule="exact"/>
              <w:rPr>
                <w:rFonts w:ascii="Arial" w:cs="Arial" w:eastAsia="Arial" w:hAnsi="Arial"/>
                <w:sz w:val="16"/>
                <w:szCs w:val="16"/>
                <w:color w:val="0000FF"/>
              </w:rPr>
            </w:pPr>
            <w:hyperlink w:anchor="page3">
              <w:r>
                <w:rPr>
                  <w:rFonts w:ascii="Arial" w:cs="Arial" w:eastAsia="Arial" w:hAnsi="Arial"/>
                  <w:sz w:val="16"/>
                  <w:szCs w:val="16"/>
                  <w:color w:val="0000FF"/>
                </w:rPr>
                <w:t>3</w:t>
              </w:r>
            </w:hyperlink>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140" w:type="dxa"/>
            <w:vAlign w:val="bottom"/>
            <w:gridSpan w:val="15"/>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Condensed Consolidated Balance Sheets as of September 30, 2013 and December 31, 2012 (Unaudited)</w:t>
              </w:r>
            </w:hyperlink>
          </w:p>
        </w:tc>
        <w:tc>
          <w:tcPr>
            <w:tcW w:w="1240" w:type="dxa"/>
            <w:vAlign w:val="bottom"/>
            <w:gridSpan w:val="4"/>
          </w:tcPr>
          <w:p>
            <w:pPr>
              <w:jc w:val="right"/>
              <w:ind w:right="20"/>
              <w:spacing w:after="0"/>
              <w:rPr>
                <w:rFonts w:ascii="Arial" w:cs="Arial" w:eastAsia="Arial" w:hAnsi="Arial"/>
                <w:sz w:val="16"/>
                <w:szCs w:val="16"/>
                <w:color w:val="0000FF"/>
              </w:rPr>
            </w:pPr>
            <w:hyperlink w:anchor="page3">
              <w:r>
                <w:rPr>
                  <w:rFonts w:ascii="Arial" w:cs="Arial" w:eastAsia="Arial" w:hAnsi="Arial"/>
                  <w:sz w:val="16"/>
                  <w:szCs w:val="16"/>
                  <w:color w:val="0000FF"/>
                </w:rPr>
                <w:t>4</w:t>
              </w:r>
            </w:hyperlink>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880" w:type="dxa"/>
            <w:vAlign w:val="bottom"/>
            <w:gridSpan w:val="13"/>
          </w:tcPr>
          <w:p>
            <w:pPr>
              <w:spacing w:after="0"/>
              <w:rPr>
                <w:rFonts w:ascii="Arial" w:cs="Arial" w:eastAsia="Arial" w:hAnsi="Arial"/>
                <w:sz w:val="16"/>
                <w:szCs w:val="16"/>
                <w:color w:val="0000FF"/>
                <w:w w:val="90"/>
              </w:rPr>
            </w:pPr>
            <w:hyperlink w:anchor="page4">
              <w:r>
                <w:rPr>
                  <w:rFonts w:ascii="Arial" w:cs="Arial" w:eastAsia="Arial" w:hAnsi="Arial"/>
                  <w:sz w:val="16"/>
                  <w:szCs w:val="16"/>
                  <w:color w:val="0000FF"/>
                  <w:w w:val="90"/>
                </w:rPr>
                <w:t>Condensed Consolidated Statements of Cash Flows for the nine months ended September 30, 2013 and 2012 (Unaudited)</w:t>
              </w:r>
            </w:hyperlink>
          </w:p>
        </w:tc>
        <w:tc>
          <w:tcPr>
            <w:tcW w:w="2260" w:type="dxa"/>
            <w:vAlign w:val="bottom"/>
            <w:gridSpan w:val="2"/>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
              <w:r>
                <w:rPr>
                  <w:rFonts w:ascii="Arial" w:cs="Arial" w:eastAsia="Arial" w:hAnsi="Arial"/>
                  <w:sz w:val="16"/>
                  <w:szCs w:val="16"/>
                  <w:color w:val="0000FF"/>
                </w:rPr>
                <w:t>5</w:t>
              </w:r>
            </w:hyperlink>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880" w:type="dxa"/>
            <w:vAlign w:val="bottom"/>
            <w:gridSpan w:val="13"/>
          </w:tcPr>
          <w:p>
            <w:pPr>
              <w:spacing w:after="0"/>
              <w:rPr>
                <w:rFonts w:ascii="Arial" w:cs="Arial" w:eastAsia="Arial" w:hAnsi="Arial"/>
                <w:sz w:val="16"/>
                <w:szCs w:val="16"/>
                <w:color w:val="0000FF"/>
              </w:rPr>
            </w:pPr>
            <w:hyperlink w:anchor="page5">
              <w:r>
                <w:rPr>
                  <w:rFonts w:ascii="Arial" w:cs="Arial" w:eastAsia="Arial" w:hAnsi="Arial"/>
                  <w:sz w:val="16"/>
                  <w:szCs w:val="16"/>
                  <w:color w:val="0000FF"/>
                </w:rPr>
                <w:t>Notes to Unaudited Condensed Consolidated Financial Statements</w:t>
              </w:r>
            </w:hyperlink>
          </w:p>
        </w:tc>
        <w:tc>
          <w:tcPr>
            <w:tcW w:w="2260" w:type="dxa"/>
            <w:vAlign w:val="bottom"/>
            <w:gridSpan w:val="2"/>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5">
              <w:r>
                <w:rPr>
                  <w:rFonts w:ascii="Arial" w:cs="Arial" w:eastAsia="Arial" w:hAnsi="Arial"/>
                  <w:sz w:val="16"/>
                  <w:szCs w:val="16"/>
                  <w:color w:val="0000FF"/>
                </w:rPr>
                <w:t>6</w:t>
              </w:r>
            </w:hyperlink>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320" w:type="dxa"/>
            <w:vAlign w:val="bottom"/>
            <w:gridSpan w:val="11"/>
          </w:tcPr>
          <w:p>
            <w:pPr>
              <w:spacing w:after="0"/>
              <w:rPr>
                <w:rFonts w:ascii="Arial" w:cs="Arial" w:eastAsia="Arial" w:hAnsi="Arial"/>
                <w:sz w:val="16"/>
                <w:szCs w:val="16"/>
                <w:color w:val="0000FF"/>
                <w:w w:val="92"/>
              </w:rPr>
            </w:pPr>
            <w:hyperlink w:anchor="page19">
              <w:r>
                <w:rPr>
                  <w:rFonts w:ascii="Arial" w:cs="Arial" w:eastAsia="Arial" w:hAnsi="Arial"/>
                  <w:sz w:val="16"/>
                  <w:szCs w:val="16"/>
                  <w:color w:val="0000FF"/>
                  <w:w w:val="92"/>
                </w:rPr>
                <w:t>Item 2. Management’s Discussion and Analysis of Financial Condition and Results of Operations</w:t>
              </w:r>
            </w:hyperlink>
          </w:p>
        </w:tc>
        <w:tc>
          <w:tcPr>
            <w:tcW w:w="3820" w:type="dxa"/>
            <w:vAlign w:val="bottom"/>
            <w:gridSpan w:val="4"/>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19">
              <w:r>
                <w:rPr>
                  <w:rFonts w:ascii="Arial" w:cs="Arial" w:eastAsia="Arial" w:hAnsi="Arial"/>
                  <w:sz w:val="16"/>
                  <w:szCs w:val="16"/>
                  <w:color w:val="0000FF"/>
                </w:rPr>
                <w:t>19</w:t>
              </w:r>
            </w:hyperlink>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0" w:type="dxa"/>
            <w:vAlign w:val="bottom"/>
            <w:gridSpan w:val="10"/>
          </w:tcPr>
          <w:p>
            <w:pPr>
              <w:spacing w:after="0"/>
              <w:rPr>
                <w:rFonts w:ascii="Arial" w:cs="Arial" w:eastAsia="Arial" w:hAnsi="Arial"/>
                <w:sz w:val="16"/>
                <w:szCs w:val="16"/>
                <w:color w:val="0000FF"/>
                <w:w w:val="92"/>
              </w:rPr>
            </w:pPr>
            <w:hyperlink w:anchor="page33">
              <w:r>
                <w:rPr>
                  <w:rFonts w:ascii="Arial" w:cs="Arial" w:eastAsia="Arial" w:hAnsi="Arial"/>
                  <w:sz w:val="16"/>
                  <w:szCs w:val="16"/>
                  <w:color w:val="0000FF"/>
                  <w:w w:val="92"/>
                </w:rPr>
                <w:t>Item 3. Quantitative and Qualitative Disclosures About Market Risk</w:t>
              </w:r>
            </w:hyperlink>
          </w:p>
        </w:tc>
        <w:tc>
          <w:tcPr>
            <w:tcW w:w="1920" w:type="dxa"/>
            <w:vAlign w:val="bottom"/>
          </w:tcPr>
          <w:p>
            <w:pPr>
              <w:spacing w:after="0"/>
              <w:rPr>
                <w:sz w:val="24"/>
                <w:szCs w:val="24"/>
                <w:color w:val="auto"/>
              </w:rPr>
            </w:pPr>
          </w:p>
        </w:tc>
        <w:tc>
          <w:tcPr>
            <w:tcW w:w="3820" w:type="dxa"/>
            <w:vAlign w:val="bottom"/>
            <w:gridSpan w:val="4"/>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3">
              <w:r>
                <w:rPr>
                  <w:rFonts w:ascii="Arial" w:cs="Arial" w:eastAsia="Arial" w:hAnsi="Arial"/>
                  <w:sz w:val="16"/>
                  <w:szCs w:val="16"/>
                  <w:color w:val="0000FF"/>
                </w:rPr>
                <w:t>34</w:t>
              </w:r>
            </w:hyperlink>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5740" w:type="dxa"/>
            <w:vAlign w:val="bottom"/>
            <w:tcBorders>
              <w:left w:val="single" w:sz="8" w:color="0000FF"/>
            </w:tcBorders>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80" w:type="dxa"/>
            <w:vAlign w:val="bottom"/>
            <w:gridSpan w:val="6"/>
          </w:tcPr>
          <w:p>
            <w:pPr>
              <w:spacing w:after="0"/>
              <w:rPr>
                <w:rFonts w:ascii="Arial" w:cs="Arial" w:eastAsia="Arial" w:hAnsi="Arial"/>
                <w:sz w:val="16"/>
                <w:szCs w:val="16"/>
                <w:color w:val="0000FF"/>
                <w:w w:val="88"/>
              </w:rPr>
            </w:pPr>
            <w:hyperlink w:anchor="page34">
              <w:r>
                <w:rPr>
                  <w:rFonts w:ascii="Arial" w:cs="Arial" w:eastAsia="Arial" w:hAnsi="Arial"/>
                  <w:sz w:val="16"/>
                  <w:szCs w:val="16"/>
                  <w:color w:val="0000FF"/>
                  <w:w w:val="88"/>
                </w:rPr>
                <w:t>Item 4. Controls and Procedures</w:t>
              </w:r>
            </w:hyperlink>
          </w:p>
        </w:tc>
        <w:tc>
          <w:tcPr>
            <w:tcW w:w="2320" w:type="dxa"/>
            <w:vAlign w:val="bottom"/>
            <w:gridSpan w:val="4"/>
          </w:tcPr>
          <w:p>
            <w:pPr>
              <w:spacing w:after="0"/>
              <w:rPr>
                <w:sz w:val="24"/>
                <w:szCs w:val="24"/>
                <w:color w:val="auto"/>
              </w:rPr>
            </w:pPr>
          </w:p>
        </w:tc>
        <w:tc>
          <w:tcPr>
            <w:tcW w:w="5740" w:type="dxa"/>
            <w:vAlign w:val="bottom"/>
            <w:gridSpan w:val="5"/>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4">
              <w:r>
                <w:rPr>
                  <w:rFonts w:ascii="Arial" w:cs="Arial" w:eastAsia="Arial" w:hAnsi="Arial"/>
                  <w:sz w:val="16"/>
                  <w:szCs w:val="16"/>
                  <w:color w:val="0000FF"/>
                </w:rPr>
                <w:t>34</w:t>
              </w:r>
            </w:hyperlink>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574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320" w:type="dxa"/>
            <w:vAlign w:val="bottom"/>
            <w:tcBorders>
              <w:bottom w:val="single" w:sz="8" w:color="0000FF"/>
            </w:tcBorders>
            <w:gridSpan w:val="7"/>
          </w:tcPr>
          <w:p>
            <w:pPr>
              <w:spacing w:after="0"/>
              <w:rPr>
                <w:rFonts w:ascii="Arial" w:cs="Arial" w:eastAsia="Arial" w:hAnsi="Arial"/>
                <w:sz w:val="16"/>
                <w:szCs w:val="16"/>
                <w:color w:val="0000FF"/>
                <w:w w:val="96"/>
              </w:rPr>
            </w:pPr>
            <w:hyperlink w:anchor="page35">
              <w:r>
                <w:rPr>
                  <w:rFonts w:ascii="Arial" w:cs="Arial" w:eastAsia="Arial" w:hAnsi="Arial"/>
                  <w:sz w:val="16"/>
                  <w:szCs w:val="16"/>
                  <w:color w:val="0000FF"/>
                  <w:w w:val="96"/>
                </w:rPr>
                <w:t>PART II. OTHER INFORMATION</w:t>
              </w:r>
            </w:hyperlink>
          </w:p>
        </w:tc>
        <w:tc>
          <w:tcPr>
            <w:tcW w:w="7820" w:type="dxa"/>
            <w:vAlign w:val="bottom"/>
            <w:gridSpan w:val="8"/>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680" w:type="dxa"/>
            <w:vAlign w:val="bottom"/>
            <w:gridSpan w:val="4"/>
          </w:tcPr>
          <w:p>
            <w:pPr>
              <w:spacing w:after="0"/>
              <w:rPr>
                <w:rFonts w:ascii="Arial" w:cs="Arial" w:eastAsia="Arial" w:hAnsi="Arial"/>
                <w:sz w:val="16"/>
                <w:szCs w:val="16"/>
                <w:color w:val="0000FF"/>
                <w:w w:val="88"/>
              </w:rPr>
            </w:pPr>
            <w:hyperlink w:anchor="page36">
              <w:r>
                <w:rPr>
                  <w:rFonts w:ascii="Arial" w:cs="Arial" w:eastAsia="Arial" w:hAnsi="Arial"/>
                  <w:sz w:val="16"/>
                  <w:szCs w:val="16"/>
                  <w:color w:val="0000FF"/>
                  <w:w w:val="88"/>
                </w:rPr>
                <w:t>Item 1. Legal Proceedings</w:t>
              </w:r>
            </w:hyperlink>
          </w:p>
        </w:tc>
        <w:tc>
          <w:tcPr>
            <w:tcW w:w="8460" w:type="dxa"/>
            <w:vAlign w:val="bottom"/>
            <w:gridSpan w:val="11"/>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6">
              <w:r>
                <w:rPr>
                  <w:rFonts w:ascii="Arial" w:cs="Arial" w:eastAsia="Arial" w:hAnsi="Arial"/>
                  <w:sz w:val="16"/>
                  <w:szCs w:val="16"/>
                  <w:color w:val="0000FF"/>
                </w:rPr>
                <w:t>36</w:t>
              </w:r>
            </w:hyperlink>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680" w:type="dxa"/>
            <w:vAlign w:val="bottom"/>
            <w:gridSpan w:val="4"/>
          </w:tcPr>
          <w:p>
            <w:pPr>
              <w:spacing w:after="0"/>
              <w:rPr>
                <w:rFonts w:ascii="Arial" w:cs="Arial" w:eastAsia="Arial" w:hAnsi="Arial"/>
                <w:sz w:val="16"/>
                <w:szCs w:val="16"/>
                <w:color w:val="0000FF"/>
              </w:rPr>
            </w:pPr>
            <w:hyperlink w:anchor="page36">
              <w:r>
                <w:rPr>
                  <w:rFonts w:ascii="Arial" w:cs="Arial" w:eastAsia="Arial" w:hAnsi="Arial"/>
                  <w:sz w:val="16"/>
                  <w:szCs w:val="16"/>
                  <w:color w:val="0000FF"/>
                </w:rPr>
                <w:t>Item 1A. Risk Factors</w:t>
              </w:r>
            </w:hyperlink>
          </w:p>
        </w:tc>
        <w:tc>
          <w:tcPr>
            <w:tcW w:w="8460" w:type="dxa"/>
            <w:vAlign w:val="bottom"/>
            <w:gridSpan w:val="11"/>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6">
              <w:r>
                <w:rPr>
                  <w:rFonts w:ascii="Arial" w:cs="Arial" w:eastAsia="Arial" w:hAnsi="Arial"/>
                  <w:sz w:val="16"/>
                  <w:szCs w:val="16"/>
                  <w:color w:val="0000FF"/>
                </w:rPr>
                <w:t>36</w:t>
              </w:r>
            </w:hyperlink>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574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140" w:type="dxa"/>
            <w:vAlign w:val="bottom"/>
            <w:gridSpan w:val="15"/>
          </w:tcPr>
          <w:p>
            <w:pPr>
              <w:spacing w:after="0"/>
              <w:rPr>
                <w:rFonts w:ascii="Arial" w:cs="Arial" w:eastAsia="Arial" w:hAnsi="Arial"/>
                <w:sz w:val="16"/>
                <w:szCs w:val="16"/>
                <w:color w:val="0000FF"/>
              </w:rPr>
            </w:pPr>
            <w:hyperlink w:anchor="page40">
              <w:r>
                <w:rPr>
                  <w:rFonts w:ascii="Arial" w:cs="Arial" w:eastAsia="Arial" w:hAnsi="Arial"/>
                  <w:sz w:val="16"/>
                  <w:szCs w:val="16"/>
                  <w:color w:val="0000FF"/>
                </w:rPr>
                <w:t>Item 2. Unregistered Sales of Equity Securities and Use of Proceeds</w:t>
              </w:r>
            </w:hyperlink>
          </w:p>
        </w:tc>
        <w:tc>
          <w:tcPr>
            <w:tcW w:w="1240" w:type="dxa"/>
            <w:vAlign w:val="bottom"/>
            <w:gridSpan w:val="4"/>
          </w:tcPr>
          <w:p>
            <w:pPr>
              <w:jc w:val="right"/>
              <w:ind w:right="20"/>
              <w:spacing w:after="0"/>
              <w:rPr>
                <w:rFonts w:ascii="Arial" w:cs="Arial" w:eastAsia="Arial" w:hAnsi="Arial"/>
                <w:sz w:val="16"/>
                <w:szCs w:val="16"/>
                <w:color w:val="0000FF"/>
              </w:rPr>
            </w:pPr>
            <w:hyperlink w:anchor="page40">
              <w:r>
                <w:rPr>
                  <w:rFonts w:ascii="Arial" w:cs="Arial" w:eastAsia="Arial" w:hAnsi="Arial"/>
                  <w:sz w:val="16"/>
                  <w:szCs w:val="16"/>
                  <w:color w:val="0000FF"/>
                </w:rPr>
                <w:t>40</w:t>
              </w:r>
            </w:hyperlink>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0" w:type="dxa"/>
            <w:vAlign w:val="bottom"/>
            <w:gridSpan w:val="10"/>
          </w:tcPr>
          <w:p>
            <w:pPr>
              <w:spacing w:after="0"/>
              <w:rPr>
                <w:rFonts w:ascii="Arial" w:cs="Arial" w:eastAsia="Arial" w:hAnsi="Arial"/>
                <w:sz w:val="16"/>
                <w:szCs w:val="16"/>
                <w:color w:val="0000FF"/>
              </w:rPr>
            </w:pPr>
            <w:hyperlink w:anchor="page40">
              <w:r>
                <w:rPr>
                  <w:rFonts w:ascii="Arial" w:cs="Arial" w:eastAsia="Arial" w:hAnsi="Arial"/>
                  <w:sz w:val="16"/>
                  <w:szCs w:val="16"/>
                  <w:color w:val="0000FF"/>
                </w:rPr>
                <w:t>Item 4. Mine Safety Disclosures</w:t>
              </w:r>
            </w:hyperlink>
          </w:p>
        </w:tc>
        <w:tc>
          <w:tcPr>
            <w:tcW w:w="5740" w:type="dxa"/>
            <w:vAlign w:val="bottom"/>
            <w:gridSpan w:val="5"/>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0">
              <w:r>
                <w:rPr>
                  <w:rFonts w:ascii="Arial" w:cs="Arial" w:eastAsia="Arial" w:hAnsi="Arial"/>
                  <w:sz w:val="16"/>
                  <w:szCs w:val="16"/>
                  <w:color w:val="0000FF"/>
                </w:rPr>
                <w:t>40</w:t>
              </w:r>
            </w:hyperlink>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8060" w:type="dxa"/>
            <w:vAlign w:val="bottom"/>
            <w:gridSpan w:val="9"/>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680" w:type="dxa"/>
            <w:vAlign w:val="bottom"/>
            <w:gridSpan w:val="4"/>
          </w:tcPr>
          <w:p>
            <w:pPr>
              <w:spacing w:after="0"/>
              <w:rPr>
                <w:sz w:val="20"/>
                <w:szCs w:val="20"/>
                <w:color w:val="auto"/>
              </w:rPr>
            </w:pPr>
            <w:r>
              <w:rPr>
                <w:rFonts w:ascii="Arial" w:cs="Arial" w:eastAsia="Arial" w:hAnsi="Arial"/>
                <w:sz w:val="16"/>
                <w:szCs w:val="16"/>
                <w:color w:val="0000FF"/>
                <w:w w:val="92"/>
              </w:rPr>
              <w:t>Item 5. Other Information</w:t>
            </w:r>
          </w:p>
        </w:tc>
        <w:tc>
          <w:tcPr>
            <w:tcW w:w="400" w:type="dxa"/>
            <w:vAlign w:val="bottom"/>
            <w:gridSpan w:val="2"/>
          </w:tcPr>
          <w:p>
            <w:pPr>
              <w:spacing w:after="0"/>
              <w:rPr>
                <w:sz w:val="24"/>
                <w:szCs w:val="24"/>
                <w:color w:val="auto"/>
              </w:rPr>
            </w:pPr>
          </w:p>
        </w:tc>
        <w:tc>
          <w:tcPr>
            <w:tcW w:w="8060" w:type="dxa"/>
            <w:vAlign w:val="bottom"/>
            <w:gridSpan w:val="9"/>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0">
              <w:r>
                <w:rPr>
                  <w:rFonts w:ascii="Arial" w:cs="Arial" w:eastAsia="Arial" w:hAnsi="Arial"/>
                  <w:sz w:val="16"/>
                  <w:szCs w:val="16"/>
                  <w:color w:val="0000FF"/>
                </w:rPr>
                <w:t>40</w:t>
              </w:r>
            </w:hyperlink>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8460" w:type="dxa"/>
            <w:vAlign w:val="bottom"/>
            <w:gridSpan w:val="11"/>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80" w:type="dxa"/>
            <w:vAlign w:val="bottom"/>
            <w:gridSpan w:val="2"/>
          </w:tcPr>
          <w:p>
            <w:pPr>
              <w:spacing w:after="0"/>
              <w:rPr>
                <w:rFonts w:ascii="Arial" w:cs="Arial" w:eastAsia="Arial" w:hAnsi="Arial"/>
                <w:sz w:val="16"/>
                <w:szCs w:val="16"/>
                <w:color w:val="0000FF"/>
                <w:w w:val="85"/>
              </w:rPr>
            </w:pPr>
            <w:hyperlink w:anchor="page41">
              <w:r>
                <w:rPr>
                  <w:rFonts w:ascii="Arial" w:cs="Arial" w:eastAsia="Arial" w:hAnsi="Arial"/>
                  <w:sz w:val="16"/>
                  <w:szCs w:val="16"/>
                  <w:color w:val="0000FF"/>
                  <w:w w:val="85"/>
                </w:rPr>
                <w:t>Item 6. Exhibits</w:t>
              </w:r>
            </w:hyperlink>
          </w:p>
        </w:tc>
        <w:tc>
          <w:tcPr>
            <w:tcW w:w="700" w:type="dxa"/>
            <w:vAlign w:val="bottom"/>
            <w:gridSpan w:val="2"/>
          </w:tcPr>
          <w:p>
            <w:pPr>
              <w:spacing w:after="0"/>
              <w:rPr>
                <w:sz w:val="24"/>
                <w:szCs w:val="24"/>
                <w:color w:val="auto"/>
              </w:rPr>
            </w:pPr>
          </w:p>
        </w:tc>
        <w:tc>
          <w:tcPr>
            <w:tcW w:w="8460" w:type="dxa"/>
            <w:vAlign w:val="bottom"/>
            <w:gridSpan w:val="11"/>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1">
              <w:r>
                <w:rPr>
                  <w:rFonts w:ascii="Arial" w:cs="Arial" w:eastAsia="Arial" w:hAnsi="Arial"/>
                  <w:sz w:val="16"/>
                  <w:szCs w:val="16"/>
                  <w:color w:val="0000FF"/>
                </w:rPr>
                <w:t>41</w:t>
              </w:r>
            </w:hyperlink>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9160" w:type="dxa"/>
            <w:vAlign w:val="bottom"/>
            <w:tcBorders>
              <w:left w:val="single" w:sz="8" w:color="0000FF"/>
            </w:tcBorders>
            <w:gridSpan w:val="1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80" w:type="dxa"/>
            <w:vAlign w:val="bottom"/>
            <w:gridSpan w:val="2"/>
          </w:tcPr>
          <w:p>
            <w:pPr>
              <w:spacing w:after="0"/>
              <w:rPr>
                <w:rFonts w:ascii="Arial" w:cs="Arial" w:eastAsia="Arial" w:hAnsi="Arial"/>
                <w:sz w:val="16"/>
                <w:szCs w:val="16"/>
                <w:color w:val="0000FF"/>
                <w:w w:val="90"/>
              </w:rPr>
            </w:pPr>
            <w:hyperlink w:anchor="page41">
              <w:r>
                <w:rPr>
                  <w:rFonts w:ascii="Arial" w:cs="Arial" w:eastAsia="Arial" w:hAnsi="Arial"/>
                  <w:sz w:val="16"/>
                  <w:szCs w:val="16"/>
                  <w:color w:val="0000FF"/>
                  <w:w w:val="90"/>
                </w:rPr>
                <w:t>SIGNATURES</w:t>
              </w:r>
            </w:hyperlink>
          </w:p>
        </w:tc>
        <w:tc>
          <w:tcPr>
            <w:tcW w:w="9160" w:type="dxa"/>
            <w:vAlign w:val="bottom"/>
            <w:gridSpan w:val="13"/>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1">
              <w:r>
                <w:rPr>
                  <w:rFonts w:ascii="Arial" w:cs="Arial" w:eastAsia="Arial" w:hAnsi="Arial"/>
                  <w:sz w:val="16"/>
                  <w:szCs w:val="16"/>
                  <w:color w:val="0000FF"/>
                </w:rPr>
                <w:t>42</w:t>
              </w:r>
            </w:hyperlink>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9160" w:type="dxa"/>
            <w:vAlign w:val="bottom"/>
            <w:gridSpan w:val="1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10140" w:type="dxa"/>
            <w:vAlign w:val="bottom"/>
            <w:gridSpan w:val="15"/>
          </w:tcPr>
          <w:p>
            <w:pPr>
              <w:ind w:left="340"/>
              <w:spacing w:after="0"/>
              <w:rPr>
                <w:sz w:val="20"/>
                <w:szCs w:val="20"/>
                <w:color w:val="auto"/>
              </w:rPr>
            </w:pPr>
            <w:r>
              <w:rPr>
                <w:rFonts w:ascii="Arial" w:cs="Arial" w:eastAsia="Arial" w:hAnsi="Arial"/>
                <w:sz w:val="16"/>
                <w:szCs w:val="16"/>
                <w:color w:val="auto"/>
              </w:rPr>
              <w:t>Exhibit 10.1</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140" w:type="dxa"/>
            <w:vAlign w:val="bottom"/>
            <w:gridSpan w:val="15"/>
          </w:tcPr>
          <w:p>
            <w:pPr>
              <w:ind w:left="340"/>
              <w:spacing w:after="0"/>
              <w:rPr>
                <w:sz w:val="20"/>
                <w:szCs w:val="20"/>
                <w:color w:val="auto"/>
              </w:rPr>
            </w:pPr>
            <w:r>
              <w:rPr>
                <w:rFonts w:ascii="Arial" w:cs="Arial" w:eastAsia="Arial" w:hAnsi="Arial"/>
                <w:sz w:val="16"/>
                <w:szCs w:val="16"/>
                <w:color w:val="auto"/>
              </w:rPr>
              <w:t>Exhibit 10.2</w:t>
            </w: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Exhibit 10.3</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Exhibit 10.4</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Exhibit 31.1</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Exhibit 31.2</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Exhibit 32.1</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Exhibit 32.2</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Exhibit 99.1</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INSTANCE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SCHEMA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CALCULATION LINKBASE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DEFINITION LINKBASE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LABELS LINKBASE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PRESENTATION LINKBASE DOCUMENT</w:t>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294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7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2012</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 net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213,246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210,084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615,445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616,439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84,101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79,548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247,437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232,497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13,052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13,105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37,577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38,148</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95,933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93,077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295,713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276,585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Intangible asset amortization</w:t>
            </w:r>
          </w:p>
        </w:tc>
        <w:tc>
          <w:tcPr>
            <w:tcW w:w="3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3,036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4,618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9,660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13,985</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impairment charge</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46,738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46,738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Total costs and expenses</w:t>
            </w: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242,860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190,348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637,125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561,215</w:t>
            </w:r>
          </w:p>
        </w:tc>
      </w:tr>
      <w:tr>
        <w:trPr>
          <w:trHeight w:val="27"/>
        </w:trPr>
        <w:tc>
          <w:tcPr>
            <w:tcW w:w="4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19,736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55,224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893</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(15,081)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(20,581)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(1,544)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7"/>
        </w:trPr>
        <w:tc>
          <w:tcPr>
            <w:tcW w:w="4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35,418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(6,605)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(8,755)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7,000</w:t>
            </w:r>
          </w:p>
        </w:tc>
      </w:tr>
      <w:tr>
        <w:trPr>
          <w:trHeight w:val="27"/>
        </w:trPr>
        <w:tc>
          <w:tcPr>
            <w:tcW w:w="4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(28,550)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13,211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(29,160)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28,418</w:t>
            </w:r>
          </w:p>
        </w:tc>
      </w:tr>
      <w:tr>
        <w:trPr>
          <w:trHeight w:val="20"/>
        </w:trPr>
        <w:tc>
          <w:tcPr>
            <w:tcW w:w="4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0"/>
        </w:trPr>
        <w:tc>
          <w:tcPr>
            <w:tcW w:w="4700" w:type="dxa"/>
            <w:vAlign w:val="bottom"/>
          </w:tcPr>
          <w:p>
            <w:pPr>
              <w:ind w:left="380"/>
              <w:spacing w:after="0"/>
              <w:rPr>
                <w:sz w:val="20"/>
                <w:szCs w:val="20"/>
                <w:color w:val="auto"/>
              </w:rPr>
            </w:pPr>
            <w:r>
              <w:rPr>
                <w:rFonts w:ascii="Arial" w:cs="Arial" w:eastAsia="Arial" w:hAnsi="Arial"/>
                <w:sz w:val="18"/>
                <w:szCs w:val="18"/>
                <w:color w:val="auto"/>
              </w:rPr>
              <w:t>Basic net income per common share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1.00</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 net income per common share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w w:val="92"/>
              </w:rPr>
              <w:t>Weighted average common shares outstanding (See Note 11):</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27,896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28,446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27,855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28,403</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27,896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28,777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27,855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28,629</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 (See Note 12)</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17,106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(25,076)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28,016</w:t>
            </w:r>
          </w:p>
        </w:tc>
      </w:tr>
      <w:tr>
        <w:trPr>
          <w:trHeight w:val="20"/>
        </w:trPr>
        <w:tc>
          <w:tcPr>
            <w:tcW w:w="4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440" w:type="dxa"/>
            <w:vAlign w:val="bottom"/>
          </w:tcPr>
          <w:p>
            <w:pPr>
              <w:jc w:val="right"/>
              <w:ind w:right="371"/>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79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2012</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118,868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96,938</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Trade accounts receivable, net of allowances of $8,159 and $7,221</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113,538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114,916</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 net</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207,389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171,806</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Deferred tax assets</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40,049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39,100</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30,739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30,291</w:t>
            </w: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510,583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453,051</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192,724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177,898</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202,410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212,267</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248,824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294,067</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Deferred tax assets</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19,545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15,957</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9,986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10,359</w:t>
            </w:r>
          </w:p>
        </w:tc>
      </w:tr>
      <w:tr>
        <w:trPr>
          <w:trHeight w:val="297"/>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1,184,072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1,163,599</w:t>
            </w: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trade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54,466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36,742</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4,474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3,505</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28,520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34,914</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34,818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31,768</w:t>
            </w: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122,278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106,929</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Long-term borrowings under senior credit facility</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341,875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321,875</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Long-term convertible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203,265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197,672</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Deferred tax liabilities</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5,154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5,393</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12,023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13,955</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684,595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645,824</w:t>
            </w: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Preferred Stock; no par value; 15,000 authorized shares; none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29"/>
        </w:trPr>
        <w:tc>
          <w:tcPr>
            <w:tcW w:w="7900" w:type="dxa"/>
            <w:vAlign w:val="bottom"/>
          </w:tcPr>
          <w:p>
            <w:pPr>
              <w:ind w:left="380"/>
              <w:spacing w:after="0"/>
              <w:rPr>
                <w:sz w:val="20"/>
                <w:szCs w:val="20"/>
                <w:color w:val="auto"/>
              </w:rPr>
            </w:pPr>
            <w:r>
              <w:rPr>
                <w:rFonts w:ascii="Arial" w:cs="Arial" w:eastAsia="Arial" w:hAnsi="Arial"/>
                <w:sz w:val="18"/>
                <w:szCs w:val="18"/>
                <w:color w:val="auto"/>
                <w:w w:val="90"/>
              </w:rPr>
              <w:t>Common stock; $0.01 par value; 60,000 authorized shares; 36,972 and 36,852 issued at September 30,</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900" w:type="dxa"/>
            <w:vAlign w:val="bottom"/>
          </w:tcPr>
          <w:p>
            <w:pPr>
              <w:ind w:left="380"/>
              <w:spacing w:after="0"/>
              <w:rPr>
                <w:sz w:val="20"/>
                <w:szCs w:val="20"/>
                <w:color w:val="auto"/>
              </w:rPr>
            </w:pPr>
            <w:r>
              <w:rPr>
                <w:rFonts w:ascii="Arial" w:cs="Arial" w:eastAsia="Arial" w:hAnsi="Arial"/>
                <w:sz w:val="18"/>
                <w:szCs w:val="18"/>
                <w:color w:val="auto"/>
              </w:rPr>
              <w:t>2013 and December 31, 2012, respectively</w:t>
            </w:r>
          </w:p>
        </w:tc>
        <w:tc>
          <w:tcPr>
            <w:tcW w:w="26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369</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594,078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587,301</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Treasury stock, at cost; 8,903 shares at September 30, 2013 and December 31, 2012</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(367,121)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(367,121)</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(4,797)</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272,863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302,023</w:t>
            </w: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499,477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517,775</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1,184,072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1,163,599</w:t>
            </w:r>
          </w:p>
        </w:tc>
      </w:tr>
      <w:tr>
        <w:trPr>
          <w:trHeight w:val="20"/>
        </w:trPr>
        <w:tc>
          <w:tcPr>
            <w:tcW w:w="7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INTEGRA LIFESCIENCES HOLDINGS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ind w:left="5160"/>
        <w:spacing w:after="0"/>
        <w:rPr>
          <w:sz w:val="20"/>
          <w:szCs w:val="20"/>
          <w:color w:val="auto"/>
        </w:rPr>
      </w:pPr>
      <w:r>
        <w:rPr>
          <w:rFonts w:ascii="Arial" w:cs="Arial" w:eastAsia="Arial" w:hAnsi="Arial"/>
          <w:sz w:val="16"/>
          <w:szCs w:val="16"/>
          <w:b w:val="1"/>
          <w:bCs w:val="1"/>
          <w:color w:val="auto"/>
        </w:rPr>
        <w:t>(UNAUDITED)</w:t>
      </w:r>
    </w:p>
    <w:p>
      <w:pPr>
        <w:spacing w:after="0" w:line="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(In thousands)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3540" w:type="dxa"/>
            <w:vAlign w:val="bottom"/>
            <w:tcBorders>
              <w:bottom w:val="single" w:sz="8" w:color="auto"/>
            </w:tcBorders>
            <w:gridSpan w:val="5"/>
          </w:tcPr>
          <w:p>
            <w:pPr>
              <w:jc w:val="right"/>
              <w:ind w:right="599"/>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786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2012</w:t>
            </w:r>
          </w:p>
        </w:tc>
      </w:tr>
      <w:tr>
        <w:trPr>
          <w:trHeight w:val="210"/>
        </w:trPr>
        <w:tc>
          <w:tcPr>
            <w:tcW w:w="78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60"/>
        </w:trPr>
        <w:tc>
          <w:tcPr>
            <w:tcW w:w="786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060" w:type="dxa"/>
            <w:vAlign w:val="bottom"/>
          </w:tcPr>
          <w:p>
            <w:pPr>
              <w:jc w:val="right"/>
              <w:ind w:right="862"/>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w w:val="97"/>
              </w:rPr>
              <w:t>(29,160)</w:t>
            </w:r>
          </w:p>
        </w:tc>
        <w:tc>
          <w:tcPr>
            <w:tcW w:w="100" w:type="dxa"/>
            <w:vAlign w:val="bottom"/>
          </w:tcPr>
          <w:p>
            <w:pPr>
              <w:spacing w:after="0"/>
              <w:rPr>
                <w:sz w:val="20"/>
                <w:szCs w:val="20"/>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28,418</w:t>
            </w:r>
          </w:p>
        </w:tc>
      </w:tr>
      <w:tr>
        <w:trPr>
          <w:trHeight w:val="33"/>
        </w:trPr>
        <w:tc>
          <w:tcPr>
            <w:tcW w:w="7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10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35,695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39,122</w:t>
            </w:r>
          </w:p>
        </w:tc>
      </w:tr>
      <w:tr>
        <w:trPr>
          <w:trHeight w:val="33"/>
        </w:trPr>
        <w:tc>
          <w:tcPr>
            <w:tcW w:w="7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Non-cash impairment charges</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46,738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Deferred income tax (benefit) provision</w:t>
            </w:r>
          </w:p>
        </w:tc>
        <w:tc>
          <w:tcPr>
            <w:tcW w:w="10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(7,238)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(3,184)</w:t>
            </w:r>
          </w:p>
        </w:tc>
      </w:tr>
      <w:tr>
        <w:trPr>
          <w:trHeight w:val="33"/>
        </w:trPr>
        <w:tc>
          <w:tcPr>
            <w:tcW w:w="7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debt issuance costs</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2,103</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Non-cash interest expense</w:t>
            </w:r>
          </w:p>
        </w:tc>
        <w:tc>
          <w:tcPr>
            <w:tcW w:w="10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4,865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8,284</w:t>
            </w:r>
          </w:p>
        </w:tc>
      </w:tr>
      <w:tr>
        <w:trPr>
          <w:trHeight w:val="33"/>
        </w:trPr>
        <w:tc>
          <w:tcPr>
            <w:tcW w:w="7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 of accreted interest</w:t>
            </w:r>
          </w:p>
        </w:tc>
        <w:tc>
          <w:tcPr>
            <w:tcW w:w="10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(30,617)</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Loss on disposal of property and equipment</w:t>
            </w:r>
          </w:p>
        </w:tc>
        <w:tc>
          <w:tcPr>
            <w:tcW w:w="10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1,816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807</w:t>
            </w:r>
          </w:p>
        </w:tc>
      </w:tr>
      <w:tr>
        <w:trPr>
          <w:trHeight w:val="33"/>
        </w:trPr>
        <w:tc>
          <w:tcPr>
            <w:tcW w:w="7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Share-based compensation</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7,594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6,632</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Excess tax benefits from stock-based compensation arrangements</w:t>
            </w:r>
          </w:p>
        </w:tc>
        <w:tc>
          <w:tcPr>
            <w:tcW w:w="10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(432)</w:t>
            </w:r>
          </w:p>
        </w:tc>
      </w:tr>
      <w:tr>
        <w:trPr>
          <w:trHeight w:val="33"/>
        </w:trPr>
        <w:tc>
          <w:tcPr>
            <w:tcW w:w="7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assets and liabilities, net of business acquisitions:</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Accounts receivable</w:t>
            </w:r>
          </w:p>
        </w:tc>
        <w:tc>
          <w:tcPr>
            <w:tcW w:w="10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1,440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(1,333)</w:t>
            </w:r>
          </w:p>
        </w:tc>
      </w:tr>
      <w:tr>
        <w:trPr>
          <w:trHeight w:val="33"/>
        </w:trPr>
        <w:tc>
          <w:tcPr>
            <w:tcW w:w="7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Inventories</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(34,855)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1,080</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10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(282)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8,148</w:t>
            </w:r>
          </w:p>
        </w:tc>
      </w:tr>
      <w:tr>
        <w:trPr>
          <w:trHeight w:val="33"/>
        </w:trPr>
        <w:tc>
          <w:tcPr>
            <w:tcW w:w="7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non-current assets</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(877)</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Accounts payable, accrued expenses and other current liabilities</w:t>
            </w:r>
          </w:p>
        </w:tc>
        <w:tc>
          <w:tcPr>
            <w:tcW w:w="10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14,185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6,528</w:t>
            </w:r>
          </w:p>
        </w:tc>
      </w:tr>
      <w:tr>
        <w:trPr>
          <w:trHeight w:val="33"/>
        </w:trPr>
        <w:tc>
          <w:tcPr>
            <w:tcW w:w="7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revenue</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(913)</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Other non-current liabilities</w:t>
            </w:r>
          </w:p>
        </w:tc>
        <w:tc>
          <w:tcPr>
            <w:tcW w:w="10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(1,264)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(1,263)</w:t>
            </w:r>
          </w:p>
        </w:tc>
      </w:tr>
      <w:tr>
        <w:trPr>
          <w:trHeight w:val="33"/>
        </w:trPr>
        <w:tc>
          <w:tcPr>
            <w:tcW w:w="78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1060" w:type="dxa"/>
            <w:vAlign w:val="bottom"/>
            <w:tcBorders>
              <w:bottom w:val="single" w:sz="8" w:color="CCEEFF"/>
            </w:tcBorders>
            <w:shd w:val="clear" w:color="auto" w:fill="CCEEFF"/>
          </w:tcPr>
          <w:p>
            <w:pPr>
              <w:jc w:val="right"/>
              <w:ind w:right="862"/>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41,572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62,503</w:t>
            </w:r>
          </w:p>
        </w:tc>
      </w:tr>
      <w:tr>
        <w:trPr>
          <w:trHeight w:val="204"/>
        </w:trPr>
        <w:tc>
          <w:tcPr>
            <w:tcW w:w="7860" w:type="dxa"/>
            <w:vAlign w:val="bottom"/>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10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r>
      <w:tr>
        <w:trPr>
          <w:trHeight w:val="60"/>
        </w:trPr>
        <w:tc>
          <w:tcPr>
            <w:tcW w:w="78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Purchases of property and equipment</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(37,722)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(44,359)</w:t>
            </w: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Sales of property and equipment</w:t>
            </w:r>
          </w:p>
        </w:tc>
        <w:tc>
          <w:tcPr>
            <w:tcW w:w="10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533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7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used in business acquisition, net of cash acquired</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(2,177)</w:t>
            </w: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Purchases of short-term investments</w:t>
            </w:r>
          </w:p>
        </w:tc>
        <w:tc>
          <w:tcPr>
            <w:tcW w:w="106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(67,907)</w:t>
            </w:r>
          </w:p>
        </w:tc>
      </w:tr>
      <w:tr>
        <w:trPr>
          <w:trHeight w:val="33"/>
        </w:trPr>
        <w:tc>
          <w:tcPr>
            <w:tcW w:w="7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Maturities of short-term investments</w:t>
            </w:r>
          </w:p>
        </w:tc>
        <w:tc>
          <w:tcPr>
            <w:tcW w:w="10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64,940</w:t>
            </w:r>
          </w:p>
        </w:tc>
      </w:tr>
      <w:tr>
        <w:trPr>
          <w:trHeight w:val="217"/>
        </w:trPr>
        <w:tc>
          <w:tcPr>
            <w:tcW w:w="786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1060" w:type="dxa"/>
            <w:vAlign w:val="bottom"/>
            <w:tcBorders>
              <w:top w:val="single" w:sz="8" w:color="auto"/>
            </w:tcBorders>
          </w:tcPr>
          <w:p>
            <w:pPr>
              <w:jc w:val="right"/>
              <w:ind w:right="862"/>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7"/>
              </w:rPr>
              <w:t>(40,169)</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(49,503)</w:t>
            </w:r>
          </w:p>
        </w:tc>
      </w:tr>
      <w:tr>
        <w:trPr>
          <w:trHeight w:val="33"/>
        </w:trPr>
        <w:tc>
          <w:tcPr>
            <w:tcW w:w="78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4"/>
        </w:trPr>
        <w:tc>
          <w:tcPr>
            <w:tcW w:w="78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10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60"/>
        </w:trPr>
        <w:tc>
          <w:tcPr>
            <w:tcW w:w="786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Borrowings under senior credit facility</w:t>
            </w:r>
          </w:p>
        </w:tc>
        <w:tc>
          <w:tcPr>
            <w:tcW w:w="10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30,000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155,000</w:t>
            </w:r>
          </w:p>
        </w:tc>
      </w:tr>
      <w:tr>
        <w:trPr>
          <w:trHeight w:val="33"/>
        </w:trPr>
        <w:tc>
          <w:tcPr>
            <w:tcW w:w="7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Repayments under senior credit facility</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(12,812)</w:t>
            </w: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Payment of liability component of convertible notes</w:t>
            </w:r>
          </w:p>
        </w:tc>
        <w:tc>
          <w:tcPr>
            <w:tcW w:w="106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(134,383)</w:t>
            </w:r>
          </w:p>
        </w:tc>
      </w:tr>
      <w:tr>
        <w:trPr>
          <w:trHeight w:val="33"/>
        </w:trPr>
        <w:tc>
          <w:tcPr>
            <w:tcW w:w="7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Payment of debt issuance costs</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Proceeds from exercised stock options</w:t>
            </w:r>
          </w:p>
        </w:tc>
        <w:tc>
          <w:tcPr>
            <w:tcW w:w="10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696</w:t>
            </w:r>
          </w:p>
        </w:tc>
      </w:tr>
      <w:tr>
        <w:trPr>
          <w:trHeight w:val="33"/>
        </w:trPr>
        <w:tc>
          <w:tcPr>
            <w:tcW w:w="7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Excess tax benefits from stock-based compensation arrangements</w:t>
            </w:r>
          </w:p>
        </w:tc>
        <w:tc>
          <w:tcPr>
            <w:tcW w:w="10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432</w:t>
            </w:r>
          </w:p>
        </w:tc>
      </w:tr>
      <w:tr>
        <w:trPr>
          <w:trHeight w:val="217"/>
        </w:trPr>
        <w:tc>
          <w:tcPr>
            <w:tcW w:w="7860" w:type="dxa"/>
            <w:vAlign w:val="bottom"/>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1060" w:type="dxa"/>
            <w:vAlign w:val="bottom"/>
            <w:tcBorders>
              <w:top w:val="single" w:sz="8" w:color="auto"/>
            </w:tcBorders>
          </w:tcPr>
          <w:p>
            <w:pPr>
              <w:jc w:val="right"/>
              <w:ind w:right="862"/>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19,507</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8,933</w:t>
            </w:r>
          </w:p>
        </w:tc>
      </w:tr>
      <w:tr>
        <w:trPr>
          <w:trHeight w:val="33"/>
        </w:trPr>
        <w:tc>
          <w:tcPr>
            <w:tcW w:w="78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2,977</w:t>
            </w:r>
          </w:p>
        </w:tc>
      </w:tr>
      <w:tr>
        <w:trPr>
          <w:trHeight w:val="217"/>
        </w:trPr>
        <w:tc>
          <w:tcPr>
            <w:tcW w:w="7860" w:type="dxa"/>
            <w:vAlign w:val="bottom"/>
          </w:tcPr>
          <w:p>
            <w:pPr>
              <w:ind w:left="40"/>
              <w:spacing w:after="0"/>
              <w:rPr>
                <w:sz w:val="20"/>
                <w:szCs w:val="20"/>
                <w:color w:val="auto"/>
              </w:rPr>
            </w:pPr>
            <w:r>
              <w:rPr>
                <w:rFonts w:ascii="Arial" w:cs="Arial" w:eastAsia="Arial" w:hAnsi="Arial"/>
                <w:sz w:val="16"/>
                <w:szCs w:val="16"/>
                <w:color w:val="auto"/>
              </w:rPr>
              <w:t>Net change in cash and cash equivalents</w:t>
            </w:r>
          </w:p>
        </w:tc>
        <w:tc>
          <w:tcPr>
            <w:tcW w:w="10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21,930</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24,910</w:t>
            </w:r>
          </w:p>
        </w:tc>
      </w:tr>
      <w:tr>
        <w:trPr>
          <w:trHeight w:val="33"/>
        </w:trPr>
        <w:tc>
          <w:tcPr>
            <w:tcW w:w="7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10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96,938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100,808</w:t>
            </w:r>
          </w:p>
        </w:tc>
      </w:tr>
      <w:tr>
        <w:trPr>
          <w:trHeight w:val="217"/>
        </w:trPr>
        <w:tc>
          <w:tcPr>
            <w:tcW w:w="7860" w:type="dxa"/>
            <w:vAlign w:val="bottom"/>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1060" w:type="dxa"/>
            <w:vAlign w:val="bottom"/>
            <w:tcBorders>
              <w:top w:val="single" w:sz="8" w:color="auto"/>
            </w:tcBorders>
          </w:tcPr>
          <w:p>
            <w:pPr>
              <w:jc w:val="right"/>
              <w:ind w:right="862"/>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3"/>
              </w:rPr>
              <w:t>118,868</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125,718</w:t>
            </w:r>
          </w:p>
        </w:tc>
      </w:tr>
      <w:tr>
        <w:trPr>
          <w:trHeight w:val="33"/>
        </w:trPr>
        <w:tc>
          <w:tcPr>
            <w:tcW w:w="78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8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00"/>
          </w:cols>
          <w:pgMar w:left="240" w:top="125"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125" w:right="25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ind w:right="8980" w:firstLine="8"/>
        <w:spacing w:after="0" w:line="346"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General</w:t>
      </w:r>
    </w:p>
    <w:p>
      <w:pPr>
        <w:spacing w:after="0" w:line="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terms “we,” “our,” “us,” “Company” and “Integra” refer to Integra LifeSciences Holdings Corporation, a Delaware corporation, and its subsidiaries unless the context suggests otherwise.</w:t>
      </w:r>
    </w:p>
    <w:p>
      <w:pPr>
        <w:spacing w:after="0" w:line="11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the opinion of management, the September 30, 2013 unaudited condensed consolidated financial statements contain all adjustments (consisting only of normal recurring adjustments) necessary for a fair statement of the financial position, results of operations and cash flows of the Company. Certain information and footnote disclosures normally included in financial statements prepared in accordance with generally accepted accounting principles have been condensed or omitted in accordance with the instructions to Form 10-Q and Rule 10-01 of Regulation S-X. These unaudited condensed consolidated financial statements should be read in conjunction with the Company’s consolidated financial statements for the year ended December 31, 2012 included in the Company’s Annual Report on Form 10-K. The December 31, 2012 consolidated balance sheet was derived from audited financial statements, but does not include all disclosures required by accounting principles generally accepted in the United States. Operating results for the three and nine-month periods ended September 30, 2013 are not necessarily indicative of the results to be expected for the entire year.</w:t>
      </w:r>
    </w:p>
    <w:p>
      <w:pPr>
        <w:spacing w:after="0" w:line="1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preparation of consolidated financial statements in conformity with generally accepted accounting principles requires management to make estimates and assumptions that affect the reported amount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valuation of intangible assets including in-process research and development, amortization periods for acquired intangible assets, discount rates and estimated projected cash flows used to value and test impairments of long-lived assets and goodwill, estimates of projected cash flows and depreciation and amortization periods for long-lived assets, computation of taxes, valuation allowances recorded against deferred tax assets, the valuation of stock-based compensation, valuation of pension assets and liabilities, valuation of derivative instruments, valuation of the equity component of convertible debt instruments, valuation of contingent liabilities, the fair value of debt instruments and loss contingencies. These estimates are based on historical experience and on various other assumptions that are believed to be reasonable under the current circumstances. Actual results could differ from these estimates.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from the prior year’s financial statements have been reclassified in order to conform to the current year’s presentation.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252"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 xml:space="preserve">On July 17, 2013, the Financial Accounting Standards Board (FASB) issued Accounting Standards Update (ASU) No. 2013-10, </w:t>
      </w:r>
      <w:r>
        <w:rPr>
          <w:rFonts w:ascii="Arial" w:cs="Arial" w:eastAsia="Arial" w:hAnsi="Arial"/>
          <w:sz w:val="17"/>
          <w:szCs w:val="17"/>
          <w:i w:val="1"/>
          <w:iCs w:val="1"/>
          <w:color w:val="auto"/>
        </w:rPr>
        <w:t>Inclusion of the Fed Funds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Effective Swap Rate (or Overnight Index Swap Rate) as a Benchmark Interest Rate for Hedge Accounting Purposes. </w:t>
      </w:r>
      <w:r>
        <w:rPr>
          <w:rFonts w:ascii="Arial" w:cs="Arial" w:eastAsia="Arial" w:hAnsi="Arial"/>
          <w:sz w:val="17"/>
          <w:szCs w:val="17"/>
          <w:color w:val="auto"/>
        </w:rPr>
        <w:t>The revised standard allows entities to</w:t>
      </w:r>
      <w:r>
        <w:rPr>
          <w:rFonts w:ascii="Arial" w:cs="Arial" w:eastAsia="Arial" w:hAnsi="Arial"/>
          <w:sz w:val="17"/>
          <w:szCs w:val="17"/>
          <w:i w:val="1"/>
          <w:iCs w:val="1"/>
          <w:color w:val="auto"/>
        </w:rPr>
        <w:t xml:space="preserve"> </w:t>
      </w:r>
      <w:r>
        <w:rPr>
          <w:rFonts w:ascii="Arial" w:cs="Arial" w:eastAsia="Arial" w:hAnsi="Arial"/>
          <w:sz w:val="17"/>
          <w:szCs w:val="17"/>
          <w:color w:val="auto"/>
        </w:rPr>
        <w:t>now use the Federal Funds Effective Swap Rate (which is the Overnight Index Swap Rate, or OIS rate, in the U.S.) as a benchmark interest rate for hedge accounting purposes under U.S. Generally Accepted Accounting Principles (GAAP). Previously, only U.S. Treasury and London Interbank Offered Rate (LIBOR) rates could be used as benchmark interest rates in hedge accounting. In issuing the new guidance, which became effective July 17, 2013, the FASB responded to an increase in demand for hedging exposures to the OIS rate, driven partly by regulations that require collateralization and central clearing of over-the-counter derivatives. The guidance allows entities to develop new hedging strategies but does not resolve ineffectiveness issues that arise in existing LIBOR hedges when the OIS rate is used to discount future cash flows. The standard adoption did not have a material impact on the Company's financial statements.</w:t>
      </w:r>
    </w:p>
    <w:p>
      <w:pPr>
        <w:spacing w:after="0" w:line="20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On July 18, 2013, the FASB issued Accounting Standards Update No. 2013-11, </w:t>
      </w:r>
      <w:r>
        <w:rPr>
          <w:rFonts w:ascii="Arial" w:cs="Arial" w:eastAsia="Arial" w:hAnsi="Arial"/>
          <w:sz w:val="17"/>
          <w:szCs w:val="17"/>
          <w:i w:val="1"/>
          <w:iCs w:val="1"/>
          <w:color w:val="auto"/>
        </w:rPr>
        <w:t>Presentation of an Unrecognized Tax Benefit When a Net Operating Loss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Carryforward, a Similar Tax Loss, or a Tax Credit Carryforward Exists. </w:t>
      </w:r>
      <w:r>
        <w:rPr>
          <w:rFonts w:ascii="Arial" w:cs="Arial" w:eastAsia="Arial" w:hAnsi="Arial"/>
          <w:sz w:val="17"/>
          <w:szCs w:val="17"/>
          <w:color w:val="auto"/>
        </w:rPr>
        <w:t>This updated guidance requires an unrecognized tax benefit to be presented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statements as a reduction to a deferred tax asset for a net operating loss carryforward, similar tax loss, or a tax credit carryforward. To the extent the tax benefit is not available at the reporting date under the governing tax law or if the entity does not intend to use the deferred tax asset for such purpose, the unrecognized tax benefit should be presented as a liability and not combined with deferred tax assets. The ASU 2013-11 is effective for fiscal years and interim periods within those years beginning after December 15, 2013 for public entities. Early adoption is permitted. The amendments are to be applied to all unrecognized tax benefits that exist as of the effective date and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may be applied retrospectively to each prior reporting period presented. The Company is in the process of evaluating the impact of this standard, but does not believe its adoption will have a material impact on the Company's financial statements.</w:t>
      </w:r>
    </w:p>
    <w:p>
      <w:pPr>
        <w:spacing w:after="0" w:line="166" w:lineRule="exact"/>
        <w:rPr>
          <w:sz w:val="20"/>
          <w:szCs w:val="20"/>
          <w:color w:val="auto"/>
        </w:rPr>
      </w:pPr>
    </w:p>
    <w:p>
      <w:pPr>
        <w:ind w:right="8980" w:firstLine="8"/>
        <w:spacing w:after="0" w:line="367" w:lineRule="auto"/>
        <w:tabs>
          <w:tab w:leader="none" w:pos="18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BUSINESS ACQUISITIONS </w:t>
      </w:r>
      <w:r>
        <w:rPr>
          <w:rFonts w:ascii="Arial" w:cs="Arial" w:eastAsia="Arial" w:hAnsi="Arial"/>
          <w:sz w:val="17"/>
          <w:szCs w:val="17"/>
          <w:i w:val="1"/>
          <w:iCs w:val="1"/>
          <w:u w:val="single" w:color="auto"/>
          <w:color w:val="auto"/>
        </w:rPr>
        <w:t>Tarsus Medical, Inc.</w:t>
      </w:r>
    </w:p>
    <w:p>
      <w:pPr>
        <w:ind w:right="80"/>
        <w:spacing w:after="0" w:line="257" w:lineRule="auto"/>
        <w:rPr>
          <w:sz w:val="20"/>
          <w:szCs w:val="20"/>
          <w:color w:val="auto"/>
        </w:rPr>
      </w:pPr>
      <w:r>
        <w:rPr>
          <w:rFonts w:ascii="Arial" w:cs="Arial" w:eastAsia="Arial" w:hAnsi="Arial"/>
          <w:sz w:val="18"/>
          <w:szCs w:val="18"/>
          <w:color w:val="auto"/>
        </w:rPr>
        <w:t>On January 24, 2013, the Company acquired all outstanding preferred and common stock of Tarsus Medical, Inc. for a total of $4.7 million consisting of $2.8 million in cash (less cash acquired) and contingent consideration with an estimated acquisition date fair value of approximately $1.6 million. The potential maximum undiscounted contingent consideration consists of the first milestone payment of up to $1.5 million and the second payment of up to $11.5 million. These payments are based on reaching certain sales of acquired products. Tarsus Medical, Inc. is a podiatry device company addressing clinical needs associated with diseases and injuries of the foot and ankle.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final allocation of the purchase price based on fair value of the assets acquired and liabilities assumed: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tcPr>
          <w:p>
            <w:pPr>
              <w:jc w:val="center"/>
              <w:ind w:right="155"/>
              <w:spacing w:after="0"/>
              <w:rPr>
                <w:sz w:val="20"/>
                <w:szCs w:val="20"/>
                <w:color w:val="auto"/>
              </w:rPr>
            </w:pPr>
            <w:r>
              <w:rPr>
                <w:rFonts w:ascii="Arial" w:cs="Arial" w:eastAsia="Arial" w:hAnsi="Arial"/>
                <w:sz w:val="14"/>
                <w:szCs w:val="14"/>
                <w:b w:val="1"/>
                <w:bCs w:val="1"/>
                <w:color w:val="auto"/>
                <w:w w:val="97"/>
              </w:rPr>
              <w:t>Final</w:t>
            </w:r>
          </w:p>
        </w:tc>
        <w:tc>
          <w:tcPr>
            <w:tcW w:w="1700" w:type="dxa"/>
            <w:vAlign w:val="bottom"/>
          </w:tcPr>
          <w:p>
            <w:pPr>
              <w:spacing w:after="0"/>
              <w:rPr>
                <w:sz w:val="14"/>
                <w:szCs w:val="14"/>
                <w:color w:val="auto"/>
              </w:rPr>
            </w:pPr>
          </w:p>
        </w:tc>
      </w:tr>
      <w:tr>
        <w:trPr>
          <w:trHeight w:val="149"/>
        </w:trPr>
        <w:tc>
          <w:tcPr>
            <w:tcW w:w="7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20" w:type="dxa"/>
            <w:vAlign w:val="bottom"/>
          </w:tcPr>
          <w:p>
            <w:pPr>
              <w:jc w:val="center"/>
              <w:ind w:right="155"/>
              <w:spacing w:after="0" w:line="149" w:lineRule="exact"/>
              <w:rPr>
                <w:sz w:val="20"/>
                <w:szCs w:val="20"/>
                <w:color w:val="auto"/>
              </w:rPr>
            </w:pPr>
            <w:r>
              <w:rPr>
                <w:rFonts w:ascii="Arial" w:cs="Arial" w:eastAsia="Arial" w:hAnsi="Arial"/>
                <w:sz w:val="14"/>
                <w:szCs w:val="14"/>
                <w:b w:val="1"/>
                <w:bCs w:val="1"/>
                <w:color w:val="auto"/>
                <w:w w:val="90"/>
              </w:rPr>
              <w:t>Purchase Price</w:t>
            </w:r>
          </w:p>
        </w:tc>
        <w:tc>
          <w:tcPr>
            <w:tcW w:w="1700" w:type="dxa"/>
            <w:vAlign w:val="bottom"/>
          </w:tcPr>
          <w:p>
            <w:pPr>
              <w:spacing w:after="0"/>
              <w:rPr>
                <w:sz w:val="12"/>
                <w:szCs w:val="12"/>
                <w:color w:val="auto"/>
              </w:rPr>
            </w:pPr>
          </w:p>
        </w:tc>
      </w:tr>
      <w:tr>
        <w:trPr>
          <w:trHeight w:val="192"/>
        </w:trPr>
        <w:tc>
          <w:tcPr>
            <w:tcW w:w="7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1"/>
              </w:rPr>
              <w:t>Allocation</w:t>
            </w:r>
          </w:p>
        </w:tc>
        <w:tc>
          <w:tcPr>
            <w:tcW w:w="1700" w:type="dxa"/>
            <w:vAlign w:val="bottom"/>
          </w:tcPr>
          <w:p>
            <w:pPr>
              <w:spacing w:after="0"/>
              <w:rPr>
                <w:sz w:val="16"/>
                <w:szCs w:val="16"/>
                <w:color w:val="auto"/>
              </w:rPr>
            </w:pPr>
          </w:p>
        </w:tc>
      </w:tr>
      <w:tr>
        <w:trPr>
          <w:trHeight w:val="250"/>
        </w:trPr>
        <w:tc>
          <w:tcPr>
            <w:tcW w:w="7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20" w:type="dxa"/>
            <w:vAlign w:val="bottom"/>
          </w:tcPr>
          <w:p>
            <w:pPr>
              <w:jc w:val="center"/>
              <w:ind w:right="155"/>
              <w:spacing w:after="0"/>
              <w:rPr>
                <w:sz w:val="20"/>
                <w:szCs w:val="20"/>
                <w:color w:val="auto"/>
              </w:rPr>
            </w:pPr>
            <w:r>
              <w:rPr>
                <w:rFonts w:ascii="Arial" w:cs="Arial" w:eastAsia="Arial" w:hAnsi="Arial"/>
                <w:sz w:val="14"/>
                <w:szCs w:val="14"/>
                <w:b w:val="1"/>
                <w:bCs w:val="1"/>
                <w:color w:val="auto"/>
                <w:w w:val="91"/>
              </w:rPr>
              <w:t>(Dollars in thousands)</w:t>
            </w:r>
          </w:p>
        </w:tc>
        <w:tc>
          <w:tcPr>
            <w:tcW w:w="1700" w:type="dxa"/>
            <w:vAlign w:val="bottom"/>
          </w:tcPr>
          <w:p>
            <w:pPr>
              <w:spacing w:after="0"/>
              <w:rPr>
                <w:sz w:val="21"/>
                <w:szCs w:val="21"/>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85</w:t>
            </w:r>
          </w:p>
        </w:tc>
        <w:tc>
          <w:tcPr>
            <w:tcW w:w="1700" w:type="dxa"/>
            <w:vAlign w:val="bottom"/>
            <w:tcBorders>
              <w:bottom w:val="single" w:sz="8" w:color="CCEEFF"/>
            </w:tcBorders>
            <w:shd w:val="clear" w:color="auto" w:fill="CCEEFF"/>
          </w:tcPr>
          <w:p>
            <w:pPr>
              <w:spacing w:after="0"/>
              <w:rPr>
                <w:sz w:val="22"/>
                <w:szCs w:val="22"/>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Prepaid expenses</w:t>
            </w:r>
          </w:p>
        </w:tc>
        <w:tc>
          <w:tcPr>
            <w:tcW w:w="260" w:type="dxa"/>
            <w:vAlign w:val="bottom"/>
          </w:tcPr>
          <w:p>
            <w:pPr>
              <w:spacing w:after="0"/>
              <w:rPr>
                <w:sz w:val="21"/>
                <w:szCs w:val="21"/>
                <w:color w:val="auto"/>
              </w:rPr>
            </w:pPr>
          </w:p>
        </w:tc>
        <w:tc>
          <w:tcPr>
            <w:tcW w:w="1920" w:type="dxa"/>
            <w:vAlign w:val="bottom"/>
          </w:tcPr>
          <w:p>
            <w:pPr>
              <w:jc w:val="right"/>
              <w:ind w:right="15"/>
              <w:spacing w:after="0"/>
              <w:rPr>
                <w:sz w:val="20"/>
                <w:szCs w:val="20"/>
                <w:color w:val="auto"/>
              </w:rPr>
            </w:pPr>
            <w:r>
              <w:rPr>
                <w:rFonts w:ascii="Arial" w:cs="Arial" w:eastAsia="Arial" w:hAnsi="Arial"/>
                <w:sz w:val="18"/>
                <w:szCs w:val="18"/>
                <w:color w:val="auto"/>
              </w:rPr>
              <w:t>13</w:t>
            </w:r>
          </w:p>
        </w:tc>
        <w:tc>
          <w:tcPr>
            <w:tcW w:w="170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Wtd. Avg. Life:</w:t>
            </w:r>
          </w:p>
        </w:tc>
      </w:tr>
      <w:tr>
        <w:trPr>
          <w:trHeight w:val="243"/>
        </w:trPr>
        <w:tc>
          <w:tcPr>
            <w:tcW w:w="7540" w:type="dxa"/>
            <w:vAlign w:val="bottom"/>
          </w:tcPr>
          <w:p>
            <w:pPr>
              <w:ind w:left="380"/>
              <w:spacing w:after="0"/>
              <w:rPr>
                <w:sz w:val="20"/>
                <w:szCs w:val="20"/>
                <w:color w:val="auto"/>
              </w:rPr>
            </w:pPr>
            <w:r>
              <w:rPr>
                <w:rFonts w:ascii="Arial" w:cs="Arial" w:eastAsia="Arial" w:hAnsi="Arial"/>
                <w:sz w:val="18"/>
                <w:szCs w:val="18"/>
                <w:color w:val="auto"/>
              </w:rPr>
              <w:t>Technology</w:t>
            </w:r>
          </w:p>
        </w:tc>
        <w:tc>
          <w:tcPr>
            <w:tcW w:w="260" w:type="dxa"/>
            <w:vAlign w:val="bottom"/>
          </w:tcPr>
          <w:p>
            <w:pPr>
              <w:spacing w:after="0"/>
              <w:rPr>
                <w:sz w:val="21"/>
                <w:szCs w:val="21"/>
                <w:color w:val="auto"/>
              </w:rPr>
            </w:pPr>
          </w:p>
        </w:tc>
        <w:tc>
          <w:tcPr>
            <w:tcW w:w="1920" w:type="dxa"/>
            <w:vAlign w:val="bottom"/>
          </w:tcPr>
          <w:p>
            <w:pPr>
              <w:jc w:val="right"/>
              <w:ind w:right="15"/>
              <w:spacing w:after="0"/>
              <w:rPr>
                <w:sz w:val="20"/>
                <w:szCs w:val="20"/>
                <w:color w:val="auto"/>
              </w:rPr>
            </w:pPr>
            <w:r>
              <w:rPr>
                <w:rFonts w:ascii="Arial" w:cs="Arial" w:eastAsia="Arial" w:hAnsi="Arial"/>
                <w:sz w:val="18"/>
                <w:szCs w:val="18"/>
                <w:color w:val="auto"/>
              </w:rPr>
              <w:t>5,040</w:t>
            </w:r>
          </w:p>
        </w:tc>
        <w:tc>
          <w:tcPr>
            <w:tcW w:w="1700" w:type="dxa"/>
            <w:vAlign w:val="bottom"/>
          </w:tcPr>
          <w:p>
            <w:pPr>
              <w:ind w:left="140"/>
              <w:spacing w:after="0"/>
              <w:rPr>
                <w:sz w:val="20"/>
                <w:szCs w:val="20"/>
                <w:color w:val="auto"/>
              </w:rPr>
            </w:pPr>
            <w:r>
              <w:rPr>
                <w:rFonts w:ascii="Arial" w:cs="Arial" w:eastAsia="Arial" w:hAnsi="Arial"/>
                <w:sz w:val="18"/>
                <w:szCs w:val="18"/>
                <w:color w:val="auto"/>
              </w:rPr>
              <w:t>10 - 14 years</w:t>
            </w:r>
          </w:p>
        </w:tc>
      </w:tr>
      <w:tr>
        <w:trPr>
          <w:trHeight w:val="27"/>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In-process 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340</w:t>
            </w:r>
          </w:p>
        </w:tc>
        <w:tc>
          <w:tcPr>
            <w:tcW w:w="1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Indefinite</w:t>
            </w:r>
          </w:p>
        </w:tc>
      </w:tr>
      <w:tr>
        <w:trPr>
          <w:trHeight w:val="243"/>
        </w:trPr>
        <w:tc>
          <w:tcPr>
            <w:tcW w:w="7540" w:type="dxa"/>
            <w:vAlign w:val="bottom"/>
          </w:tcPr>
          <w:p>
            <w:pPr>
              <w:ind w:left="380"/>
              <w:spacing w:after="0"/>
              <w:rPr>
                <w:sz w:val="20"/>
                <w:szCs w:val="20"/>
                <w:color w:val="auto"/>
              </w:rPr>
            </w:pPr>
            <w:r>
              <w:rPr>
                <w:rFonts w:ascii="Arial" w:cs="Arial" w:eastAsia="Arial" w:hAnsi="Arial"/>
                <w:sz w:val="18"/>
                <w:szCs w:val="18"/>
                <w:color w:val="auto"/>
              </w:rPr>
              <w:t>Deferred tax asset - long term</w:t>
            </w:r>
          </w:p>
        </w:tc>
        <w:tc>
          <w:tcPr>
            <w:tcW w:w="260" w:type="dxa"/>
            <w:vAlign w:val="bottom"/>
          </w:tcPr>
          <w:p>
            <w:pPr>
              <w:spacing w:after="0"/>
              <w:rPr>
                <w:sz w:val="21"/>
                <w:szCs w:val="21"/>
                <w:color w:val="auto"/>
              </w:rPr>
            </w:pPr>
          </w:p>
        </w:tc>
        <w:tc>
          <w:tcPr>
            <w:tcW w:w="1920" w:type="dxa"/>
            <w:vAlign w:val="bottom"/>
          </w:tcPr>
          <w:p>
            <w:pPr>
              <w:jc w:val="right"/>
              <w:ind w:right="15"/>
              <w:spacing w:after="0"/>
              <w:rPr>
                <w:sz w:val="20"/>
                <w:szCs w:val="20"/>
                <w:color w:val="auto"/>
              </w:rPr>
            </w:pPr>
            <w:r>
              <w:rPr>
                <w:rFonts w:ascii="Arial" w:cs="Arial" w:eastAsia="Arial" w:hAnsi="Arial"/>
                <w:sz w:val="18"/>
                <w:szCs w:val="18"/>
                <w:color w:val="auto"/>
              </w:rPr>
              <w:t>1,334</w:t>
            </w:r>
          </w:p>
        </w:tc>
        <w:tc>
          <w:tcPr>
            <w:tcW w:w="170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116</w:t>
            </w:r>
          </w:p>
        </w:tc>
        <w:tc>
          <w:tcPr>
            <w:tcW w:w="1700" w:type="dxa"/>
            <w:vAlign w:val="bottom"/>
            <w:tcBorders>
              <w:bottom w:val="single" w:sz="8" w:color="CCEEFF"/>
            </w:tcBorders>
            <w:shd w:val="clear" w:color="auto" w:fill="CCEEFF"/>
          </w:tcPr>
          <w:p>
            <w:pPr>
              <w:spacing w:after="0"/>
              <w:rPr>
                <w:sz w:val="23"/>
                <w:szCs w:val="23"/>
                <w:color w:val="auto"/>
              </w:rPr>
            </w:pPr>
          </w:p>
        </w:tc>
      </w:tr>
      <w:tr>
        <w:trPr>
          <w:trHeight w:val="237"/>
        </w:trPr>
        <w:tc>
          <w:tcPr>
            <w:tcW w:w="7540" w:type="dxa"/>
            <w:vAlign w:val="bottom"/>
          </w:tcPr>
          <w:p>
            <w:pPr>
              <w:ind w:left="380"/>
              <w:spacing w:after="0"/>
              <w:rPr>
                <w:sz w:val="20"/>
                <w:szCs w:val="20"/>
                <w:color w:val="auto"/>
              </w:rPr>
            </w:pPr>
            <w:r>
              <w:rPr>
                <w:rFonts w:ascii="Arial" w:cs="Arial" w:eastAsia="Arial" w:hAnsi="Arial"/>
                <w:sz w:val="18"/>
                <w:szCs w:val="18"/>
                <w:color w:val="auto"/>
              </w:rPr>
              <w:t>Total assets acquired</w:t>
            </w:r>
          </w:p>
        </w:tc>
        <w:tc>
          <w:tcPr>
            <w:tcW w:w="26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6,928</w:t>
            </w:r>
          </w:p>
        </w:tc>
        <w:tc>
          <w:tcPr>
            <w:tcW w:w="1700" w:type="dxa"/>
            <w:vAlign w:val="bottom"/>
          </w:tcPr>
          <w:p>
            <w:pPr>
              <w:spacing w:after="0"/>
              <w:rPr>
                <w:sz w:val="20"/>
                <w:szCs w:val="20"/>
                <w:color w:val="auto"/>
              </w:rPr>
            </w:pPr>
          </w:p>
        </w:tc>
      </w:tr>
      <w:tr>
        <w:trPr>
          <w:trHeight w:val="27"/>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and other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111</w:t>
            </w: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Deferred tax liability</w:t>
            </w:r>
          </w:p>
        </w:tc>
        <w:tc>
          <w:tcPr>
            <w:tcW w:w="260" w:type="dxa"/>
            <w:vAlign w:val="bottom"/>
          </w:tcPr>
          <w:p>
            <w:pPr>
              <w:spacing w:after="0"/>
              <w:rPr>
                <w:sz w:val="21"/>
                <w:szCs w:val="21"/>
                <w:color w:val="auto"/>
              </w:rPr>
            </w:pPr>
          </w:p>
        </w:tc>
        <w:tc>
          <w:tcPr>
            <w:tcW w:w="1920" w:type="dxa"/>
            <w:vAlign w:val="bottom"/>
          </w:tcPr>
          <w:p>
            <w:pPr>
              <w:jc w:val="right"/>
              <w:ind w:right="15"/>
              <w:spacing w:after="0"/>
              <w:rPr>
                <w:sz w:val="20"/>
                <w:szCs w:val="20"/>
                <w:color w:val="auto"/>
              </w:rPr>
            </w:pPr>
            <w:r>
              <w:rPr>
                <w:rFonts w:ascii="Arial" w:cs="Arial" w:eastAsia="Arial" w:hAnsi="Arial"/>
                <w:sz w:val="18"/>
                <w:szCs w:val="18"/>
                <w:color w:val="auto"/>
              </w:rPr>
              <w:t>2,152</w:t>
            </w:r>
          </w:p>
        </w:tc>
        <w:tc>
          <w:tcPr>
            <w:tcW w:w="1700" w:type="dxa"/>
            <w:vAlign w:val="bottom"/>
          </w:tcPr>
          <w:p>
            <w:pPr>
              <w:spacing w:after="0"/>
              <w:rPr>
                <w:sz w:val="21"/>
                <w:szCs w:val="2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69"/>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4,665</w:t>
            </w:r>
          </w:p>
        </w:tc>
        <w:tc>
          <w:tcPr>
            <w:tcW w:w="1700" w:type="dxa"/>
            <w:vAlign w:val="bottom"/>
            <w:tcBorders>
              <w:bottom w:val="single" w:sz="8" w:color="CCEEFF"/>
            </w:tcBorders>
            <w:shd w:val="clear" w:color="auto" w:fill="CCEEFF"/>
          </w:tcPr>
          <w:p>
            <w:pPr>
              <w:spacing w:after="0"/>
              <w:rPr>
                <w:sz w:val="22"/>
                <w:szCs w:val="22"/>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364"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Management determined the preliminary fair value of net assets acquired during the first quarter of 2013 and finalized the working capital adjustment in the second quarter of 2013. The Company accounts for the contingent consideration by recording its fair value as a liability on the date of the acquisition. The contingent consideration is re-measured to fair value at each reporting date until the contingency is resolved. Changes in fair value of the contingent consideration are recognized in earnings. Accordingly, on January 24, 2013 the Company recorded $1.6 million representing the initial fair value estimate of the contingent consideration that will be earned through December 31, 2015. At September 30, 2013 there was no change in the fair value of the contingent consideration. The fair value of this liability is based on future sales projections of the Tarsus Medical product under various potential scenarios and weighting the probability of these outcomes for the period ended December 31, 2015. At the date of the acquisition, the first milestone cash flow projection was discounted using a rate of 4.3% based on an estimated after tax cost of debt; the second milestone cash flow projection was discounted using a weighted average cost of capital of 16.5%. These fair value measurements were based on significant inputs not observed in the market and thus represented a Level 3 measurement.</w:t>
      </w:r>
    </w:p>
    <w:p>
      <w:pPr>
        <w:spacing w:after="0" w:line="2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goodwill recorded in connection with this acquisition is based on (i) expected cost savings, operating synergies and other benefits expected to result from the combined operations, (ii) the value of the going-concern element of Tarsus’ existing business (that is, the higher rate of return on the assembled net assets versus if the Company had acquired all of the net assets separately), and (iii) intangible assets that do not qualify for separate recognition such as Tarsus’ assembled workforce. The goodwill acquired will not be deductible for tax purposes.</w:t>
      </w:r>
    </w:p>
    <w:p>
      <w:pPr>
        <w:spacing w:after="0" w:line="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impact of the Tarsus acquisition is not material to the consolidated operating results of the Company; therefore, the pro-forma impact of the acquisition has not been presented.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consisted of the following:</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Pr>
          <w:p>
            <w:pPr>
              <w:spacing w:after="0"/>
              <w:rPr>
                <w:sz w:val="14"/>
                <w:szCs w:val="14"/>
                <w:color w:val="auto"/>
              </w:rPr>
            </w:pPr>
          </w:p>
        </w:tc>
        <w:tc>
          <w:tcPr>
            <w:tcW w:w="1380" w:type="dxa"/>
            <w:vAlign w:val="bottom"/>
          </w:tcPr>
          <w:p>
            <w:pPr>
              <w:jc w:val="right"/>
              <w:ind w:right="436"/>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7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7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2012</w:t>
            </w:r>
          </w:p>
        </w:tc>
      </w:tr>
      <w:tr>
        <w:trPr>
          <w:trHeight w:val="196"/>
        </w:trPr>
        <w:tc>
          <w:tcPr>
            <w:tcW w:w="7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tcPr>
          <w:p>
            <w:pPr>
              <w:spacing w:after="0"/>
              <w:rPr>
                <w:sz w:val="17"/>
                <w:szCs w:val="17"/>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126,891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102,401</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Work-in process</w:t>
            </w:r>
          </w:p>
        </w:tc>
        <w:tc>
          <w:tcPr>
            <w:tcW w:w="300" w:type="dxa"/>
            <w:vAlign w:val="bottom"/>
          </w:tcPr>
          <w:p>
            <w:pPr>
              <w:spacing w:after="0"/>
              <w:rPr>
                <w:sz w:val="21"/>
                <w:szCs w:val="21"/>
                <w:color w:val="auto"/>
              </w:rPr>
            </w:pPr>
          </w:p>
        </w:tc>
        <w:tc>
          <w:tcPr>
            <w:tcW w:w="1520" w:type="dxa"/>
            <w:vAlign w:val="bottom"/>
          </w:tcPr>
          <w:p>
            <w:pPr>
              <w:jc w:val="right"/>
              <w:ind w:right="18"/>
              <w:spacing w:after="0"/>
              <w:rPr>
                <w:sz w:val="20"/>
                <w:szCs w:val="20"/>
                <w:color w:val="auto"/>
              </w:rPr>
            </w:pPr>
            <w:r>
              <w:rPr>
                <w:rFonts w:ascii="Arial" w:cs="Arial" w:eastAsia="Arial" w:hAnsi="Arial"/>
                <w:sz w:val="18"/>
                <w:szCs w:val="18"/>
                <w:color w:val="auto"/>
              </w:rPr>
              <w:t>47,059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39,944</w:t>
            </w: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33,439</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29,461</w:t>
            </w:r>
          </w:p>
        </w:tc>
      </w:tr>
      <w:tr>
        <w:trPr>
          <w:trHeight w:val="237"/>
        </w:trPr>
        <w:tc>
          <w:tcPr>
            <w:tcW w:w="766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207,389</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171,806</w:t>
            </w:r>
          </w:p>
        </w:tc>
      </w:tr>
      <w:tr>
        <w:trPr>
          <w:trHeight w:val="27"/>
        </w:trPr>
        <w:tc>
          <w:tcPr>
            <w:tcW w:w="7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finished goods inventory includes $6.1 million of capitalized medical device excise tax at September 30, 2013.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OTHER INTANGIBLE ASSETS</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Company reviews goodwill for impairment annually during its third quarter and whenever events or changes in circumstances indicate the carrying value of goodwill may not be recoverable. The Company performed its most recent annual assessment on July 31, 2013 which resulted in a non-cash goodwill impairment charge of $46.7 million for its U.S. Spine reporting unit, which is a part of the U.S. Spine and Other reportable segment.</w:t>
      </w:r>
    </w:p>
    <w:p>
      <w:pPr>
        <w:spacing w:after="0" w:line="16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As previously disclosed, the Company has monitored its U.S. Spine business and disclosed that it was at risk for impairment. In the third quarter, during the course of the annual strategic planning process, the Company determined that both the actual and expected income and cash flows for the U.S. Spine reporting unit are projected to be substantially lower than forecasts, and the U.S. spine market recovery may take longer than originally forecasted, including the current expectation of future significant negative pricing pressures. Factors that contributed to the impairment of the U.S. Spine reporting unit include broader market issues as well as company-specific issues. Company-specific issues have included turnover of some distributors, significant delays in new product introductions and other operational issues that negatively impacted and decreased projected revenues by a material amount. As a result, the Company lowered its expectations of recovery in the U.S. market and its related impact on the U.S. Spine reporting unit. This revised outlook resulted in a reduction of the U.S. Spine forecasts of the sales, operating income and cash flows expected in 2014 and beyond and consequently, resulted in an impairment charge.</w:t>
      </w:r>
    </w:p>
    <w:p>
      <w:pPr>
        <w:spacing w:after="0" w:line="16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To derive the fair value of the reporting units, as required in step one of the impairment test, the Company used the income approach, specifically the discounted cash flow ("DCF") method, which incorporates significant estimates and assumptions made by management which, by their nature, are characterized by uncertainty. Inputs used to fair value the Company's reporting units are considered Level 3 inputs of the fair value hierarchy. For Level 3 measurements, significant increases or decreases in long-term growth rates or discount rates in isolation or in combination could result in a significantly lower or higher fair value measurement. The key assumptions impacting the valuation included:</w:t>
      </w:r>
    </w:p>
    <w:p>
      <w:pPr>
        <w:spacing w:after="0" w:line="188" w:lineRule="exact"/>
        <w:rPr>
          <w:sz w:val="20"/>
          <w:szCs w:val="20"/>
          <w:color w:val="auto"/>
        </w:rPr>
      </w:pPr>
    </w:p>
    <w:p>
      <w:pPr>
        <w:ind w:left="660" w:right="10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financial projections for its reporting units, which are based on management's assessment of regional and macroeconomic variables, industry trends and market opportunities, and the Company's strategic objectives and future growth plans.</w:t>
      </w:r>
    </w:p>
    <w:p>
      <w:pPr>
        <w:spacing w:after="0" w:line="1" w:lineRule="exact"/>
        <w:rPr>
          <w:rFonts w:ascii="Arial" w:cs="Arial" w:eastAsia="Arial" w:hAnsi="Arial"/>
          <w:sz w:val="18"/>
          <w:szCs w:val="18"/>
          <w:color w:val="auto"/>
        </w:rPr>
      </w:pPr>
    </w:p>
    <w:p>
      <w:pPr>
        <w:ind w:left="660" w:right="100" w:hanging="328"/>
        <w:spacing w:after="0" w:line="265"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projected terminal value for each reporting unit, which represents the present value of projected cash flows beyond the last period in the discounted cash flow analysis. The terminal value reflects the Company's assumptions related to long-term growth rates and profitability, which are based on several factors, including local and macroeconomic variables, market opportunities, and future growth plans.</w:t>
      </w:r>
    </w:p>
    <w:p>
      <w:pPr>
        <w:ind w:left="660" w:right="300" w:hanging="328"/>
        <w:spacing w:after="0" w:line="25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discount rate used to measure the present value of the projected future cash flows is set using a weighted-average cost of capital method that considers market and industry data as well as the Company's specific risk factors that are likely to be considered by a market participant. The weighted-average cost of capital is the Company's estimate of the overall after-tax rate of return required by equity and debt holders of a business enterprise.</w:t>
      </w:r>
    </w:p>
    <w:p>
      <w:pPr>
        <w:spacing w:after="0" w:line="19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Based on the results of step one of the impairment test, the Company determined that the carrying value of the U.S. Spine reporting unit exceeded its respective fair value, and accordingly, the Company proceeded to step two of the impairment test.</w:t>
      </w:r>
    </w:p>
    <w:p>
      <w:pPr>
        <w:spacing w:after="0" w:line="17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 the second step, the Company assigned the reporting unit's fair value to all of its assets and liabilities, including any unrecognized intangible assets, in a hypothetical analysis that calculates the implied fair value of goodwill in the same manner as if the reporting unit were being acquired in a business combination. If the implied fair value of the reporting unit's goodwill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3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is less than the carrying value, the difference is recorded as an impairment charge. This allocation process was performed only for the purposes of measuring the goodwill impairment and not to adjust the carrying values of the recognized tangible assets and liabilities. Step two of the impairment was initiated, but due to the time necessary to complete the analysis, has not been completed. The Company recorded its estimate of the goodwill impairment charge of $46.7 million, which represents the remaining goodwill balance in the U.S. Spine reporting unit. The Company expects to finalize the step two analysis in the fourth quarter of 2013. Any adjustment, which the Company does not expect to be material to the impairment charge, would be recorded in the Condensed Consolidated Statement of Operations and Comprehensive Income in that period. Only $5.5 million of the goodwill impairment charge was deductible for tax purposes.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nine months ended September 30, 2013 were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U.S.</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U.S.</w:t>
            </w:r>
          </w:p>
        </w:tc>
        <w:tc>
          <w:tcPr>
            <w:tcW w:w="200" w:type="dxa"/>
            <w:vAlign w:val="bottom"/>
          </w:tcPr>
          <w:p>
            <w:pPr>
              <w:spacing w:after="0"/>
              <w:rPr>
                <w:sz w:val="12"/>
                <w:szCs w:val="12"/>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U.S.</w:t>
            </w:r>
          </w:p>
        </w:tc>
        <w:tc>
          <w:tcPr>
            <w:tcW w:w="180" w:type="dxa"/>
            <w:vAlign w:val="bottom"/>
          </w:tcPr>
          <w:p>
            <w:pPr>
              <w:spacing w:after="0"/>
              <w:rPr>
                <w:sz w:val="12"/>
                <w:szCs w:val="12"/>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7"/>
              </w:rPr>
              <w:t>U.S.</w:t>
            </w:r>
          </w:p>
        </w:tc>
        <w:tc>
          <w:tcPr>
            <w:tcW w:w="420" w:type="dxa"/>
            <w:vAlign w:val="bottom"/>
          </w:tcPr>
          <w:p>
            <w:pPr>
              <w:spacing w:after="0"/>
              <w:rPr>
                <w:sz w:val="12"/>
                <w:szCs w:val="12"/>
                <w:color w:val="auto"/>
              </w:rPr>
            </w:pPr>
          </w:p>
        </w:tc>
        <w:tc>
          <w:tcPr>
            <w:tcW w:w="9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Spine</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6"/>
              </w:rPr>
              <w:t>and</w:t>
            </w:r>
          </w:p>
        </w:tc>
        <w:tc>
          <w:tcPr>
            <w:tcW w:w="160" w:type="dxa"/>
            <w:vAlign w:val="bottom"/>
          </w:tcPr>
          <w:p>
            <w:pPr>
              <w:spacing w:after="0"/>
              <w:rPr>
                <w:sz w:val="12"/>
                <w:szCs w:val="12"/>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International</w:t>
            </w:r>
          </w:p>
        </w:tc>
        <w:tc>
          <w:tcPr>
            <w:tcW w:w="300" w:type="dxa"/>
            <w:vAlign w:val="bottom"/>
          </w:tcPr>
          <w:p>
            <w:pPr>
              <w:spacing w:after="0"/>
              <w:rPr>
                <w:sz w:val="12"/>
                <w:szCs w:val="12"/>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Neurosurgery</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Instruments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5"/>
              </w:rPr>
              <w:t>Extremities</w:t>
            </w: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gross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94,312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57,514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60,353</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56,219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25,669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294,067</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Accumulated impairment losses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at December 31, 2012</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94,312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57,514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60,353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56,219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25,669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294,067</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Tarsus Medical, Inc. acquisition</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impairment charge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(46,738)</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8"/>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94,806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57,814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60,849</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9,551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25,804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248,824</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Prior to performing the annual goodwill impairment tests for the U.S. Spine reporting unit, the Company tested long-lived assets to be held and used by this reporting unit for impairment on an undiscounted cash flow basis. Based on the results of this testing, there was no impairment of the Company's long-lived assets to be held and used.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identifiable intangible assets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4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September 30, 2013</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20" w:type="dxa"/>
            <w:vAlign w:val="bottom"/>
          </w:tcPr>
          <w:p>
            <w:pPr>
              <w:jc w:val="center"/>
              <w:ind w:left="35"/>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December 31, 2012</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4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Average</w:t>
            </w: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3"/>
                <w:szCs w:val="13"/>
                <w:color w:val="auto"/>
              </w:rPr>
            </w:pPr>
          </w:p>
        </w:tc>
        <w:tc>
          <w:tcPr>
            <w:tcW w:w="80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Net</w:t>
            </w:r>
          </w:p>
        </w:tc>
        <w:tc>
          <w:tcPr>
            <w:tcW w:w="150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90"/>
              </w:rPr>
              <w:t>Average</w:t>
            </w: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3"/>
                <w:szCs w:val="13"/>
                <w:color w:val="auto"/>
              </w:rPr>
            </w:pPr>
          </w:p>
        </w:tc>
        <w:tc>
          <w:tcPr>
            <w:tcW w:w="78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2040" w:type="dxa"/>
            <w:vAlign w:val="bottom"/>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Life</w:t>
            </w: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5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rPr>
              <w:t>Life</w:t>
            </w: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0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(Dollars in thousands)</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Completed technology</w:t>
            </w: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 years   $</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80,835</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(43,512)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37,323</w:t>
            </w: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 years $</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75,692</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(38,402)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37,290</w:t>
            </w:r>
          </w:p>
        </w:tc>
        <w:tc>
          <w:tcPr>
            <w:tcW w:w="0" w:type="dxa"/>
            <w:vAlign w:val="bottom"/>
          </w:tcPr>
          <w:p>
            <w:pPr>
              <w:spacing w:after="0"/>
              <w:rPr>
                <w:sz w:val="1"/>
                <w:szCs w:val="1"/>
                <w:color w:val="auto"/>
              </w:rPr>
            </w:pPr>
          </w:p>
        </w:tc>
      </w:tr>
      <w:tr>
        <w:trPr>
          <w:trHeight w:val="243"/>
        </w:trPr>
        <w:tc>
          <w:tcPr>
            <w:tcW w:w="204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12 years</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146,914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(77,361)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69,553</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12 years</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147,690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(70,005)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77,685</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Trademarks/brand names</w:t>
            </w:r>
          </w:p>
        </w:tc>
        <w:tc>
          <w:tcPr>
            <w:tcW w:w="132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6"/>
              </w:rPr>
              <w:t>31 years</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33,750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18,234</w:t>
            </w:r>
          </w:p>
        </w:tc>
        <w:tc>
          <w:tcPr>
            <w:tcW w:w="15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 years</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18,773</w:t>
            </w:r>
          </w:p>
        </w:tc>
        <w:tc>
          <w:tcPr>
            <w:tcW w:w="0" w:type="dxa"/>
            <w:vAlign w:val="bottom"/>
          </w:tcPr>
          <w:p>
            <w:pPr>
              <w:spacing w:after="0"/>
              <w:rPr>
                <w:sz w:val="1"/>
                <w:szCs w:val="1"/>
                <w:color w:val="auto"/>
              </w:rPr>
            </w:pPr>
          </w:p>
        </w:tc>
      </w:tr>
      <w:tr>
        <w:trPr>
          <w:trHeight w:val="243"/>
        </w:trPr>
        <w:tc>
          <w:tcPr>
            <w:tcW w:w="2040" w:type="dxa"/>
            <w:vAlign w:val="bottom"/>
          </w:tcPr>
          <w:p>
            <w:pPr>
              <w:ind w:left="40"/>
              <w:spacing w:after="0"/>
              <w:rPr>
                <w:sz w:val="20"/>
                <w:szCs w:val="20"/>
                <w:color w:val="auto"/>
              </w:rPr>
            </w:pPr>
            <w:r>
              <w:rPr>
                <w:rFonts w:ascii="Arial" w:cs="Arial" w:eastAsia="Arial" w:hAnsi="Arial"/>
                <w:sz w:val="18"/>
                <w:szCs w:val="18"/>
                <w:color w:val="auto"/>
                <w:w w:val="96"/>
              </w:rPr>
              <w:t>Trademarks/brand names</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Indefinite</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48,484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48,484</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Indefinite</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48,484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48,484</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Supplier relationships</w:t>
            </w:r>
          </w:p>
        </w:tc>
        <w:tc>
          <w:tcPr>
            <w:tcW w:w="132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6"/>
              </w:rPr>
              <w:t>27 years</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34,721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25,788</w:t>
            </w:r>
          </w:p>
        </w:tc>
        <w:tc>
          <w:tcPr>
            <w:tcW w:w="15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 years</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34,721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26,904</w:t>
            </w:r>
          </w:p>
        </w:tc>
        <w:tc>
          <w:tcPr>
            <w:tcW w:w="0" w:type="dxa"/>
            <w:vAlign w:val="bottom"/>
          </w:tcPr>
          <w:p>
            <w:pPr>
              <w:spacing w:after="0"/>
              <w:rPr>
                <w:sz w:val="1"/>
                <w:szCs w:val="1"/>
                <w:color w:val="auto"/>
              </w:rPr>
            </w:pPr>
          </w:p>
        </w:tc>
      </w:tr>
      <w:tr>
        <w:trPr>
          <w:trHeight w:val="270"/>
        </w:trPr>
        <w:tc>
          <w:tcPr>
            <w:tcW w:w="20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All other </w:t>
            </w:r>
            <w:r>
              <w:rPr>
                <w:rFonts w:ascii="Arial" w:cs="Arial" w:eastAsia="Arial" w:hAnsi="Arial"/>
                <w:sz w:val="25"/>
                <w:szCs w:val="25"/>
                <w:color w:val="auto"/>
                <w:vertAlign w:val="superscript"/>
              </w:rPr>
              <w:t>(1)</w:t>
            </w:r>
          </w:p>
        </w:tc>
        <w:tc>
          <w:tcPr>
            <w:tcW w:w="10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8"/>
              </w:rPr>
              <w:t>4 years</w:t>
            </w: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4,830</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(1,802)</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3,028</w:t>
            </w: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 years</w:t>
            </w: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4,519</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3,131</w:t>
            </w:r>
          </w:p>
        </w:tc>
        <w:tc>
          <w:tcPr>
            <w:tcW w:w="0" w:type="dxa"/>
            <w:vAlign w:val="bottom"/>
          </w:tcPr>
          <w:p>
            <w:pPr>
              <w:spacing w:after="0"/>
              <w:rPr>
                <w:sz w:val="1"/>
                <w:szCs w:val="1"/>
                <w:color w:val="auto"/>
              </w:rPr>
            </w:pPr>
          </w:p>
        </w:tc>
      </w:tr>
      <w:tr>
        <w:trPr>
          <w:trHeight w:val="269"/>
        </w:trPr>
        <w:tc>
          <w:tcPr>
            <w:tcW w:w="20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349,534</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(147,124)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202,410</w:t>
            </w: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344,913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(132,646)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212,267</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260" w:hanging="332"/>
        <w:spacing w:after="0" w:line="216" w:lineRule="auto"/>
        <w:tabs>
          <w:tab w:leader="none" w:pos="34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At September 30, 2013 and December 31, 2012, all other included in-process research and development of $2.1 million and $1.7 million, respectively, which was indefinite-lived.</w:t>
      </w:r>
    </w:p>
    <w:p>
      <w:pPr>
        <w:spacing w:after="0" w:line="14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Based on quarter-end exchange rates, annual amortization expense is expected to approximate $19.4 million in 2013, $18.4 million in 2014, $16.6 million in 2015, $14.3 million in 2016 and $12.5 million in 2017. Identifiable intangible assets are initially recorded at fair market value at the time of acquisition using an income or cost approach.</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Senior Credit Agreement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On August 10, 2010, the Company entered into an amended and restated credit agreement with a syndicate of lending banks (the “Senior Credit Facility”).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amended the Senior Credit Facility on June 8, 2011, and further amended it on May 11, 2012 and June 21, 2013.</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June 8, 2011 amendment:</w:t>
      </w:r>
    </w:p>
    <w:p>
      <w:pPr>
        <w:spacing w:after="0" w:line="171" w:lineRule="exact"/>
        <w:rPr>
          <w:sz w:val="20"/>
          <w:szCs w:val="20"/>
          <w:color w:val="auto"/>
        </w:rPr>
      </w:pPr>
    </w:p>
    <w:p>
      <w:pPr>
        <w:ind w:left="340" w:right="8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the revolving credit component from $450 million to $600 million and eliminated the $150 million term loan component that existed under the original amended and restated credit agreement;</w:t>
      </w:r>
    </w:p>
    <w:p>
      <w:pPr>
        <w:spacing w:after="0" w:line="116"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allows the Company to further increase the size of the revolving credit component by an aggregate of $200 million with additional commitments;</w:t>
      </w:r>
    </w:p>
    <w:p>
      <w:pPr>
        <w:spacing w:after="0" w:line="182" w:lineRule="exact"/>
        <w:rPr>
          <w:rFonts w:ascii="Arial" w:cs="Arial" w:eastAsia="Arial" w:hAnsi="Arial"/>
          <w:sz w:val="17"/>
          <w:szCs w:val="17"/>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provides the Company with decreased borrowing rates and annual commitment fees, and provides more favorable financial covenants; and</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extended the maturity date from August 10, 2015 to June 8, 2016.</w:t>
      </w:r>
    </w:p>
    <w:p>
      <w:pPr>
        <w:spacing w:after="0" w:line="17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May 11, 2012, the Company entered into another amendment to the Senior Credit Facility (the “2012 Amendment”). The 2012 Amendment modified certain financial and negative covenants. The 2012 Amendment provides that the Company’s Maximum Consolidated Total Leverage Ratio (a measure of net debt to consolidated EBITDA, in each case as defined in the Senior Credit Facility, as amended) during any consecutive four quarter period should not be greater than 3.75 to 1.00 during any such period ending on December 31, 2013 (instead of March 31, 2012). In addition, when calculating consolidated EBITDA for any period, the 2012 Amendment permits the addition of certain costs and expenses in the calculation of consolidated net income for such period, to the extent deducted in the calculation of consolidated net income.</w:t>
      </w:r>
    </w:p>
    <w:p>
      <w:pPr>
        <w:spacing w:after="0" w:line="124"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On June 21, 2013, the Company entered into a second amendment to the Senior Credit Facility (the “2013 Amendment”). The 2013 Amendment modified certain financial and negative covenants and increased the Company’s Maximum Consolidated Total Leverage Ratio (a measure of net debt to consolidated EBITDA, in each case as defined in the Senior Credit Facility, as amended) to 4.25 through June 30, 2014, with a step-down to 4.00 through March 31, 2015, and then with another step-down to 3.75 thereafter. In addition, when calculating consolidated EBITDA for any period, the 2013 Amendment permits the addition of certain costs and expenses in the calculation of consolidated net income for such period, to the extent deducted in the calculation of consolidated net income. The effect of the 2013 Amendment is to increase the ability of the Company to borrow under the Senior Credit Facility during the affected periods. The Company capitalized $1.1 million of incremental financing costs in connection with the 2013 Amendment, which will be amortized through the maturity date of the Senior Credit Facility.</w:t>
      </w:r>
    </w:p>
    <w:p>
      <w:pPr>
        <w:spacing w:after="0" w:line="12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Senior Credit Facility is collateralized by substantially all of the assets of the Company’s U.S. subsidiaries, excluding intangible assets. The Senior Credit Facility is subject to various financial and negative covenants and at September 30, 2013, the Company was in compliance with all such covenants.</w:t>
      </w:r>
    </w:p>
    <w:p>
      <w:pPr>
        <w:spacing w:after="0" w:line="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Borrowings under the Senior Credit Facility currently bear interest, at the Company’s option, at a rate equal to (i) the Eurodollar Rate (as defined in the Senior Credit Facility, which definition has not changed) in effect from time to time plus the applicable rate (ranging from 1.00% to 1.75%) or (ii) the highest of</w:t>
      </w:r>
    </w:p>
    <w:p>
      <w:pPr>
        <w:ind w:right="20" w:firstLine="8"/>
        <w:spacing w:after="0" w:line="281" w:lineRule="auto"/>
        <w:tabs>
          <w:tab w:leader="none" w:pos="255"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weighted average overnight Federal funds rate, as published by the Federal Reserve Bank of New York, plus 0.5%, (y) the prime lending rate of Bank of America, N.A. or (z) the one-month Eurodollar Rate plus 1.0%. The applicable rates are based on the Company’s consolidated total leverage ratio (defined as the ratio of (a) consolidated funded indebtedness less cash in excess of $40 million that is not subject to any restriction of the use or investment thereof to</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consolidated EBITDA) at the time of the applicable borrowing.</w:t>
      </w:r>
    </w:p>
    <w:p>
      <w:pPr>
        <w:spacing w:after="0" w:line="15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also pays an annual commitment fee (ranging from 0.15% to 0.30%, based on the Company’s consolidated total leverage ratio) on the daily amount by which the revolving credit facility exceeds the outstanding loans and letters of credit under the credit facility.</w:t>
      </w:r>
    </w:p>
    <w:p>
      <w:pPr>
        <w:spacing w:after="0" w:line="1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At September 30, 2013 and December 31, 2012, there was $341.9 million and $321.9 million outstanding under the Senior Credit Facility at a weighted average interest rate of 1.9% and 1.8%, respectively. At September 30, 2013, there was approximately $258.1 million available for borrowing under the Senior Credit Facility. The fair value of outstanding borrowings under the Senior Credit Facility at September 30, 2013 was approximately $337.0 million. The fair value of the Senior Credit Facility was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inputs that reflect unadjusted quoted prices for identical assets or</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40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liabilities. The Company considers the balance to be long-term in nature based on its current intent and ability to repay the borrowing outside of the next twelve-month period.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Convertible Senior Notes</w:t>
      </w:r>
    </w:p>
    <w:p>
      <w:pPr>
        <w:spacing w:after="0" w:line="9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June 15, 2011, the Company issued $230.0 million aggregate principal amount of its 1.625% Convertible Senior Notes due in 2016 (the “2016 Notes”). The 2016 Notes mature on December 15, 2016, and bear interest at a rate of 1.625% per annum payable semi-annually in arrears on December 15 and June 15 of each year. The portion of the debt proceeds that was classified as equity at the time of the offering was $43.2 million, an equivalent of that amount is being amortized to interest expense using the effective interest method through December 2016. The effective interest rate implicit in the liability component is 5.6%.</w:t>
      </w:r>
    </w:p>
    <w:p>
      <w:pPr>
        <w:spacing w:after="0" w:line="13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At September 30, 2013, the carrying amount of the liability component was $203.3 million, the remaining unamortized discount was $26.7 million, and the principal amount outstanding was $230.0 million. The fair value of the 2016 Notes at September 30, 2013 was approximately $237.6 million. At December 31, 2012, the carrying amount of the liability component was $197.7 million, the remaining unamortized discount was $32.3 million and the principal amount outstanding was $230.0 million. The fair value of the liability of the 2016 Notes was determined using a discounted cash flow model based on current market interest rates available to the Company. These inputs are corroborated by observable market data for similar liabilities and therefore classified within Level 2.</w:t>
      </w:r>
    </w:p>
    <w:p>
      <w:pPr>
        <w:spacing w:after="0" w:line="13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2016 Notes are senior, unsecured obligations of the Company, and are convertible into cash and, if applicable, shares of its common stock based on an initial conversion rate, subject to adjustment of 17.4092 shares per $1,000 principal amount of 2016 Notes (which represents an initial conversion price of approximately $57.44 per share). The Company will satisfy any conversion of the 2016 Notes with cash up to the principal amount of the 2016 Notes pursuant to the net share settlement mechanism set forth in the indenture and, with respect to any excess conversion value, with shares of the Company’s common stock. The 2016 Notes are convertible only in the following circumstances: (1) if the closing sale price of the Company’s common stock exceeds 150% of the conversion price during a period as defined in the indenture; (2) if the average trading price per $1,000 principal amount of the 2016 Notes is less than or equal to 98% of the average conversion value of the 2016 Notes during a period as defined in the indenture; (3) at any time on or after June 15, 2016; or (4) if specified corporate transactions occur. The issue price of the 2016 Notes was equal to their face amount, which is also the amount holders are entitled to receive at maturity if the 2016 Notes are not converted. As of September 30, 2013, none of these conditions existed with respect to the 2016 Notes and as a result, the 2016 Notes are classified as long term.</w:t>
      </w:r>
    </w:p>
    <w:p>
      <w:pPr>
        <w:spacing w:after="0" w:line="124"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In connection with the issuance of the 2016 Notes, the Company entered into call transactions and warrant transactions, primarily with affiliates of the initial purchasers of such notes (the “hedge participants”). The initial strike price of the call transaction is approximately $57.44 per share, subject to customary anti-dilution adjustments. The initial strike price of the warrant transaction is approximately $70.05 per share, subject to customary anti-dilution adjustments.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 Interest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interest expense components of the Company’s convertible notes are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Pr>
          <w:p>
            <w:pPr>
              <w:spacing w:after="0"/>
              <w:rPr>
                <w:sz w:val="16"/>
                <w:szCs w:val="16"/>
                <w:color w:val="auto"/>
              </w:rPr>
            </w:pPr>
          </w:p>
        </w:tc>
        <w:tc>
          <w:tcPr>
            <w:tcW w:w="2620" w:type="dxa"/>
            <w:vAlign w:val="bottom"/>
            <w:gridSpan w:val="4"/>
          </w:tcPr>
          <w:p>
            <w:pPr>
              <w:jc w:val="right"/>
              <w:ind w:right="353"/>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64"/>
        </w:trPr>
        <w:tc>
          <w:tcPr>
            <w:tcW w:w="516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r>
      <w:tr>
        <w:trPr>
          <w:trHeight w:val="196"/>
        </w:trPr>
        <w:tc>
          <w:tcPr>
            <w:tcW w:w="5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2016 Notes:</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Amortization of the discount on the liability component</w:t>
            </w: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1,633</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1,788</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4,865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5,289</w:t>
            </w:r>
          </w:p>
        </w:tc>
      </w:tr>
      <w:tr>
        <w:trPr>
          <w:trHeight w:val="27"/>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interest related to the contractual interest coupon</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2,438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2,803</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2,440</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2,722</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7,303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8,092</w:t>
            </w:r>
          </w:p>
        </w:tc>
      </w:tr>
      <w:tr>
        <w:trPr>
          <w:trHeight w:val="67"/>
        </w:trPr>
        <w:tc>
          <w:tcPr>
            <w:tcW w:w="5160" w:type="dxa"/>
            <w:vAlign w:val="bottom"/>
            <w:tcBorders>
              <w:bottom w:val="single" w:sz="8" w:color="CCEEFF"/>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2012 Notes:</w:t>
            </w:r>
          </w:p>
        </w:tc>
        <w:tc>
          <w:tcPr>
            <w:tcW w:w="9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Amortization of the discount on the liability component</w:t>
            </w: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2,995</w:t>
            </w:r>
          </w:p>
        </w:tc>
      </w:tr>
      <w:tr>
        <w:trPr>
          <w:trHeight w:val="27"/>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interest related to the contractual interest coupon</w:t>
            </w:r>
          </w:p>
        </w:tc>
        <w:tc>
          <w:tcPr>
            <w:tcW w:w="9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1,633</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4,628</w:t>
            </w:r>
          </w:p>
        </w:tc>
      </w:tr>
      <w:tr>
        <w:trPr>
          <w:trHeight w:val="27"/>
        </w:trPr>
        <w:tc>
          <w:tcPr>
            <w:tcW w:w="51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INSTRUMENTS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 Hedging</w:t>
      </w:r>
    </w:p>
    <w:p>
      <w:pPr>
        <w:spacing w:after="0" w:line="9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Company’s interest rate risk relates to U.S. dollar denominated variable LIBOR interest rate borrowings. The Company uses an interest rate swap derivative instrument entered into on August 10, 2010 with an effective date of December 31, 2010 to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31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manage its earnings and cash flow exposure to changes in interest rates by converting a portion of its floating-rate debt into fixed-rate debt beginning on December 31, 2010. This interest rate swap expires on August 10, 2015.</w:t>
      </w:r>
    </w:p>
    <w:p>
      <w:pPr>
        <w:spacing w:after="0" w:line="116"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Company designates this derivative instrument as a cash flow hedge. The Company records the effective portion of any change in the fair value of a derivative instrument designated as a cash flow hedge as unrealized gains or losses in accumulated other comprehensive income (“AOCI”), net of tax, until the hedged item affects earnings, at which point the effective portion of any gain or loss will be reclassified to earnings. If the hedged cash flow does not occur, or if it becomes probable that it will not occur, the Company will reclassify the amount of any gain or loss on the related cash flow hedge to interest expense at that time.</w:t>
      </w:r>
    </w:p>
    <w:p>
      <w:pPr>
        <w:spacing w:after="0" w:line="13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expects that approximately $1.7 million of pre-tax losses recorded as net in AOCI related to the interest rate hedge could be reclassified to earnings within the next twelve months.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 Hedging</w:t>
      </w:r>
    </w:p>
    <w:p>
      <w:pPr>
        <w:spacing w:after="0" w:line="90"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From time to time the Company enters into foreign currency hedge contracts intended to protect the U.S. dollar value of certain forecasted foreign currency denominated transactions. The Company records the effective portion of any change in the fair value of foreign currency cash flow hedges in AOCI, net of tax, until the hedged item affects earnings. Once the related hedged item affects earnings, the Company reclassifies the effective portion of any related unrealized gain or loss on the foreign currency cash flow hedge to earnings. If the hedged forecasted transaction does not occur, or if it becomes probable that it will not occur, the Company will reclassify the amount of any gain or loss on the related cash flow hedge to earnings at that time.</w:t>
      </w:r>
    </w:p>
    <w:p>
      <w:pPr>
        <w:spacing w:after="0" w:line="2" w:lineRule="exact"/>
        <w:rPr>
          <w:sz w:val="20"/>
          <w:szCs w:val="20"/>
          <w:color w:val="auto"/>
        </w:rPr>
      </w:pPr>
    </w:p>
    <w:p>
      <w:pPr>
        <w:ind w:right="440"/>
        <w:spacing w:after="0" w:line="302" w:lineRule="auto"/>
        <w:rPr>
          <w:sz w:val="20"/>
          <w:szCs w:val="20"/>
          <w:color w:val="auto"/>
        </w:rPr>
      </w:pPr>
      <w:r>
        <w:rPr>
          <w:rFonts w:ascii="Arial" w:cs="Arial" w:eastAsia="Arial" w:hAnsi="Arial"/>
          <w:sz w:val="16"/>
          <w:szCs w:val="16"/>
          <w:color w:val="auto"/>
        </w:rPr>
        <w:t>The success of the Company’s hedging program depends, in part, on forecasts of certain activity denominated in euros. The Company may experience unanticipated currency exchange gains or losses to the extent that there are differences between forecasted and actual activity during periods of currency volatility. In addition, changes in currency exchange rates related to any unhedged transactions may affect its earnings and cash flows.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Counterparty Credit Risk</w:t>
      </w:r>
    </w:p>
    <w:p>
      <w:pPr>
        <w:spacing w:after="0" w:line="225"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The Company manages its concentration of counterparty credit risk on its derivative instruments by limiting acceptable counterparties to a group of major financial institutions with investment grade credit ratings, and by actively monitoring their credit ratings and outstanding positions on an ongoing basis. Therefore, the Company considers the credit risk of the counterparties to be low. Furthermore, none of the Company’s derivative transactions are subject to collateral or other security arrangements, and none contain provisions that depend upon the Company’s credit ratings from any credit rating agency.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Derivative Instruments</w:t>
      </w:r>
    </w:p>
    <w:p>
      <w:pPr>
        <w:spacing w:after="0" w:line="9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has classified all of its derivative instruments within Level 2 of the fair value hierarchy because observable inputs are available for substantially the full term of the derivative instruments. The fair value of the foreign currency forward exchange contracts related to inventory purchases is determined by comparing the forward rate as of the period end and the settlement rate specified in each contract. The fair value of the interest rate swaps was developed using a market approach based on publicly available market yield curves and the terms of the related swap. The Company performs ongoing assessments of counterparty credit risk.</w:t>
      </w:r>
    </w:p>
    <w:p>
      <w:pPr>
        <w:spacing w:after="0" w:line="134"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 following table summarizes the fair value and presentation in the condensed consolidated balance sheets for derivatives designated as hedging instruments as of September 30, 2013 and December 31, 2012:</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Fair Value as of</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tcBorders>
              <w:bottom w:val="single" w:sz="8" w:color="auto"/>
            </w:tcBorders>
            <w:gridSpan w:val="2"/>
          </w:tcPr>
          <w:p>
            <w:pPr>
              <w:ind w:left="840"/>
              <w:spacing w:after="0"/>
              <w:rPr>
                <w:sz w:val="20"/>
                <w:szCs w:val="20"/>
                <w:color w:val="auto"/>
              </w:rPr>
            </w:pPr>
            <w:r>
              <w:rPr>
                <w:rFonts w:ascii="Arial" w:cs="Arial" w:eastAsia="Arial" w:hAnsi="Arial"/>
                <w:sz w:val="14"/>
                <w:szCs w:val="14"/>
                <w:b w:val="1"/>
                <w:bCs w:val="1"/>
                <w:color w:val="auto"/>
              </w:rPr>
              <w:t>Notional Amount as of</w:t>
            </w:r>
          </w:p>
        </w:tc>
        <w:tc>
          <w:tcPr>
            <w:tcW w:w="0" w:type="dxa"/>
            <w:vAlign w:val="bottom"/>
          </w:tcPr>
          <w:p>
            <w:pPr>
              <w:spacing w:after="0"/>
              <w:rPr>
                <w:sz w:val="1"/>
                <w:szCs w:val="1"/>
                <w:color w:val="auto"/>
              </w:rPr>
            </w:pPr>
          </w:p>
        </w:tc>
      </w:tr>
      <w:tr>
        <w:trPr>
          <w:trHeight w:val="152"/>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xml:space="preserve">Location on Balance Sheet </w:t>
            </w:r>
            <w:r>
              <w:rPr>
                <w:rFonts w:ascii="Arial" w:cs="Arial" w:eastAsia="Arial" w:hAnsi="Arial"/>
                <w:sz w:val="8"/>
                <w:szCs w:val="8"/>
                <w:b w:val="1"/>
                <w:bCs w:val="1"/>
                <w:color w:val="auto"/>
              </w:rPr>
              <w:t>(1)</w:t>
            </w: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14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September 30,</w:t>
            </w:r>
          </w:p>
        </w:tc>
        <w:tc>
          <w:tcPr>
            <w:tcW w:w="1480" w:type="dxa"/>
            <w:vAlign w:val="bottom"/>
            <w:gridSpan w:val="2"/>
          </w:tcPr>
          <w:p>
            <w:pPr>
              <w:jc w:val="right"/>
              <w:ind w:right="257"/>
              <w:spacing w:after="0" w:line="153"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3"/>
                <w:szCs w:val="13"/>
                <w:color w:val="auto"/>
              </w:rPr>
            </w:pPr>
          </w:p>
        </w:tc>
        <w:tc>
          <w:tcPr>
            <w:tcW w:w="1520" w:type="dxa"/>
            <w:vAlign w:val="bottom"/>
          </w:tcPr>
          <w:p>
            <w:pPr>
              <w:jc w:val="center"/>
              <w:ind w:right="8"/>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15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2012</w:t>
            </w:r>
          </w:p>
        </w:tc>
        <w:tc>
          <w:tcPr>
            <w:tcW w:w="1620" w:type="dxa"/>
            <w:vAlign w:val="bottom"/>
            <w:tcBorders>
              <w:bottom w:val="single" w:sz="8" w:color="auto"/>
            </w:tcBorders>
            <w:gridSpan w:val="2"/>
          </w:tcPr>
          <w:p>
            <w:pPr>
              <w:jc w:val="right"/>
              <w:ind w:right="568"/>
              <w:spacing w:after="0"/>
              <w:rPr>
                <w:sz w:val="20"/>
                <w:szCs w:val="20"/>
                <w:color w:val="auto"/>
              </w:rPr>
            </w:pPr>
            <w:r>
              <w:rPr>
                <w:rFonts w:ascii="Arial" w:cs="Arial" w:eastAsia="Arial" w:hAnsi="Arial"/>
                <w:sz w:val="14"/>
                <w:szCs w:val="14"/>
                <w:b w:val="1"/>
                <w:bCs w:val="1"/>
                <w:color w:val="auto"/>
              </w:rPr>
              <w:t>2013</w:t>
            </w:r>
          </w:p>
        </w:tc>
        <w:tc>
          <w:tcPr>
            <w:tcW w:w="15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80" w:type="dxa"/>
            <w:vAlign w:val="bottom"/>
            <w:gridSpan w:val="3"/>
          </w:tcPr>
          <w:p>
            <w:pPr>
              <w:ind w:left="560"/>
              <w:spacing w:after="0"/>
              <w:rPr>
                <w:sz w:val="20"/>
                <w:szCs w:val="20"/>
                <w:color w:val="auto"/>
              </w:rPr>
            </w:pPr>
            <w:r>
              <w:rPr>
                <w:rFonts w:ascii="Arial" w:cs="Arial" w:eastAsia="Arial" w:hAnsi="Arial"/>
                <w:sz w:val="14"/>
                <w:szCs w:val="14"/>
                <w:b w:val="1"/>
                <w:bCs w:val="1"/>
                <w:color w:val="auto"/>
              </w:rPr>
              <w:t>(In thousands)</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as hedges —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160" w:type="dxa"/>
            <w:vAlign w:val="bottom"/>
          </w:tcPr>
          <w:p>
            <w:pPr>
              <w:ind w:left="40"/>
              <w:spacing w:after="0" w:line="270" w:lineRule="exact"/>
              <w:rPr>
                <w:sz w:val="20"/>
                <w:szCs w:val="20"/>
                <w:color w:val="auto"/>
              </w:rPr>
            </w:pPr>
            <w:r>
              <w:rPr>
                <w:rFonts w:ascii="Arial" w:cs="Arial" w:eastAsia="Arial" w:hAnsi="Arial"/>
                <w:sz w:val="18"/>
                <w:szCs w:val="18"/>
                <w:color w:val="auto"/>
                <w:w w:val="91"/>
              </w:rPr>
              <w:t xml:space="preserve">Interest rate swap — Accrued expenses and other current liabilities </w:t>
            </w:r>
            <w:r>
              <w:rPr>
                <w:rFonts w:ascii="Arial" w:cs="Arial" w:eastAsia="Arial" w:hAnsi="Arial"/>
                <w:sz w:val="25"/>
                <w:szCs w:val="25"/>
                <w:color w:val="auto"/>
                <w:w w:val="91"/>
                <w:vertAlign w:val="superscript"/>
              </w:rPr>
              <w:t>(2)</w:t>
            </w:r>
          </w:p>
        </w:tc>
        <w:tc>
          <w:tcPr>
            <w:tcW w:w="200" w:type="dxa"/>
            <w:vAlign w:val="bottom"/>
          </w:tcPr>
          <w:p>
            <w:pPr>
              <w:spacing w:after="0"/>
              <w:rPr>
                <w:sz w:val="23"/>
                <w:szCs w:val="23"/>
                <w:color w:val="auto"/>
              </w:rPr>
            </w:pPr>
          </w:p>
        </w:tc>
        <w:tc>
          <w:tcPr>
            <w:tcW w:w="1300" w:type="dxa"/>
            <w:vAlign w:val="bottom"/>
          </w:tcPr>
          <w:p>
            <w:pPr>
              <w:jc w:val="right"/>
              <w:ind w:right="39"/>
              <w:spacing w:after="0"/>
              <w:rPr>
                <w:sz w:val="20"/>
                <w:szCs w:val="20"/>
                <w:color w:val="auto"/>
              </w:rPr>
            </w:pPr>
            <w:r>
              <w:rPr>
                <w:rFonts w:ascii="Arial" w:cs="Arial" w:eastAsia="Arial" w:hAnsi="Arial"/>
                <w:sz w:val="18"/>
                <w:szCs w:val="18"/>
                <w:color w:val="auto"/>
              </w:rPr>
              <w:t>1,731</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1,888</w:t>
            </w:r>
          </w:p>
        </w:tc>
        <w:tc>
          <w:tcPr>
            <w:tcW w:w="1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Interest rate swap — Other liabilities </w:t>
            </w:r>
            <w:r>
              <w:rPr>
                <w:rFonts w:ascii="Arial" w:cs="Arial" w:eastAsia="Arial" w:hAnsi="Arial"/>
                <w:sz w:val="25"/>
                <w:szCs w:val="25"/>
                <w:color w:val="auto"/>
                <w:vertAlign w:val="superscript"/>
              </w:rPr>
              <w:t>(2)</w:t>
            </w: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1,075</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2,238</w:t>
            </w: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Total Derivatives designated as hedges — Liabilities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9"/>
              <w:spacing w:after="0"/>
              <w:rPr>
                <w:sz w:val="20"/>
                <w:szCs w:val="20"/>
                <w:color w:val="auto"/>
              </w:rPr>
            </w:pPr>
            <w:r>
              <w:rPr>
                <w:rFonts w:ascii="Arial" w:cs="Arial" w:eastAsia="Arial" w:hAnsi="Arial"/>
                <w:sz w:val="18"/>
                <w:szCs w:val="18"/>
                <w:color w:val="auto"/>
              </w:rPr>
              <w:t>2,806</w:t>
            </w:r>
          </w:p>
        </w:tc>
        <w:tc>
          <w:tcPr>
            <w:tcW w:w="120" w:type="dxa"/>
            <w:vAlign w:val="bottom"/>
          </w:tcPr>
          <w:p>
            <w:pPr>
              <w:spacing w:after="0"/>
              <w:rPr>
                <w:sz w:val="20"/>
                <w:szCs w:val="20"/>
                <w:color w:val="auto"/>
              </w:rPr>
            </w:pPr>
          </w:p>
        </w:tc>
        <w:tc>
          <w:tcPr>
            <w:tcW w:w="520" w:type="dxa"/>
            <w:vAlign w:val="bottom"/>
          </w:tcPr>
          <w:p>
            <w:pPr>
              <w:jc w:val="right"/>
              <w:ind w:right="319"/>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4,126</w:t>
            </w: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24"/>
          <w:szCs w:val="24"/>
          <w:color w:val="auto"/>
          <w:vertAlign w:val="superscript"/>
        </w:rPr>
      </w:pPr>
      <w:r>
        <w:rPr>
          <w:rFonts w:ascii="Arial" w:cs="Arial" w:eastAsia="Arial" w:hAnsi="Arial"/>
          <w:sz w:val="17"/>
          <w:szCs w:val="17"/>
          <w:color w:val="auto"/>
        </w:rPr>
        <w:t>The Company classifies derivative assets and liabilities as current based on the cash flows expected to be incurred within the following 12 months.</w:t>
      </w:r>
    </w:p>
    <w:p>
      <w:pPr>
        <w:spacing w:after="0" w:line="228" w:lineRule="exact"/>
        <w:rPr>
          <w:rFonts w:ascii="Arial" w:cs="Arial" w:eastAsia="Arial" w:hAnsi="Arial"/>
          <w:sz w:val="24"/>
          <w:szCs w:val="24"/>
          <w:color w:val="auto"/>
          <w:vertAlign w:val="superscript"/>
        </w:rPr>
      </w:pPr>
    </w:p>
    <w:p>
      <w:pPr>
        <w:ind w:left="5620"/>
        <w:spacing w:after="0"/>
        <w:rPr>
          <w:rFonts w:ascii="Arial" w:cs="Arial" w:eastAsia="Arial" w:hAnsi="Arial"/>
          <w:sz w:val="24"/>
          <w:szCs w:val="24"/>
          <w:color w:val="auto"/>
          <w:vertAlign w:val="superscript"/>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38" w:lineRule="exact"/>
        <w:rPr>
          <w:sz w:val="20"/>
          <w:szCs w:val="20"/>
          <w:color w:val="auto"/>
        </w:rPr>
      </w:pPr>
    </w:p>
    <w:p>
      <w:pPr>
        <w:ind w:left="340" w:right="360" w:hanging="332"/>
        <w:spacing w:after="0" w:line="227" w:lineRule="auto"/>
        <w:tabs>
          <w:tab w:leader="none" w:pos="340" w:val="left"/>
        </w:tabs>
        <w:numPr>
          <w:ilvl w:val="0"/>
          <w:numId w:val="11"/>
        </w:numPr>
        <w:rPr>
          <w:rFonts w:ascii="Arial" w:cs="Arial" w:eastAsia="Arial" w:hAnsi="Arial"/>
          <w:sz w:val="24"/>
          <w:szCs w:val="24"/>
          <w:color w:val="auto"/>
          <w:vertAlign w:val="superscript"/>
        </w:rPr>
      </w:pPr>
      <w:r>
        <w:rPr>
          <w:rFonts w:ascii="Arial" w:cs="Arial" w:eastAsia="Arial" w:hAnsi="Arial"/>
          <w:sz w:val="17"/>
          <w:szCs w:val="17"/>
          <w:color w:val="auto"/>
        </w:rPr>
        <w:t>At September 30, 2013 and December 31, 2012, the notional amount related to the Company’s sole interest rate swap was $116.3 million and $127.5 million, respectively. In the next twelve months, the Company expects to reduce the notional amount by $15.0 million.</w:t>
      </w:r>
    </w:p>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presents the effect of derivative instruments designated as cash flow hedges on the accompanying consolidated statements of operations during the three and nine months ended September 30, 2013 and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186055</wp:posOffset>
            </wp:positionV>
            <wp:extent cx="52139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 of</w:t>
            </w:r>
          </w:p>
        </w:tc>
        <w:tc>
          <w:tcPr>
            <w:tcW w:w="158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 of Gain (Loss)</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Balance in AOCI</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Gain (Loss)</w:t>
            </w:r>
          </w:p>
        </w:tc>
        <w:tc>
          <w:tcPr>
            <w:tcW w:w="14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vMerge w:val="restart"/>
          </w:tcPr>
          <w:p>
            <w:pPr>
              <w:jc w:val="right"/>
              <w:ind w:right="538"/>
              <w:spacing w:after="0"/>
              <w:rPr>
                <w:sz w:val="20"/>
                <w:szCs w:val="20"/>
                <w:color w:val="auto"/>
              </w:rPr>
            </w:pPr>
            <w:r>
              <w:rPr>
                <w:rFonts w:ascii="Arial" w:cs="Arial" w:eastAsia="Arial" w:hAnsi="Arial"/>
                <w:sz w:val="14"/>
                <w:szCs w:val="14"/>
                <w:b w:val="1"/>
                <w:bCs w:val="1"/>
                <w:color w:val="auto"/>
              </w:rPr>
              <w:t>Location in</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AOCI into</w:t>
            </w: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9"/>
              </w:rPr>
              <w:t>Balance in AOCI</w:t>
            </w:r>
          </w:p>
        </w:tc>
        <w:tc>
          <w:tcPr>
            <w:tcW w:w="100" w:type="dxa"/>
            <w:vAlign w:val="bottom"/>
          </w:tcPr>
          <w:p>
            <w:pPr>
              <w:spacing w:after="0"/>
              <w:rPr>
                <w:sz w:val="12"/>
                <w:szCs w:val="12"/>
                <w:color w:val="auto"/>
              </w:rPr>
            </w:pPr>
          </w:p>
        </w:tc>
        <w:tc>
          <w:tcPr>
            <w:tcW w:w="1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AOCI-</w:t>
            </w: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Earnings-Effective</w:t>
            </w: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jc w:val="right"/>
              <w:ind w:right="458"/>
              <w:spacing w:after="0" w:line="149" w:lineRule="exact"/>
              <w:rPr>
                <w:sz w:val="20"/>
                <w:szCs w:val="20"/>
                <w:color w:val="auto"/>
              </w:rPr>
            </w:pPr>
            <w:r>
              <w:rPr>
                <w:rFonts w:ascii="Arial" w:cs="Arial" w:eastAsia="Arial" w:hAnsi="Arial"/>
                <w:sz w:val="14"/>
                <w:szCs w:val="14"/>
                <w:b w:val="1"/>
                <w:bCs w:val="1"/>
                <w:color w:val="auto"/>
              </w:rPr>
              <w:t>Statements of</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8"/>
              </w:rPr>
              <w:t>Quarter</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3"/>
              </w:rPr>
              <w:t>Effective Portion</w:t>
            </w: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Portion</w:t>
            </w:r>
          </w:p>
        </w:tc>
        <w:tc>
          <w:tcPr>
            <w:tcW w:w="11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End of Quarter</w:t>
            </w: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Operations</w:t>
            </w:r>
          </w:p>
        </w:tc>
        <w:tc>
          <w:tcPr>
            <w:tcW w:w="0" w:type="dxa"/>
            <w:vAlign w:val="bottom"/>
          </w:tcPr>
          <w:p>
            <w:pPr>
              <w:spacing w:after="0"/>
              <w:rPr>
                <w:sz w:val="1"/>
                <w:szCs w:val="1"/>
                <w:color w:val="auto"/>
              </w:rPr>
            </w:pPr>
          </w:p>
        </w:tc>
      </w:tr>
      <w:tr>
        <w:trPr>
          <w:trHeight w:val="196"/>
        </w:trPr>
        <w:tc>
          <w:tcPr>
            <w:tcW w:w="3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Three Months Ended September 30, 2013</w:t>
            </w: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Forward currency forward contracts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8"/>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940" w:type="dxa"/>
            <w:vAlign w:val="bottom"/>
          </w:tcPr>
          <w:p>
            <w:pPr>
              <w:ind w:left="40"/>
              <w:spacing w:after="0"/>
              <w:rPr>
                <w:sz w:val="20"/>
                <w:szCs w:val="20"/>
                <w:color w:val="auto"/>
              </w:rPr>
            </w:pPr>
            <w:r>
              <w:rPr>
                <w:rFonts w:ascii="Arial" w:cs="Arial" w:eastAsia="Arial" w:hAnsi="Arial"/>
                <w:sz w:val="18"/>
                <w:szCs w:val="18"/>
                <w:color w:val="auto"/>
              </w:rPr>
              <w:t>Costs of goods sold</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(2,805)</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538"/>
              <w:spacing w:after="0"/>
              <w:rPr>
                <w:sz w:val="20"/>
                <w:szCs w:val="20"/>
                <w:color w:val="auto"/>
              </w:rPr>
            </w:pPr>
            <w:r>
              <w:rPr>
                <w:rFonts w:ascii="Arial" w:cs="Arial" w:eastAsia="Arial" w:hAnsi="Arial"/>
                <w:sz w:val="18"/>
                <w:szCs w:val="18"/>
                <w:color w:val="auto"/>
                <w:w w:val="89"/>
              </w:rPr>
              <w:t>Interest (expense)</w:t>
            </w: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(2,868)</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0"/>
                <w:szCs w:val="20"/>
                <w:color w:val="auto"/>
              </w:rPr>
            </w:pP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0"/>
                <w:szCs w:val="20"/>
                <w:color w:val="auto"/>
              </w:rPr>
            </w:pPr>
          </w:p>
        </w:tc>
        <w:tc>
          <w:tcPr>
            <w:tcW w:w="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(2,772)</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32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94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2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w w:val="93"/>
              </w:rPr>
              <w:t>Three Months Ended September 30, 2012</w:t>
            </w: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Forward currency forward contracts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1940" w:type="dxa"/>
            <w:vAlign w:val="bottom"/>
          </w:tcPr>
          <w:p>
            <w:pPr>
              <w:ind w:left="40"/>
              <w:spacing w:after="0"/>
              <w:rPr>
                <w:sz w:val="20"/>
                <w:szCs w:val="20"/>
                <w:color w:val="auto"/>
              </w:rPr>
            </w:pPr>
            <w:r>
              <w:rPr>
                <w:rFonts w:ascii="Arial" w:cs="Arial" w:eastAsia="Arial" w:hAnsi="Arial"/>
                <w:sz w:val="18"/>
                <w:szCs w:val="18"/>
                <w:color w:val="auto"/>
              </w:rPr>
              <w:t>Costs of goods sold</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(4,642)</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538"/>
              <w:spacing w:after="0"/>
              <w:rPr>
                <w:sz w:val="20"/>
                <w:szCs w:val="20"/>
                <w:color w:val="auto"/>
              </w:rPr>
            </w:pPr>
            <w:r>
              <w:rPr>
                <w:rFonts w:ascii="Arial" w:cs="Arial" w:eastAsia="Arial" w:hAnsi="Arial"/>
                <w:sz w:val="18"/>
                <w:szCs w:val="18"/>
                <w:color w:val="auto"/>
                <w:w w:val="89"/>
              </w:rPr>
              <w:t>Interest (expense)</w:t>
            </w: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(4,550)</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20"/>
                <w:szCs w:val="20"/>
                <w:color w:val="auto"/>
              </w:rPr>
            </w:pP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0"/>
                <w:szCs w:val="20"/>
                <w:color w:val="auto"/>
              </w:rPr>
            </w:pPr>
          </w:p>
        </w:tc>
        <w:tc>
          <w:tcPr>
            <w:tcW w:w="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(4,821)</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580" w:type="dxa"/>
            <w:vAlign w:val="bottom"/>
            <w:gridSpan w:val="3"/>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3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4"/>
              </w:rPr>
              <w:t>Amount of</w:t>
            </w:r>
          </w:p>
        </w:tc>
        <w:tc>
          <w:tcPr>
            <w:tcW w:w="1580" w:type="dxa"/>
            <w:vAlign w:val="bottom"/>
            <w:gridSpan w:val="3"/>
          </w:tcPr>
          <w:p>
            <w:pPr>
              <w:ind w:left="40"/>
              <w:spacing w:after="0" w:line="147" w:lineRule="exact"/>
              <w:rPr>
                <w:sz w:val="20"/>
                <w:szCs w:val="20"/>
                <w:color w:val="auto"/>
              </w:rPr>
            </w:pPr>
            <w:r>
              <w:rPr>
                <w:rFonts w:ascii="Arial" w:cs="Arial" w:eastAsia="Arial" w:hAnsi="Arial"/>
                <w:sz w:val="14"/>
                <w:szCs w:val="14"/>
                <w:b w:val="1"/>
                <w:bCs w:val="1"/>
                <w:color w:val="auto"/>
              </w:rPr>
              <w:t>Amount of Gain (Loss)</w:t>
            </w: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Balance in AOCI</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Gain (Loss)</w:t>
            </w:r>
          </w:p>
        </w:tc>
        <w:tc>
          <w:tcPr>
            <w:tcW w:w="14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vMerge w:val="restart"/>
          </w:tcPr>
          <w:p>
            <w:pPr>
              <w:jc w:val="right"/>
              <w:ind w:right="538"/>
              <w:spacing w:after="0"/>
              <w:rPr>
                <w:sz w:val="20"/>
                <w:szCs w:val="20"/>
                <w:color w:val="auto"/>
              </w:rPr>
            </w:pPr>
            <w:r>
              <w:rPr>
                <w:rFonts w:ascii="Arial" w:cs="Arial" w:eastAsia="Arial" w:hAnsi="Arial"/>
                <w:sz w:val="14"/>
                <w:szCs w:val="14"/>
                <w:b w:val="1"/>
                <w:bCs w:val="1"/>
                <w:color w:val="auto"/>
              </w:rPr>
              <w:t>Location in</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AOCI into</w:t>
            </w: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9"/>
              </w:rPr>
              <w:t>Balance in AOCI</w:t>
            </w:r>
          </w:p>
        </w:tc>
        <w:tc>
          <w:tcPr>
            <w:tcW w:w="100" w:type="dxa"/>
            <w:vAlign w:val="bottom"/>
          </w:tcPr>
          <w:p>
            <w:pPr>
              <w:spacing w:after="0"/>
              <w:rPr>
                <w:sz w:val="12"/>
                <w:szCs w:val="12"/>
                <w:color w:val="auto"/>
              </w:rPr>
            </w:pPr>
          </w:p>
        </w:tc>
        <w:tc>
          <w:tcPr>
            <w:tcW w:w="1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AOCI-</w:t>
            </w: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Earnings-Effective</w:t>
            </w: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jc w:val="right"/>
              <w:ind w:right="458"/>
              <w:spacing w:after="0" w:line="149" w:lineRule="exact"/>
              <w:rPr>
                <w:sz w:val="20"/>
                <w:szCs w:val="20"/>
                <w:color w:val="auto"/>
              </w:rPr>
            </w:pPr>
            <w:r>
              <w:rPr>
                <w:rFonts w:ascii="Arial" w:cs="Arial" w:eastAsia="Arial" w:hAnsi="Arial"/>
                <w:sz w:val="14"/>
                <w:szCs w:val="14"/>
                <w:b w:val="1"/>
                <w:bCs w:val="1"/>
                <w:color w:val="auto"/>
              </w:rPr>
              <w:t>Statements of</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2"/>
              </w:rPr>
              <w:t>Year</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3"/>
              </w:rPr>
              <w:t>Effective Portion</w:t>
            </w: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Portion</w:t>
            </w:r>
          </w:p>
        </w:tc>
        <w:tc>
          <w:tcPr>
            <w:tcW w:w="11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End of Quarter</w:t>
            </w: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Operations</w:t>
            </w:r>
          </w:p>
        </w:tc>
        <w:tc>
          <w:tcPr>
            <w:tcW w:w="0" w:type="dxa"/>
            <w:vAlign w:val="bottom"/>
          </w:tcPr>
          <w:p>
            <w:pPr>
              <w:spacing w:after="0"/>
              <w:rPr>
                <w:sz w:val="1"/>
                <w:szCs w:val="1"/>
                <w:color w:val="auto"/>
              </w:rPr>
            </w:pPr>
          </w:p>
        </w:tc>
      </w:tr>
      <w:tr>
        <w:trPr>
          <w:trHeight w:val="196"/>
        </w:trPr>
        <w:tc>
          <w:tcPr>
            <w:tcW w:w="3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Nine Months Ended September 30, 2013</w:t>
            </w: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Forward currency forward contracts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8"/>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8"/>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94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(2,805)</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538"/>
              <w:spacing w:after="0"/>
              <w:rPr>
                <w:sz w:val="20"/>
                <w:szCs w:val="20"/>
                <w:color w:val="auto"/>
              </w:rPr>
            </w:pPr>
            <w:r>
              <w:rPr>
                <w:rFonts w:ascii="Arial" w:cs="Arial" w:eastAsia="Arial" w:hAnsi="Arial"/>
                <w:sz w:val="18"/>
                <w:szCs w:val="18"/>
                <w:color w:val="auto"/>
                <w:w w:val="89"/>
              </w:rPr>
              <w:t>Interest (expense)</w:t>
            </w: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(4,159)</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(1,404)</w:t>
            </w:r>
          </w:p>
        </w:tc>
        <w:tc>
          <w:tcPr>
            <w:tcW w:w="100" w:type="dxa"/>
            <w:vAlign w:val="bottom"/>
          </w:tcPr>
          <w:p>
            <w:pPr>
              <w:spacing w:after="0"/>
              <w:rPr>
                <w:sz w:val="20"/>
                <w:szCs w:val="20"/>
                <w:color w:val="auto"/>
              </w:rPr>
            </w:pPr>
          </w:p>
        </w:tc>
        <w:tc>
          <w:tcPr>
            <w:tcW w:w="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(2,772)</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32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94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2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w w:val="96"/>
              </w:rPr>
              <w:t>Nine Months Ended September 30, 2012</w:t>
            </w: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Forward currency forward contracts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194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(4,642)</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538"/>
              <w:spacing w:after="0"/>
              <w:rPr>
                <w:sz w:val="20"/>
                <w:szCs w:val="20"/>
                <w:color w:val="auto"/>
              </w:rPr>
            </w:pPr>
            <w:r>
              <w:rPr>
                <w:rFonts w:ascii="Arial" w:cs="Arial" w:eastAsia="Arial" w:hAnsi="Arial"/>
                <w:sz w:val="18"/>
                <w:szCs w:val="18"/>
                <w:color w:val="auto"/>
                <w:w w:val="89"/>
              </w:rPr>
              <w:t>Interest (expense)</w:t>
            </w: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(4,308)</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(2,092)</w:t>
            </w:r>
          </w:p>
        </w:tc>
        <w:tc>
          <w:tcPr>
            <w:tcW w:w="100" w:type="dxa"/>
            <w:vAlign w:val="bottom"/>
          </w:tcPr>
          <w:p>
            <w:pPr>
              <w:spacing w:after="0"/>
              <w:rPr>
                <w:sz w:val="20"/>
                <w:szCs w:val="20"/>
                <w:color w:val="auto"/>
              </w:rPr>
            </w:pP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20"/>
                <w:szCs w:val="20"/>
                <w:color w:val="auto"/>
              </w:rPr>
            </w:pPr>
          </w:p>
        </w:tc>
        <w:tc>
          <w:tcPr>
            <w:tcW w:w="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(4,821)</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recognized no gains or losses resulting from ineffectiveness of cash flow hedges during the three and nine months ended September 30, 2013 and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9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of September 30, 2013, the Company had stock options, restricted stock awards, performance stock awards, contract stock awards and restricted stock unit awards outstanding under three plans, the 2000 Equity Incentive Plan (the “2000 Plan”), the 2001 Equity Incentive Plan (the “2001 Plan”), and the 2003 Equity Incentive Plan (the “2003 Plan,” and collectively, the “Plans”).</w:t>
      </w:r>
    </w:p>
    <w:p>
      <w:pPr>
        <w:spacing w:after="0" w:line="12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Stock options issued under the Plans become exercisable over specified periods, generally within four years from the date of grant for officers and directors, and generally expire from six to ten years for directors and certain executive officers. Restricted stock issued under the Plans vests over specified periods, generally three years after the date of grant. The vesting of performance stock, issued under the Plans, is subject to service and performance conditions.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9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There were 32,468 stock options granted during the nine months ended September 30, 2013. As of September 30, 2013, there were approximately $1.5 million of total unrecognized compensation costs related to unvested stock options. These costs are expected to be recognized over a weighted-average period of approximately one year, six months.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Awards of Restricted Stock, Performance Stock and Contract Stock</w:t>
      </w:r>
    </w:p>
    <w:p>
      <w:pPr>
        <w:spacing w:after="0" w:line="9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Performance stock, restricted stock and contract stock awards generally have requisite service periods of three years. Performance stock awards are subject to graded vesting conditions and the Company expenses their fair value over the requisite service period. The Company expenses the fair value of restricted stock and contract stock awards on a straight-line basis over the vesting period or requisite service period, whichever is shorter. The Company granted approximately 181,000 restricted stock awards/stock units and 55,000 performance shares during the nine months ended September 30, 2013. As of September 30, 2013, there were approximately $13.8 million of total unrecognized compensation costs related to these unvested awards. The Company expects to recognize these costs over a weighted-average period of approximately two years.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formal policy related to the repurchase of shares for the purpose of satisfying stock-based compensation obligations.</w:t>
      </w:r>
    </w:p>
    <w:p>
      <w:pPr>
        <w:spacing w:after="0" w:line="171"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Company also maintains an Employee Stock Purchase Plan (the “ESPP”), which provides eligible employees with the opportunity to acquire shares of common stock at periodic intervals by means of accumulated payroll deductions. The ESPP is a non-compensatory plan based on its terms.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TREASURY STOCK</w:t>
      </w:r>
    </w:p>
    <w:p>
      <w:pPr>
        <w:spacing w:after="0" w:line="22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On October 23, 2012, the Company's Board of Directors authorized a repurchase of up to $75.0 million of its outstanding common stock through December 2014. The Company has not repurchased any of its outstanding shares of common stock during the three and nine month periods ended September 30, 2013 and 2012.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2013, there remained $75.0 million available for repurchases under this authorization.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RETIREMENT BENEFIT PLANS</w:t>
      </w:r>
    </w:p>
    <w:p>
      <w:pPr>
        <w:spacing w:after="0" w:line="9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maintains defined benefit pension plans that cover employees in its manufacturing plants located in Andover, United Kingdom (the “UK Plan”) and Tuttlingen, Germany (the “Germany Plan”). The Company closed the Tuttlingen, Germany plant in December 2005. The Company did not terminate the Germany Plan, and the Company remains obligated for the accrued pension benefits related to this plan. Effective March 31, 2011, the Company froze the benefits due to the participants of the UK Plan in their entirety; this curtailment resulted in a $0.3 million reduction in the projected benefit obligations which the Company recorded on that date. The plans cover certain current and former employees.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Net periodic benefit costs for the Company’s defined benefit pension plans included the following amounts: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Pr>
          <w:p>
            <w:pPr>
              <w:spacing w:after="0"/>
              <w:rPr>
                <w:sz w:val="16"/>
                <w:szCs w:val="16"/>
                <w:color w:val="auto"/>
              </w:rPr>
            </w:pPr>
          </w:p>
        </w:tc>
        <w:tc>
          <w:tcPr>
            <w:tcW w:w="262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64"/>
        </w:trPr>
        <w:tc>
          <w:tcPr>
            <w:tcW w:w="516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196"/>
        </w:trPr>
        <w:tc>
          <w:tcPr>
            <w:tcW w:w="5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478</w:t>
            </w:r>
          </w:p>
        </w:tc>
      </w:tr>
      <w:tr>
        <w:trPr>
          <w:trHeight w:val="27"/>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Return on plan assets</w:t>
            </w: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period benefit cost</w:t>
            </w:r>
          </w:p>
        </w:tc>
        <w:tc>
          <w:tcPr>
            <w:tcW w:w="980" w:type="dxa"/>
            <w:vAlign w:val="bottom"/>
            <w:tcBorders>
              <w:top w:val="single" w:sz="8" w:color="auto"/>
            </w:tcBorders>
          </w:tcPr>
          <w:p>
            <w:pPr>
              <w:jc w:val="right"/>
              <w:ind w:right="779"/>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65</w:t>
            </w:r>
          </w:p>
        </w:tc>
      </w:tr>
      <w:tr>
        <w:trPr>
          <w:trHeight w:val="27"/>
        </w:trPr>
        <w:tc>
          <w:tcPr>
            <w:tcW w:w="51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made $0.7 million and $0.6 million of contributions to its defined benefit pension plans during the nine months ended September 30, 2013 and 2012,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Company’s effective tax rate:</w:t>
      </w:r>
    </w:p>
    <w:p>
      <w:pPr>
        <w:spacing w:after="0" w:line="352" w:lineRule="exact"/>
        <w:rPr>
          <w:sz w:val="20"/>
          <w:szCs w:val="20"/>
          <w:color w:val="auto"/>
        </w:rPr>
      </w:pPr>
    </w:p>
    <w:p>
      <w:pPr>
        <w:ind w:left="8720"/>
        <w:spacing w:after="0"/>
        <w:rPr>
          <w:sz w:val="20"/>
          <w:szCs w:val="20"/>
          <w:color w:val="auto"/>
        </w:rPr>
      </w:pPr>
      <w:r>
        <w:rPr>
          <w:rFonts w:ascii="Arial" w:cs="Arial" w:eastAsia="Arial" w:hAnsi="Arial"/>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5219065</wp:posOffset>
            </wp:positionH>
            <wp:positionV relativeFrom="paragraph">
              <wp:posOffset>23495</wp:posOffset>
            </wp:positionV>
            <wp:extent cx="20326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17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rPr>
                <w:sz w:val="16"/>
                <w:szCs w:val="16"/>
                <w:color w:val="auto"/>
              </w:rPr>
            </w:pPr>
          </w:p>
        </w:tc>
      </w:tr>
      <w:tr>
        <w:trPr>
          <w:trHeight w:val="250"/>
        </w:trPr>
        <w:tc>
          <w:tcPr>
            <w:tcW w:w="8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Reported tax rate</w:t>
            </w: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197"/>
        </w:trPr>
        <w:tc>
          <w:tcPr>
            <w:tcW w:w="8220" w:type="dxa"/>
            <w:vAlign w:val="bottom"/>
          </w:tcPr>
          <w:p>
            <w:pPr>
              <w:spacing w:after="0"/>
              <w:rPr>
                <w:sz w:val="17"/>
                <w:szCs w:val="17"/>
                <w:color w:val="auto"/>
              </w:rPr>
            </w:pPr>
          </w:p>
        </w:tc>
        <w:tc>
          <w:tcPr>
            <w:tcW w:w="27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Nine Months Ended September 30,</w:t>
            </w:r>
          </w:p>
        </w:tc>
        <w:tc>
          <w:tcPr>
            <w:tcW w:w="500" w:type="dxa"/>
            <w:vAlign w:val="bottom"/>
            <w:tcBorders>
              <w:bottom w:val="single" w:sz="8" w:color="auto"/>
            </w:tcBorders>
          </w:tcPr>
          <w:p>
            <w:pPr>
              <w:spacing w:after="0"/>
              <w:rPr>
                <w:sz w:val="17"/>
                <w:szCs w:val="17"/>
                <w:color w:val="auto"/>
              </w:rPr>
            </w:pPr>
          </w:p>
        </w:tc>
      </w:tr>
      <w:tr>
        <w:trPr>
          <w:trHeight w:val="264"/>
        </w:trPr>
        <w:tc>
          <w:tcPr>
            <w:tcW w:w="92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17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rPr>
                <w:sz w:val="22"/>
                <w:szCs w:val="22"/>
                <w:color w:val="auto"/>
              </w:rPr>
            </w:pPr>
          </w:p>
        </w:tc>
      </w:tr>
      <w:tr>
        <w:trPr>
          <w:trHeight w:val="243"/>
        </w:trPr>
        <w:tc>
          <w:tcPr>
            <w:tcW w:w="82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Reported tax rate</w:t>
            </w:r>
          </w:p>
        </w:tc>
        <w:tc>
          <w:tcPr>
            <w:tcW w:w="980" w:type="dxa"/>
            <w:vAlign w:val="bottom"/>
            <w:tcBorders>
              <w:top w:val="single" w:sz="8" w:color="auto"/>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23.1%</w:t>
            </w:r>
          </w:p>
        </w:tc>
        <w:tc>
          <w:tcPr>
            <w:tcW w:w="100" w:type="dxa"/>
            <w:vAlign w:val="bottom"/>
            <w:tcBorders>
              <w:top w:val="single" w:sz="8" w:color="CCEEFF"/>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19.8%</w:t>
            </w:r>
          </w:p>
        </w:tc>
      </w:tr>
      <w:tr>
        <w:trPr>
          <w:trHeight w:val="27"/>
        </w:trPr>
        <w:tc>
          <w:tcPr>
            <w:tcW w:w="82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Company’s effective income tax rates for the three months ended September 30, 2013 and 2012 were 18.8% and 7.3%, respectively. For the three months ended September 30, 2013, the increase in the income tax rate compared to the same period in 2012 was primarily the goodwill impairment charge as only a portion of the impairment charge was deductible for tax and lower income within the U.S.-based operations relative to foreign operations, which created a favorable effect on the effective tax rate. The Company also recorded a benefit of $2.3 million for the release of uncertain tax positions and related interest due to the expiration of the statute of limitations, which is offset by an expense of $0.2 million due to additional U.S. tax contingency reserves.</w:t>
      </w:r>
    </w:p>
    <w:p>
      <w:pPr>
        <w:spacing w:after="0" w:line="15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Company's effective income tax rates for the nine months ended September 30, 2013 and 2012 were 23.1% and 19.8%, respectively. For the nine months ended September 30, 2013, the increase in the income tax rate compared to the same period in 2012 primarily resulted from the tax impact of the goodwill impairment and the release of uncertain tax positions.</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expects its effective income tax rate for the full year to be approximately 36.3% resulting largely from the income tax impact associated with the goodwill impairment, offset with foreign earnings taxed at lower tax rates, as well as the expected release of tax contingency reserves. This estimate could be revised in the future as additional information is presented to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INCOME (LOSS)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income per share was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r>
      <w:tr>
        <w:trPr>
          <w:trHeight w:val="256"/>
        </w:trPr>
        <w:tc>
          <w:tcPr>
            <w:tcW w:w="5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980" w:type="dxa"/>
            <w:vAlign w:val="bottom"/>
            <w:gridSpan w:val="5"/>
            <w:shd w:val="clear" w:color="auto" w:fill="CCEEFF"/>
          </w:tcPr>
          <w:p>
            <w:pPr>
              <w:ind w:left="80"/>
              <w:spacing w:after="0"/>
              <w:rPr>
                <w:sz w:val="20"/>
                <w:szCs w:val="20"/>
                <w:color w:val="auto"/>
              </w:rPr>
            </w:pPr>
            <w:r>
              <w:rPr>
                <w:rFonts w:ascii="Arial" w:cs="Arial" w:eastAsia="Arial" w:hAnsi="Arial"/>
                <w:sz w:val="14"/>
                <w:szCs w:val="14"/>
                <w:b w:val="1"/>
                <w:bCs w:val="1"/>
                <w:color w:val="auto"/>
              </w:rPr>
              <w:t>(In thousands, except per share amounts)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Basic net income per share:</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28,418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27,896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28,446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27,855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28,403</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income per common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Diluted net income per share:</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28,418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27,896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28,446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27,855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28,403</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Stock options and restricted stock</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226</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Weighted average common shares for diluted earnings per share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27,896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28,777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27,855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28,629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Diluted net income per common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0.99</w:t>
            </w:r>
          </w:p>
        </w:tc>
      </w:tr>
    </w:tbl>
    <w:p>
      <w:pPr>
        <w:spacing w:after="0" w:line="22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At September 30, 2013 and 2012, the Company had 1.7 million of outstanding stock options. The Company also has warrants outstanding relating to its 2016 Notes at September 30, 2013 and 2012. Stock options, restricted stock and warrants are included in the diluted earnings per share calculation using the treasury stock method, unless the effect of including the stock options would be anti-dilutive. For the three and nine months ended September 30, 2013 all stock options, restricted stock and warrants were excluded in the diluted earnings per share calculation using the treasury stock method because of their anti-</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38"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dilutive effect. For the three and nine months ended September 30, 2012, 1.0 million and 1.2 million of anti-dilutive stock options, respectively, were excluded from the diluted earnings per share calculation.</w:t>
      </w:r>
    </w:p>
    <w:p>
      <w:pPr>
        <w:spacing w:after="0" w:line="166" w:lineRule="exact"/>
        <w:rPr>
          <w:sz w:val="20"/>
          <w:szCs w:val="20"/>
          <w:color w:val="auto"/>
        </w:rPr>
      </w:pPr>
    </w:p>
    <w:p>
      <w:pPr>
        <w:jc w:val="both"/>
        <w:ind w:right="8100" w:firstLine="8"/>
        <w:spacing w:after="0" w:line="453" w:lineRule="auto"/>
        <w:tabs>
          <w:tab w:leader="none" w:pos="27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COMPREHENSIVE (LOSS) INCOME </w:t>
      </w:r>
      <w:r>
        <w:rPr>
          <w:rFonts w:ascii="Arial" w:cs="Arial" w:eastAsia="Arial" w:hAnsi="Arial"/>
          <w:sz w:val="16"/>
          <w:szCs w:val="16"/>
          <w:color w:val="auto"/>
        </w:rPr>
        <w:t>Comprehensive (loss) income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Pr>
          <w:p>
            <w:pPr>
              <w:spacing w:after="0"/>
              <w:rPr>
                <w:sz w:val="16"/>
                <w:szCs w:val="16"/>
                <w:color w:val="auto"/>
              </w:rPr>
            </w:pPr>
          </w:p>
        </w:tc>
        <w:tc>
          <w:tcPr>
            <w:tcW w:w="2620" w:type="dxa"/>
            <w:vAlign w:val="bottom"/>
            <w:gridSpan w:val="4"/>
          </w:tcPr>
          <w:p>
            <w:pPr>
              <w:jc w:val="right"/>
              <w:ind w:right="353"/>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64"/>
        </w:trPr>
        <w:tc>
          <w:tcPr>
            <w:tcW w:w="516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r>
      <w:tr>
        <w:trPr>
          <w:trHeight w:val="196"/>
        </w:trPr>
        <w:tc>
          <w:tcPr>
            <w:tcW w:w="5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(28,550)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13,211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(29,160)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28,418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8,711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4,051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3,288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unrealized gain on derivatives, net of tax</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Pension liability adjustment, net of tax</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(19,860)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17,106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(25,076)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28,016</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Changes in Accumulated Other Comprehensive (Loss) Income by component between December 31, 2012 and September 30, 2013 are presented in the table below, net of tax:</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Gains and Losses</w:t>
            </w:r>
          </w:p>
        </w:tc>
        <w:tc>
          <w:tcPr>
            <w:tcW w:w="140" w:type="dxa"/>
            <w:vAlign w:val="bottom"/>
          </w:tcPr>
          <w:p>
            <w:pPr>
              <w:spacing w:after="0"/>
              <w:rPr>
                <w:sz w:val="14"/>
                <w:szCs w:val="14"/>
                <w:color w:val="auto"/>
              </w:rPr>
            </w:pPr>
          </w:p>
        </w:tc>
        <w:tc>
          <w:tcPr>
            <w:tcW w:w="13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Defined Benefit</w:t>
            </w:r>
          </w:p>
        </w:tc>
        <w:tc>
          <w:tcPr>
            <w:tcW w:w="146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4"/>
              </w:rPr>
              <w:t>Foreign Currency</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on Cash Flow</w:t>
            </w: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6"/>
              </w:rPr>
              <w:t>Hedges</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Pension Items</w:t>
            </w:r>
          </w:p>
        </w:tc>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640"/>
              <w:spacing w:after="0"/>
              <w:rPr>
                <w:sz w:val="20"/>
                <w:szCs w:val="20"/>
                <w:color w:val="auto"/>
              </w:rPr>
            </w:pPr>
            <w:r>
              <w:rPr>
                <w:rFonts w:ascii="Arial" w:cs="Arial" w:eastAsia="Arial" w:hAnsi="Arial"/>
                <w:sz w:val="14"/>
                <w:szCs w:val="14"/>
                <w:b w:val="1"/>
                <w:bCs w:val="1"/>
                <w:color w:val="auto"/>
                <w:w w:val="92"/>
              </w:rPr>
              <w:t>Items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2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2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2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(4,797)</w:t>
            </w:r>
          </w:p>
        </w:tc>
        <w:tc>
          <w:tcPr>
            <w:tcW w:w="0" w:type="dxa"/>
            <w:vAlign w:val="bottom"/>
          </w:tcPr>
          <w:p>
            <w:pPr>
              <w:spacing w:after="0"/>
              <w:rPr>
                <w:sz w:val="1"/>
                <w:szCs w:val="1"/>
                <w:color w:val="auto"/>
              </w:rPr>
            </w:pPr>
          </w:p>
        </w:tc>
      </w:tr>
      <w:tr>
        <w:trPr>
          <w:trHeight w:val="237"/>
        </w:trPr>
        <w:tc>
          <w:tcPr>
            <w:tcW w:w="5500" w:type="dxa"/>
            <w:vAlign w:val="bottom"/>
          </w:tcPr>
          <w:p>
            <w:pPr>
              <w:ind w:left="280"/>
              <w:spacing w:after="0"/>
              <w:rPr>
                <w:sz w:val="20"/>
                <w:szCs w:val="20"/>
                <w:color w:val="auto"/>
              </w:rPr>
            </w:pPr>
            <w:r>
              <w:rPr>
                <w:rFonts w:ascii="Arial" w:cs="Arial" w:eastAsia="Arial" w:hAnsi="Arial"/>
                <w:sz w:val="18"/>
                <w:szCs w:val="18"/>
                <w:color w:val="auto"/>
              </w:rPr>
              <w:t>Other comprehensive income before reclassifications</w:t>
            </w:r>
          </w:p>
        </w:tc>
        <w:tc>
          <w:tcPr>
            <w:tcW w:w="1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3,288</w:t>
            </w:r>
          </w:p>
        </w:tc>
        <w:tc>
          <w:tcPr>
            <w:tcW w:w="2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3,352</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Amounts reclassified from accumulated other comprehensive</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68</w:t>
            </w:r>
          </w:p>
        </w:tc>
        <w:tc>
          <w:tcPr>
            <w:tcW w:w="2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Net current-period other comprehensive income (loss)</w:t>
            </w:r>
          </w:p>
        </w:tc>
        <w:tc>
          <w:tcPr>
            <w:tcW w:w="1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794</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3,288</w:t>
            </w:r>
          </w:p>
        </w:tc>
        <w:tc>
          <w:tcPr>
            <w:tcW w:w="2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4,084</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2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reclassification adjustments out of Accumulated Other Comprehensive (Loss) Income during the three and nine months ended September 30, 2013 were as follows:</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0" w:type="dxa"/>
            <w:vAlign w:val="bottom"/>
          </w:tcPr>
          <w:p>
            <w:pPr>
              <w:jc w:val="center"/>
              <w:ind w:right="217"/>
              <w:spacing w:after="0"/>
              <w:rPr>
                <w:sz w:val="20"/>
                <w:szCs w:val="20"/>
                <w:color w:val="auto"/>
              </w:rPr>
            </w:pPr>
            <w:r>
              <w:rPr>
                <w:rFonts w:ascii="Arial" w:cs="Arial" w:eastAsia="Arial" w:hAnsi="Arial"/>
                <w:sz w:val="14"/>
                <w:szCs w:val="14"/>
                <w:b w:val="1"/>
                <w:bCs w:val="1"/>
                <w:color w:val="auto"/>
                <w:w w:val="92"/>
              </w:rPr>
              <w:t>Three Months Ended September 30, 2013</w:t>
            </w:r>
          </w:p>
        </w:tc>
        <w:tc>
          <w:tcPr>
            <w:tcW w:w="220" w:type="dxa"/>
            <w:vAlign w:val="bottom"/>
          </w:tcPr>
          <w:p>
            <w:pPr>
              <w:spacing w:after="0"/>
              <w:rPr>
                <w:sz w:val="16"/>
                <w:szCs w:val="16"/>
                <w:color w:val="auto"/>
              </w:rPr>
            </w:pPr>
          </w:p>
        </w:tc>
        <w:tc>
          <w:tcPr>
            <w:tcW w:w="3620" w:type="dxa"/>
            <w:vAlign w:val="bottom"/>
          </w:tcPr>
          <w:p>
            <w:pPr>
              <w:spacing w:after="0"/>
              <w:rPr>
                <w:sz w:val="16"/>
                <w:szCs w:val="16"/>
                <w:color w:val="auto"/>
              </w:rPr>
            </w:pPr>
          </w:p>
        </w:tc>
      </w:tr>
      <w:tr>
        <w:trPr>
          <w:trHeight w:val="165"/>
        </w:trPr>
        <w:tc>
          <w:tcPr>
            <w:tcW w:w="3880" w:type="dxa"/>
            <w:vAlign w:val="bottom"/>
            <w:gridSpan w:val="2"/>
          </w:tcPr>
          <w:p>
            <w:pPr>
              <w:ind w:left="40"/>
              <w:spacing w:after="0"/>
              <w:rPr>
                <w:sz w:val="20"/>
                <w:szCs w:val="20"/>
                <w:color w:val="auto"/>
              </w:rPr>
            </w:pPr>
            <w:r>
              <w:rPr>
                <w:rFonts w:ascii="Arial" w:cs="Arial" w:eastAsia="Arial" w:hAnsi="Arial"/>
                <w:sz w:val="14"/>
                <w:szCs w:val="14"/>
                <w:b w:val="1"/>
                <w:bCs w:val="1"/>
                <w:color w:val="auto"/>
                <w:w w:val="99"/>
              </w:rPr>
              <w:t>Details about Accumulated Other Comprehensive Income</w:t>
            </w:r>
          </w:p>
        </w:tc>
        <w:tc>
          <w:tcPr>
            <w:tcW w:w="260" w:type="dxa"/>
            <w:vAlign w:val="bottom"/>
          </w:tcPr>
          <w:p>
            <w:pPr>
              <w:spacing w:after="0"/>
              <w:rPr>
                <w:sz w:val="14"/>
                <w:szCs w:val="14"/>
                <w:color w:val="auto"/>
              </w:rPr>
            </w:pPr>
          </w:p>
        </w:tc>
        <w:tc>
          <w:tcPr>
            <w:tcW w:w="3400" w:type="dxa"/>
            <w:vAlign w:val="bottom"/>
          </w:tcPr>
          <w:p>
            <w:pPr>
              <w:jc w:val="center"/>
              <w:ind w:right="177"/>
              <w:spacing w:after="0"/>
              <w:rPr>
                <w:sz w:val="20"/>
                <w:szCs w:val="20"/>
                <w:color w:val="auto"/>
              </w:rPr>
            </w:pPr>
            <w:r>
              <w:rPr>
                <w:rFonts w:ascii="Arial" w:cs="Arial" w:eastAsia="Arial" w:hAnsi="Arial"/>
                <w:sz w:val="14"/>
                <w:szCs w:val="14"/>
                <w:b w:val="1"/>
                <w:bCs w:val="1"/>
                <w:color w:val="auto"/>
                <w:w w:val="93"/>
              </w:rPr>
              <w:t>Amount Reclassified from Accumulated Other</w:t>
            </w:r>
          </w:p>
        </w:tc>
        <w:tc>
          <w:tcPr>
            <w:tcW w:w="220" w:type="dxa"/>
            <w:vAlign w:val="bottom"/>
          </w:tcPr>
          <w:p>
            <w:pPr>
              <w:spacing w:after="0"/>
              <w:rPr>
                <w:sz w:val="14"/>
                <w:szCs w:val="14"/>
                <w:color w:val="auto"/>
              </w:rPr>
            </w:pPr>
          </w:p>
        </w:tc>
        <w:tc>
          <w:tcPr>
            <w:tcW w:w="3620" w:type="dxa"/>
            <w:vAlign w:val="bottom"/>
          </w:tcPr>
          <w:p>
            <w:pPr>
              <w:ind w:left="140"/>
              <w:spacing w:after="0"/>
              <w:rPr>
                <w:sz w:val="20"/>
                <w:szCs w:val="20"/>
                <w:color w:val="auto"/>
              </w:rPr>
            </w:pPr>
            <w:r>
              <w:rPr>
                <w:rFonts w:ascii="Arial" w:cs="Arial" w:eastAsia="Arial" w:hAnsi="Arial"/>
                <w:sz w:val="14"/>
                <w:szCs w:val="14"/>
                <w:b w:val="1"/>
                <w:bCs w:val="1"/>
                <w:color w:val="auto"/>
                <w:w w:val="96"/>
              </w:rPr>
              <w:t>Affected Line Item in the Statement where Net Income</w:t>
            </w:r>
          </w:p>
        </w:tc>
      </w:tr>
      <w:tr>
        <w:trPr>
          <w:trHeight w:val="192"/>
        </w:trPr>
        <w:tc>
          <w:tcPr>
            <w:tcW w:w="3880" w:type="dxa"/>
            <w:vAlign w:val="bottom"/>
            <w:gridSpan w:val="2"/>
          </w:tcPr>
          <w:p>
            <w:pPr>
              <w:ind w:left="1440"/>
              <w:spacing w:after="0"/>
              <w:rPr>
                <w:sz w:val="20"/>
                <w:szCs w:val="20"/>
                <w:color w:val="auto"/>
              </w:rPr>
            </w:pPr>
            <w:r>
              <w:rPr>
                <w:rFonts w:ascii="Arial" w:cs="Arial" w:eastAsia="Arial" w:hAnsi="Arial"/>
                <w:sz w:val="14"/>
                <w:szCs w:val="14"/>
                <w:b w:val="1"/>
                <w:bCs w:val="1"/>
                <w:color w:val="auto"/>
              </w:rPr>
              <w:t>Components</w:t>
            </w:r>
          </w:p>
        </w:tc>
        <w:tc>
          <w:tcPr>
            <w:tcW w:w="260" w:type="dxa"/>
            <w:vAlign w:val="bottom"/>
          </w:tcPr>
          <w:p>
            <w:pPr>
              <w:spacing w:after="0"/>
              <w:rPr>
                <w:sz w:val="16"/>
                <w:szCs w:val="16"/>
                <w:color w:val="auto"/>
              </w:rPr>
            </w:pPr>
          </w:p>
        </w:tc>
        <w:tc>
          <w:tcPr>
            <w:tcW w:w="3400" w:type="dxa"/>
            <w:vAlign w:val="bottom"/>
          </w:tcPr>
          <w:p>
            <w:pPr>
              <w:jc w:val="center"/>
              <w:ind w:right="177"/>
              <w:spacing w:after="0"/>
              <w:rPr>
                <w:sz w:val="20"/>
                <w:szCs w:val="20"/>
                <w:color w:val="auto"/>
              </w:rPr>
            </w:pPr>
            <w:r>
              <w:rPr>
                <w:rFonts w:ascii="Arial" w:cs="Arial" w:eastAsia="Arial" w:hAnsi="Arial"/>
                <w:sz w:val="14"/>
                <w:szCs w:val="14"/>
                <w:b w:val="1"/>
                <w:bCs w:val="1"/>
                <w:color w:val="auto"/>
                <w:w w:val="92"/>
              </w:rPr>
              <w:t>Comprehensive Income</w:t>
            </w:r>
          </w:p>
        </w:tc>
        <w:tc>
          <w:tcPr>
            <w:tcW w:w="220" w:type="dxa"/>
            <w:vAlign w:val="bottom"/>
          </w:tcPr>
          <w:p>
            <w:pPr>
              <w:spacing w:after="0"/>
              <w:rPr>
                <w:sz w:val="16"/>
                <w:szCs w:val="16"/>
                <w:color w:val="auto"/>
              </w:rPr>
            </w:pPr>
          </w:p>
        </w:tc>
        <w:tc>
          <w:tcPr>
            <w:tcW w:w="3620" w:type="dxa"/>
            <w:vAlign w:val="bottom"/>
          </w:tcPr>
          <w:p>
            <w:pPr>
              <w:ind w:left="1260"/>
              <w:spacing w:after="0"/>
              <w:rPr>
                <w:sz w:val="20"/>
                <w:szCs w:val="20"/>
                <w:color w:val="auto"/>
              </w:rPr>
            </w:pPr>
            <w:r>
              <w:rPr>
                <w:rFonts w:ascii="Arial" w:cs="Arial" w:eastAsia="Arial" w:hAnsi="Arial"/>
                <w:sz w:val="14"/>
                <w:szCs w:val="14"/>
                <w:b w:val="1"/>
                <w:bCs w:val="1"/>
                <w:color w:val="auto"/>
              </w:rPr>
              <w:t>(loss) is Presented</w:t>
            </w:r>
          </w:p>
        </w:tc>
      </w:tr>
      <w:tr>
        <w:trPr>
          <w:trHeight w:val="264"/>
        </w:trPr>
        <w:tc>
          <w:tcPr>
            <w:tcW w:w="364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3400" w:type="dxa"/>
            <w:vAlign w:val="bottom"/>
            <w:tcBorders>
              <w:top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22"/>
                <w:szCs w:val="22"/>
                <w:color w:val="auto"/>
              </w:rPr>
            </w:pPr>
          </w:p>
        </w:tc>
        <w:tc>
          <w:tcPr>
            <w:tcW w:w="3620" w:type="dxa"/>
            <w:vAlign w:val="bottom"/>
            <w:tcBorders>
              <w:top w:val="single" w:sz="8" w:color="auto"/>
            </w:tcBorders>
          </w:tcPr>
          <w:p>
            <w:pPr>
              <w:spacing w:after="0"/>
              <w:rPr>
                <w:sz w:val="22"/>
                <w:szCs w:val="22"/>
                <w:color w:val="auto"/>
              </w:rPr>
            </w:pPr>
          </w:p>
        </w:tc>
      </w:tr>
      <w:tr>
        <w:trPr>
          <w:trHeight w:val="256"/>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Gains and losses on cash flow hedges</w:t>
            </w:r>
          </w:p>
        </w:tc>
        <w:tc>
          <w:tcPr>
            <w:tcW w:w="260" w:type="dxa"/>
            <w:vAlign w:val="bottom"/>
            <w:tcBorders>
              <w:bottom w:val="single" w:sz="8" w:color="CCEEFF"/>
            </w:tcBorders>
            <w:shd w:val="clear" w:color="auto" w:fill="CCEEFF"/>
          </w:tcPr>
          <w:p>
            <w:pPr>
              <w:spacing w:after="0"/>
              <w:rPr>
                <w:sz w:val="22"/>
                <w:szCs w:val="22"/>
                <w:color w:val="auto"/>
              </w:rPr>
            </w:pPr>
          </w:p>
        </w:tc>
        <w:tc>
          <w:tcPr>
            <w:tcW w:w="34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620" w:type="dxa"/>
            <w:vAlign w:val="bottom"/>
            <w:tcBorders>
              <w:bottom w:val="single" w:sz="8" w:color="CCEEFF"/>
            </w:tcBorders>
            <w:shd w:val="clear" w:color="auto" w:fill="CCEEFF"/>
          </w:tcPr>
          <w:p>
            <w:pPr>
              <w:spacing w:after="0"/>
              <w:rPr>
                <w:sz w:val="22"/>
                <w:szCs w:val="22"/>
                <w:color w:val="auto"/>
              </w:rPr>
            </w:pPr>
          </w:p>
        </w:tc>
      </w:tr>
      <w:tr>
        <w:trPr>
          <w:trHeight w:val="243"/>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Interest rate swap</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3400" w:type="dxa"/>
            <w:vAlign w:val="bottom"/>
          </w:tcPr>
          <w:p>
            <w:pPr>
              <w:jc w:val="right"/>
              <w:spacing w:after="0"/>
              <w:rPr>
                <w:sz w:val="20"/>
                <w:szCs w:val="20"/>
                <w:color w:val="auto"/>
              </w:rPr>
            </w:pPr>
            <w:r>
              <w:rPr>
                <w:rFonts w:ascii="Arial" w:cs="Arial" w:eastAsia="Arial" w:hAnsi="Arial"/>
                <w:sz w:val="18"/>
                <w:szCs w:val="18"/>
                <w:color w:val="auto"/>
              </w:rPr>
              <w:t>(483)</w:t>
            </w:r>
          </w:p>
        </w:tc>
        <w:tc>
          <w:tcPr>
            <w:tcW w:w="220" w:type="dxa"/>
            <w:vAlign w:val="bottom"/>
          </w:tcPr>
          <w:p>
            <w:pPr>
              <w:spacing w:after="0"/>
              <w:rPr>
                <w:sz w:val="21"/>
                <w:szCs w:val="21"/>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Interest (expense)</w:t>
            </w:r>
          </w:p>
        </w:tc>
      </w:tr>
      <w:tr>
        <w:trPr>
          <w:trHeight w:val="27"/>
        </w:trPr>
        <w:tc>
          <w:tcPr>
            <w:tcW w:w="3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20" w:type="dxa"/>
            <w:vAlign w:val="bottom"/>
          </w:tcPr>
          <w:p>
            <w:pPr>
              <w:spacing w:after="0"/>
              <w:rPr>
                <w:sz w:val="2"/>
                <w:szCs w:val="2"/>
                <w:color w:val="auto"/>
              </w:rPr>
            </w:pPr>
          </w:p>
        </w:tc>
      </w:tr>
      <w:tr>
        <w:trPr>
          <w:trHeight w:val="270"/>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forwards</w:t>
            </w:r>
          </w:p>
        </w:tc>
        <w:tc>
          <w:tcPr>
            <w:tcW w:w="260" w:type="dxa"/>
            <w:vAlign w:val="bottom"/>
            <w:tcBorders>
              <w:bottom w:val="single" w:sz="8" w:color="CCEEFF"/>
            </w:tcBorders>
            <w:shd w:val="clear" w:color="auto" w:fill="CCEEFF"/>
          </w:tcPr>
          <w:p>
            <w:pPr>
              <w:spacing w:after="0"/>
              <w:rPr>
                <w:sz w:val="23"/>
                <w:szCs w:val="23"/>
                <w:color w:val="auto"/>
              </w:rPr>
            </w:pPr>
          </w:p>
        </w:tc>
        <w:tc>
          <w:tcPr>
            <w:tcW w:w="34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110</w:t>
            </w:r>
          </w:p>
        </w:tc>
        <w:tc>
          <w:tcPr>
            <w:tcW w:w="220" w:type="dxa"/>
            <w:vAlign w:val="bottom"/>
            <w:tcBorders>
              <w:bottom w:val="single" w:sz="8" w:color="CCEEFF"/>
            </w:tcBorders>
            <w:shd w:val="clear" w:color="auto" w:fill="CCEEFF"/>
          </w:tcPr>
          <w:p>
            <w:pPr>
              <w:spacing w:after="0"/>
              <w:rPr>
                <w:sz w:val="23"/>
                <w:szCs w:val="23"/>
                <w:color w:val="auto"/>
              </w:rPr>
            </w:pPr>
          </w:p>
        </w:tc>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r>
      <w:tr>
        <w:trPr>
          <w:trHeight w:val="237"/>
        </w:trPr>
        <w:tc>
          <w:tcPr>
            <w:tcW w:w="3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3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220" w:type="dxa"/>
            <w:vAlign w:val="bottom"/>
          </w:tcPr>
          <w:p>
            <w:pPr>
              <w:spacing w:after="0"/>
              <w:rPr>
                <w:sz w:val="20"/>
                <w:szCs w:val="20"/>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Total before tax</w:t>
            </w:r>
          </w:p>
        </w:tc>
      </w:tr>
      <w:tr>
        <w:trPr>
          <w:trHeight w:val="27"/>
        </w:trPr>
        <w:tc>
          <w:tcPr>
            <w:tcW w:w="3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20" w:type="dxa"/>
            <w:vAlign w:val="bottom"/>
          </w:tcPr>
          <w:p>
            <w:pPr>
              <w:spacing w:after="0"/>
              <w:rPr>
                <w:sz w:val="2"/>
                <w:szCs w:val="2"/>
                <w:color w:val="auto"/>
              </w:rPr>
            </w:pPr>
          </w:p>
        </w:tc>
      </w:tr>
      <w:tr>
        <w:trPr>
          <w:trHeight w:val="270"/>
        </w:trPr>
        <w:tc>
          <w:tcPr>
            <w:tcW w:w="36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34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160</w:t>
            </w:r>
          </w:p>
        </w:tc>
        <w:tc>
          <w:tcPr>
            <w:tcW w:w="220" w:type="dxa"/>
            <w:vAlign w:val="bottom"/>
            <w:tcBorders>
              <w:bottom w:val="single" w:sz="8" w:color="CCEEFF"/>
            </w:tcBorders>
            <w:shd w:val="clear" w:color="auto" w:fill="CCEEFF"/>
          </w:tcPr>
          <w:p>
            <w:pPr>
              <w:spacing w:after="0"/>
              <w:rPr>
                <w:sz w:val="23"/>
                <w:szCs w:val="23"/>
                <w:color w:val="auto"/>
              </w:rPr>
            </w:pPr>
          </w:p>
        </w:tc>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(expense) or benefit</w:t>
            </w:r>
          </w:p>
        </w:tc>
      </w:tr>
      <w:tr>
        <w:trPr>
          <w:trHeight w:val="257"/>
        </w:trPr>
        <w:tc>
          <w:tcPr>
            <w:tcW w:w="3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3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220" w:type="dxa"/>
            <w:vAlign w:val="bottom"/>
          </w:tcPr>
          <w:p>
            <w:pPr>
              <w:spacing w:after="0"/>
              <w:rPr>
                <w:sz w:val="22"/>
                <w:szCs w:val="22"/>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Net of tax</w:t>
            </w:r>
          </w:p>
        </w:tc>
      </w:tr>
      <w:tr>
        <w:trPr>
          <w:trHeight w:val="20"/>
        </w:trPr>
        <w:tc>
          <w:tcPr>
            <w:tcW w:w="3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r>
        <w:trPr>
          <w:trHeight w:val="662"/>
        </w:trPr>
        <w:tc>
          <w:tcPr>
            <w:tcW w:w="3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Pr>
          <w:p>
            <w:pPr>
              <w:jc w:val="center"/>
              <w:ind w:right="217"/>
              <w:spacing w:after="0"/>
              <w:rPr>
                <w:sz w:val="20"/>
                <w:szCs w:val="20"/>
                <w:color w:val="auto"/>
              </w:rPr>
            </w:pPr>
            <w:r>
              <w:rPr>
                <w:rFonts w:ascii="Arial" w:cs="Arial" w:eastAsia="Arial" w:hAnsi="Arial"/>
                <w:sz w:val="18"/>
                <w:szCs w:val="18"/>
                <w:color w:val="auto"/>
                <w:w w:val="89"/>
              </w:rPr>
              <w:t>16</w:t>
            </w:r>
          </w:p>
        </w:tc>
        <w:tc>
          <w:tcPr>
            <w:tcW w:w="220" w:type="dxa"/>
            <w:vAlign w:val="bottom"/>
          </w:tcPr>
          <w:p>
            <w:pPr>
              <w:spacing w:after="0"/>
              <w:rPr>
                <w:sz w:val="24"/>
                <w:szCs w:val="24"/>
                <w:color w:val="auto"/>
              </w:rPr>
            </w:pPr>
          </w:p>
        </w:tc>
        <w:tc>
          <w:tcPr>
            <w:tcW w:w="36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0" w:type="dxa"/>
            <w:vAlign w:val="bottom"/>
          </w:tcPr>
          <w:p>
            <w:pPr>
              <w:jc w:val="center"/>
              <w:ind w:right="218"/>
              <w:spacing w:after="0"/>
              <w:rPr>
                <w:sz w:val="20"/>
                <w:szCs w:val="20"/>
                <w:color w:val="auto"/>
              </w:rPr>
            </w:pPr>
            <w:r>
              <w:rPr>
                <w:rFonts w:ascii="Arial" w:cs="Arial" w:eastAsia="Arial" w:hAnsi="Arial"/>
                <w:sz w:val="14"/>
                <w:szCs w:val="14"/>
                <w:b w:val="1"/>
                <w:bCs w:val="1"/>
                <w:color w:val="auto"/>
                <w:w w:val="92"/>
              </w:rPr>
              <w:t>Nine Months Ended September 30, 2013</w:t>
            </w:r>
          </w:p>
        </w:tc>
        <w:tc>
          <w:tcPr>
            <w:tcW w:w="220" w:type="dxa"/>
            <w:vAlign w:val="bottom"/>
          </w:tcPr>
          <w:p>
            <w:pPr>
              <w:spacing w:after="0"/>
              <w:rPr>
                <w:sz w:val="16"/>
                <w:szCs w:val="16"/>
                <w:color w:val="auto"/>
              </w:rPr>
            </w:pPr>
          </w:p>
        </w:tc>
        <w:tc>
          <w:tcPr>
            <w:tcW w:w="3620" w:type="dxa"/>
            <w:vAlign w:val="bottom"/>
          </w:tcPr>
          <w:p>
            <w:pPr>
              <w:spacing w:after="0"/>
              <w:rPr>
                <w:sz w:val="16"/>
                <w:szCs w:val="16"/>
                <w:color w:val="auto"/>
              </w:rPr>
            </w:pPr>
          </w:p>
        </w:tc>
      </w:tr>
      <w:tr>
        <w:trPr>
          <w:trHeight w:val="165"/>
        </w:trPr>
        <w:tc>
          <w:tcPr>
            <w:tcW w:w="3880" w:type="dxa"/>
            <w:vAlign w:val="bottom"/>
            <w:gridSpan w:val="2"/>
          </w:tcPr>
          <w:p>
            <w:pPr>
              <w:ind w:left="40"/>
              <w:spacing w:after="0"/>
              <w:rPr>
                <w:sz w:val="20"/>
                <w:szCs w:val="20"/>
                <w:color w:val="auto"/>
              </w:rPr>
            </w:pPr>
            <w:r>
              <w:rPr>
                <w:rFonts w:ascii="Arial" w:cs="Arial" w:eastAsia="Arial" w:hAnsi="Arial"/>
                <w:sz w:val="14"/>
                <w:szCs w:val="14"/>
                <w:b w:val="1"/>
                <w:bCs w:val="1"/>
                <w:color w:val="auto"/>
                <w:w w:val="99"/>
              </w:rPr>
              <w:t>Details about Accumulated Other Comprehensive Income</w:t>
            </w:r>
          </w:p>
        </w:tc>
        <w:tc>
          <w:tcPr>
            <w:tcW w:w="260" w:type="dxa"/>
            <w:vAlign w:val="bottom"/>
          </w:tcPr>
          <w:p>
            <w:pPr>
              <w:spacing w:after="0"/>
              <w:rPr>
                <w:sz w:val="14"/>
                <w:szCs w:val="14"/>
                <w:color w:val="auto"/>
              </w:rPr>
            </w:pPr>
          </w:p>
        </w:tc>
        <w:tc>
          <w:tcPr>
            <w:tcW w:w="3400" w:type="dxa"/>
            <w:vAlign w:val="bottom"/>
          </w:tcPr>
          <w:p>
            <w:pPr>
              <w:jc w:val="center"/>
              <w:ind w:right="178"/>
              <w:spacing w:after="0"/>
              <w:rPr>
                <w:sz w:val="20"/>
                <w:szCs w:val="20"/>
                <w:color w:val="auto"/>
              </w:rPr>
            </w:pPr>
            <w:r>
              <w:rPr>
                <w:rFonts w:ascii="Arial" w:cs="Arial" w:eastAsia="Arial" w:hAnsi="Arial"/>
                <w:sz w:val="14"/>
                <w:szCs w:val="14"/>
                <w:b w:val="1"/>
                <w:bCs w:val="1"/>
                <w:color w:val="auto"/>
                <w:w w:val="93"/>
              </w:rPr>
              <w:t>Amount Reclassified from Accumulated Other</w:t>
            </w:r>
          </w:p>
        </w:tc>
        <w:tc>
          <w:tcPr>
            <w:tcW w:w="220" w:type="dxa"/>
            <w:vAlign w:val="bottom"/>
          </w:tcPr>
          <w:p>
            <w:pPr>
              <w:spacing w:after="0"/>
              <w:rPr>
                <w:sz w:val="14"/>
                <w:szCs w:val="14"/>
                <w:color w:val="auto"/>
              </w:rPr>
            </w:pPr>
          </w:p>
        </w:tc>
        <w:tc>
          <w:tcPr>
            <w:tcW w:w="3620" w:type="dxa"/>
            <w:vAlign w:val="bottom"/>
          </w:tcPr>
          <w:p>
            <w:pPr>
              <w:ind w:left="140"/>
              <w:spacing w:after="0"/>
              <w:rPr>
                <w:sz w:val="20"/>
                <w:szCs w:val="20"/>
                <w:color w:val="auto"/>
              </w:rPr>
            </w:pPr>
            <w:r>
              <w:rPr>
                <w:rFonts w:ascii="Arial" w:cs="Arial" w:eastAsia="Arial" w:hAnsi="Arial"/>
                <w:sz w:val="14"/>
                <w:szCs w:val="14"/>
                <w:b w:val="1"/>
                <w:bCs w:val="1"/>
                <w:color w:val="auto"/>
                <w:w w:val="96"/>
              </w:rPr>
              <w:t>Affected Line Item in the Statement where Net Income</w:t>
            </w:r>
          </w:p>
        </w:tc>
      </w:tr>
      <w:tr>
        <w:trPr>
          <w:trHeight w:val="192"/>
        </w:trPr>
        <w:tc>
          <w:tcPr>
            <w:tcW w:w="3880" w:type="dxa"/>
            <w:vAlign w:val="bottom"/>
            <w:gridSpan w:val="2"/>
          </w:tcPr>
          <w:p>
            <w:pPr>
              <w:ind w:left="1440"/>
              <w:spacing w:after="0"/>
              <w:rPr>
                <w:sz w:val="20"/>
                <w:szCs w:val="20"/>
                <w:color w:val="auto"/>
              </w:rPr>
            </w:pPr>
            <w:r>
              <w:rPr>
                <w:rFonts w:ascii="Arial" w:cs="Arial" w:eastAsia="Arial" w:hAnsi="Arial"/>
                <w:sz w:val="14"/>
                <w:szCs w:val="14"/>
                <w:b w:val="1"/>
                <w:bCs w:val="1"/>
                <w:color w:val="auto"/>
              </w:rPr>
              <w:t>Components</w:t>
            </w:r>
          </w:p>
        </w:tc>
        <w:tc>
          <w:tcPr>
            <w:tcW w:w="260" w:type="dxa"/>
            <w:vAlign w:val="bottom"/>
          </w:tcPr>
          <w:p>
            <w:pPr>
              <w:spacing w:after="0"/>
              <w:rPr>
                <w:sz w:val="16"/>
                <w:szCs w:val="16"/>
                <w:color w:val="auto"/>
              </w:rPr>
            </w:pPr>
          </w:p>
        </w:tc>
        <w:tc>
          <w:tcPr>
            <w:tcW w:w="3400" w:type="dxa"/>
            <w:vAlign w:val="bottom"/>
          </w:tcPr>
          <w:p>
            <w:pPr>
              <w:jc w:val="center"/>
              <w:ind w:right="178"/>
              <w:spacing w:after="0"/>
              <w:rPr>
                <w:sz w:val="20"/>
                <w:szCs w:val="20"/>
                <w:color w:val="auto"/>
              </w:rPr>
            </w:pPr>
            <w:r>
              <w:rPr>
                <w:rFonts w:ascii="Arial" w:cs="Arial" w:eastAsia="Arial" w:hAnsi="Arial"/>
                <w:sz w:val="14"/>
                <w:szCs w:val="14"/>
                <w:b w:val="1"/>
                <w:bCs w:val="1"/>
                <w:color w:val="auto"/>
                <w:w w:val="92"/>
              </w:rPr>
              <w:t>Comprehensive Income</w:t>
            </w:r>
          </w:p>
        </w:tc>
        <w:tc>
          <w:tcPr>
            <w:tcW w:w="220" w:type="dxa"/>
            <w:vAlign w:val="bottom"/>
          </w:tcPr>
          <w:p>
            <w:pPr>
              <w:spacing w:after="0"/>
              <w:rPr>
                <w:sz w:val="16"/>
                <w:szCs w:val="16"/>
                <w:color w:val="auto"/>
              </w:rPr>
            </w:pPr>
          </w:p>
        </w:tc>
        <w:tc>
          <w:tcPr>
            <w:tcW w:w="3620" w:type="dxa"/>
            <w:vAlign w:val="bottom"/>
          </w:tcPr>
          <w:p>
            <w:pPr>
              <w:ind w:left="1260"/>
              <w:spacing w:after="0"/>
              <w:rPr>
                <w:sz w:val="20"/>
                <w:szCs w:val="20"/>
                <w:color w:val="auto"/>
              </w:rPr>
            </w:pPr>
            <w:r>
              <w:rPr>
                <w:rFonts w:ascii="Arial" w:cs="Arial" w:eastAsia="Arial" w:hAnsi="Arial"/>
                <w:sz w:val="14"/>
                <w:szCs w:val="14"/>
                <w:b w:val="1"/>
                <w:bCs w:val="1"/>
                <w:color w:val="auto"/>
              </w:rPr>
              <w:t>(loss) is Presented</w:t>
            </w:r>
          </w:p>
        </w:tc>
      </w:tr>
      <w:tr>
        <w:trPr>
          <w:trHeight w:val="264"/>
        </w:trPr>
        <w:tc>
          <w:tcPr>
            <w:tcW w:w="364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3400" w:type="dxa"/>
            <w:vAlign w:val="bottom"/>
            <w:tcBorders>
              <w:top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22"/>
                <w:szCs w:val="22"/>
                <w:color w:val="auto"/>
              </w:rPr>
            </w:pPr>
          </w:p>
        </w:tc>
        <w:tc>
          <w:tcPr>
            <w:tcW w:w="3620" w:type="dxa"/>
            <w:vAlign w:val="bottom"/>
            <w:tcBorders>
              <w:top w:val="single" w:sz="8" w:color="auto"/>
            </w:tcBorders>
          </w:tcPr>
          <w:p>
            <w:pPr>
              <w:spacing w:after="0"/>
              <w:rPr>
                <w:sz w:val="22"/>
                <w:szCs w:val="22"/>
                <w:color w:val="auto"/>
              </w:rPr>
            </w:pPr>
          </w:p>
        </w:tc>
      </w:tr>
      <w:tr>
        <w:trPr>
          <w:trHeight w:val="256"/>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Gains and losses on cash flow hedges</w:t>
            </w:r>
          </w:p>
        </w:tc>
        <w:tc>
          <w:tcPr>
            <w:tcW w:w="260" w:type="dxa"/>
            <w:vAlign w:val="bottom"/>
            <w:tcBorders>
              <w:bottom w:val="single" w:sz="8" w:color="CCEEFF"/>
            </w:tcBorders>
            <w:shd w:val="clear" w:color="auto" w:fill="CCEEFF"/>
          </w:tcPr>
          <w:p>
            <w:pPr>
              <w:spacing w:after="0"/>
              <w:rPr>
                <w:sz w:val="22"/>
                <w:szCs w:val="22"/>
                <w:color w:val="auto"/>
              </w:rPr>
            </w:pPr>
          </w:p>
        </w:tc>
        <w:tc>
          <w:tcPr>
            <w:tcW w:w="34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620" w:type="dxa"/>
            <w:vAlign w:val="bottom"/>
            <w:tcBorders>
              <w:bottom w:val="single" w:sz="8" w:color="CCEEFF"/>
            </w:tcBorders>
            <w:shd w:val="clear" w:color="auto" w:fill="CCEEFF"/>
          </w:tcPr>
          <w:p>
            <w:pPr>
              <w:spacing w:after="0"/>
              <w:rPr>
                <w:sz w:val="22"/>
                <w:szCs w:val="22"/>
                <w:color w:val="auto"/>
              </w:rPr>
            </w:pPr>
          </w:p>
        </w:tc>
      </w:tr>
      <w:tr>
        <w:trPr>
          <w:trHeight w:val="243"/>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Interest rate swap</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3400" w:type="dxa"/>
            <w:vAlign w:val="bottom"/>
          </w:tcPr>
          <w:p>
            <w:pPr>
              <w:jc w:val="right"/>
              <w:spacing w:after="0"/>
              <w:rPr>
                <w:sz w:val="20"/>
                <w:szCs w:val="20"/>
                <w:color w:val="auto"/>
              </w:rPr>
            </w:pPr>
            <w:r>
              <w:rPr>
                <w:rFonts w:ascii="Arial" w:cs="Arial" w:eastAsia="Arial" w:hAnsi="Arial"/>
                <w:sz w:val="18"/>
                <w:szCs w:val="18"/>
                <w:color w:val="auto"/>
              </w:rPr>
              <w:t>(1,479)</w:t>
            </w:r>
          </w:p>
        </w:tc>
        <w:tc>
          <w:tcPr>
            <w:tcW w:w="220" w:type="dxa"/>
            <w:vAlign w:val="bottom"/>
          </w:tcPr>
          <w:p>
            <w:pPr>
              <w:spacing w:after="0"/>
              <w:rPr>
                <w:sz w:val="21"/>
                <w:szCs w:val="21"/>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Interest (expense)</w:t>
            </w:r>
          </w:p>
        </w:tc>
      </w:tr>
      <w:tr>
        <w:trPr>
          <w:trHeight w:val="27"/>
        </w:trPr>
        <w:tc>
          <w:tcPr>
            <w:tcW w:w="3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20" w:type="dxa"/>
            <w:vAlign w:val="bottom"/>
          </w:tcPr>
          <w:p>
            <w:pPr>
              <w:spacing w:after="0"/>
              <w:rPr>
                <w:sz w:val="2"/>
                <w:szCs w:val="2"/>
                <w:color w:val="auto"/>
              </w:rPr>
            </w:pPr>
          </w:p>
        </w:tc>
      </w:tr>
      <w:tr>
        <w:trPr>
          <w:trHeight w:val="270"/>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forwards</w:t>
            </w:r>
          </w:p>
        </w:tc>
        <w:tc>
          <w:tcPr>
            <w:tcW w:w="260" w:type="dxa"/>
            <w:vAlign w:val="bottom"/>
            <w:tcBorders>
              <w:bottom w:val="single" w:sz="8" w:color="CCEEFF"/>
            </w:tcBorders>
            <w:shd w:val="clear" w:color="auto" w:fill="CCEEFF"/>
          </w:tcPr>
          <w:p>
            <w:pPr>
              <w:spacing w:after="0"/>
              <w:rPr>
                <w:sz w:val="23"/>
                <w:szCs w:val="23"/>
                <w:color w:val="auto"/>
              </w:rPr>
            </w:pPr>
          </w:p>
        </w:tc>
        <w:tc>
          <w:tcPr>
            <w:tcW w:w="34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75</w:t>
            </w:r>
          </w:p>
        </w:tc>
        <w:tc>
          <w:tcPr>
            <w:tcW w:w="220" w:type="dxa"/>
            <w:vAlign w:val="bottom"/>
            <w:tcBorders>
              <w:bottom w:val="single" w:sz="8" w:color="CCEEFF"/>
            </w:tcBorders>
            <w:shd w:val="clear" w:color="auto" w:fill="CCEEFF"/>
          </w:tcPr>
          <w:p>
            <w:pPr>
              <w:spacing w:after="0"/>
              <w:rPr>
                <w:sz w:val="23"/>
                <w:szCs w:val="23"/>
                <w:color w:val="auto"/>
              </w:rPr>
            </w:pPr>
          </w:p>
        </w:tc>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r>
      <w:tr>
        <w:trPr>
          <w:trHeight w:val="237"/>
        </w:trPr>
        <w:tc>
          <w:tcPr>
            <w:tcW w:w="3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3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(1,404)</w:t>
            </w:r>
          </w:p>
        </w:tc>
        <w:tc>
          <w:tcPr>
            <w:tcW w:w="220" w:type="dxa"/>
            <w:vAlign w:val="bottom"/>
          </w:tcPr>
          <w:p>
            <w:pPr>
              <w:spacing w:after="0"/>
              <w:rPr>
                <w:sz w:val="20"/>
                <w:szCs w:val="20"/>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Total before tax</w:t>
            </w:r>
          </w:p>
        </w:tc>
      </w:tr>
      <w:tr>
        <w:trPr>
          <w:trHeight w:val="27"/>
        </w:trPr>
        <w:tc>
          <w:tcPr>
            <w:tcW w:w="3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20" w:type="dxa"/>
            <w:vAlign w:val="bottom"/>
          </w:tcPr>
          <w:p>
            <w:pPr>
              <w:spacing w:after="0"/>
              <w:rPr>
                <w:sz w:val="2"/>
                <w:szCs w:val="2"/>
                <w:color w:val="auto"/>
              </w:rPr>
            </w:pPr>
          </w:p>
        </w:tc>
      </w:tr>
      <w:tr>
        <w:trPr>
          <w:trHeight w:val="270"/>
        </w:trPr>
        <w:tc>
          <w:tcPr>
            <w:tcW w:w="36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34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604</w:t>
            </w:r>
          </w:p>
        </w:tc>
        <w:tc>
          <w:tcPr>
            <w:tcW w:w="220" w:type="dxa"/>
            <w:vAlign w:val="bottom"/>
            <w:tcBorders>
              <w:bottom w:val="single" w:sz="8" w:color="CCEEFF"/>
            </w:tcBorders>
            <w:shd w:val="clear" w:color="auto" w:fill="CCEEFF"/>
          </w:tcPr>
          <w:p>
            <w:pPr>
              <w:spacing w:after="0"/>
              <w:rPr>
                <w:sz w:val="23"/>
                <w:szCs w:val="23"/>
                <w:color w:val="auto"/>
              </w:rPr>
            </w:pPr>
          </w:p>
        </w:tc>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(expense) or benefit</w:t>
            </w:r>
          </w:p>
        </w:tc>
      </w:tr>
      <w:tr>
        <w:trPr>
          <w:trHeight w:val="257"/>
        </w:trPr>
        <w:tc>
          <w:tcPr>
            <w:tcW w:w="3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3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220" w:type="dxa"/>
            <w:vAlign w:val="bottom"/>
          </w:tcPr>
          <w:p>
            <w:pPr>
              <w:spacing w:after="0"/>
              <w:rPr>
                <w:sz w:val="22"/>
                <w:szCs w:val="22"/>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Net of tax</w:t>
            </w:r>
          </w:p>
        </w:tc>
      </w:tr>
      <w:tr>
        <w:trPr>
          <w:trHeight w:val="20"/>
        </w:trPr>
        <w:tc>
          <w:tcPr>
            <w:tcW w:w="3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AND GEOGRAPHIC INFORMATION</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Company internally manages and reports the results of its businesses to its chief operating decision maker through five reportable segments. The five reportable segments are U.S. Neurosurgery, U.S. Instruments, U.S. Extremities, U.S. Spine and Other, and International. The U.S. Neurosurgery segment sells a full line of products specifically for neurosurgery and critical care such as tissue ablation equipment, dural repair products, cerebral spinal fluid management devices, intracranial monitoring equipment, and cranial stabilization equipment. The U.S. Instruments business sells more than 60,000 instrument patterns and surgical and lighting products to hospitals, surgery centers, and dental, podiatry, and veterinary offices. The U.S. Extremities segment includes the U.S. Extremity reconstruction business, which includes such offerings as skin and wound repair, bone and joint fixation, implants in the upper and lower extremities, bone grafts and nerve and tendon repair. The U.S. Spine and Other segment includes (i) the U.S. Spine business, which focuses on spinal fusion, spinal implants, and deformity correction, together with bone graft substitutes and other related medical devices that are used to enhance the repair and regeneration of bone in various types of orthopedic surgical procedures, and (ii) the Private Label business, which sells the Company’s regenerative medicine and other products to strategic partners. The International segment sells similar products to those discussed above, but are managed through the following geographies: (i) Europe, Middle East and Africa, and (ii) Central/South America, Asia-Pacific and Canada. The Corporate and other category includes</w:t>
      </w:r>
    </w:p>
    <w:p>
      <w:pPr>
        <w:spacing w:after="0" w:line="5" w:lineRule="exact"/>
        <w:rPr>
          <w:sz w:val="20"/>
          <w:szCs w:val="20"/>
          <w:color w:val="auto"/>
        </w:rPr>
      </w:pPr>
    </w:p>
    <w:p>
      <w:pPr>
        <w:ind w:right="400" w:firstLine="8"/>
        <w:spacing w:after="0" w:line="261" w:lineRule="auto"/>
        <w:tabs>
          <w:tab w:leader="none" w:pos="2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various legal, finance, executive, and human resource functions, (ii) brand management, (iii) share-based compensation costs, and (iv) costs related to procurement, manufacturing operations and logistics for the Company’s entire organization.</w:t>
      </w:r>
    </w:p>
    <w:p>
      <w:pPr>
        <w:spacing w:after="0" w:line="184"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The operating results of the various reportable segments as presented are not comparable to one another because (i) certain operating segments are more dependent than others on corporate functions for unallocated general and administrative and/or operational manufacturing functions, and (ii) the Company does not allocate certain manufacturing costs and general and administrative costs to the operating segment results.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Net sales and profit by reportable segment for the three and nine months ended September 30, 2013 and 2012 are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60" w:type="dxa"/>
            <w:vAlign w:val="bottom"/>
          </w:tcPr>
          <w:p>
            <w:pPr>
              <w:spacing w:after="0"/>
              <w:rPr>
                <w:sz w:val="16"/>
                <w:szCs w:val="16"/>
                <w:color w:val="auto"/>
              </w:rPr>
            </w:pPr>
          </w:p>
        </w:tc>
        <w:tc>
          <w:tcPr>
            <w:tcW w:w="2480" w:type="dxa"/>
            <w:vAlign w:val="bottom"/>
            <w:gridSpan w:val="6"/>
          </w:tcPr>
          <w:p>
            <w:pPr>
              <w:ind w:left="80"/>
              <w:spacing w:after="0"/>
              <w:rPr>
                <w:sz w:val="20"/>
                <w:szCs w:val="20"/>
                <w:color w:val="auto"/>
              </w:rPr>
            </w:pPr>
            <w:r>
              <w:rPr>
                <w:rFonts w:ascii="Arial" w:cs="Arial" w:eastAsia="Arial" w:hAnsi="Arial"/>
                <w:sz w:val="14"/>
                <w:szCs w:val="14"/>
                <w:b w:val="1"/>
                <w:bCs w:val="1"/>
                <w:color w:val="auto"/>
                <w:w w:val="99"/>
              </w:rPr>
              <w:t>Three Months Ended September 30,</w:t>
            </w:r>
          </w:p>
        </w:tc>
        <w:tc>
          <w:tcPr>
            <w:tcW w:w="120" w:type="dxa"/>
            <w:vAlign w:val="bottom"/>
          </w:tcPr>
          <w:p>
            <w:pPr>
              <w:spacing w:after="0"/>
              <w:rPr>
                <w:sz w:val="16"/>
                <w:szCs w:val="16"/>
                <w:color w:val="auto"/>
              </w:rPr>
            </w:pPr>
          </w:p>
        </w:tc>
        <w:tc>
          <w:tcPr>
            <w:tcW w:w="2220" w:type="dxa"/>
            <w:vAlign w:val="bottom"/>
            <w:gridSpan w:val="4"/>
          </w:tcPr>
          <w:p>
            <w:pPr>
              <w:jc w:val="right"/>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264"/>
        </w:trPr>
        <w:tc>
          <w:tcPr>
            <w:tcW w:w="646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6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80" w:type="dxa"/>
            <w:vAlign w:val="bottom"/>
            <w:gridSpan w:val="5"/>
          </w:tcPr>
          <w:p>
            <w:pPr>
              <w:ind w:left="46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Segment Net Sales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460" w:type="dxa"/>
            <w:vAlign w:val="bottom"/>
          </w:tcPr>
          <w:p>
            <w:pPr>
              <w:ind w:left="380"/>
              <w:spacing w:after="0"/>
              <w:rPr>
                <w:sz w:val="20"/>
                <w:szCs w:val="20"/>
                <w:color w:val="auto"/>
              </w:rPr>
            </w:pPr>
            <w:r>
              <w:rPr>
                <w:rFonts w:ascii="Arial" w:cs="Arial" w:eastAsia="Arial" w:hAnsi="Arial"/>
                <w:sz w:val="18"/>
                <w:szCs w:val="18"/>
                <w:color w:val="auto"/>
              </w:rPr>
              <w:t>U.S. Neurosurgery</w:t>
            </w:r>
          </w:p>
        </w:tc>
        <w:tc>
          <w:tcPr>
            <w:tcW w:w="260" w:type="dxa"/>
            <w:vAlign w:val="bottom"/>
          </w:tcPr>
          <w:p>
            <w:pPr>
              <w:jc w:val="right"/>
              <w:ind w:right="74"/>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45,114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43,269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125,877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125,776</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Instruments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41,469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118,737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120,732</w:t>
            </w:r>
          </w:p>
        </w:tc>
        <w:tc>
          <w:tcPr>
            <w:tcW w:w="0" w:type="dxa"/>
            <w:vAlign w:val="bottom"/>
          </w:tcPr>
          <w:p>
            <w:pPr>
              <w:spacing w:after="0"/>
              <w:rPr>
                <w:sz w:val="1"/>
                <w:szCs w:val="1"/>
                <w:color w:val="auto"/>
              </w:rPr>
            </w:pPr>
          </w:p>
        </w:tc>
      </w:tr>
      <w:tr>
        <w:trPr>
          <w:trHeight w:val="243"/>
        </w:trPr>
        <w:tc>
          <w:tcPr>
            <w:tcW w:w="6460" w:type="dxa"/>
            <w:vAlign w:val="bottom"/>
          </w:tcPr>
          <w:p>
            <w:pPr>
              <w:ind w:left="380"/>
              <w:spacing w:after="0"/>
              <w:rPr>
                <w:sz w:val="20"/>
                <w:szCs w:val="20"/>
                <w:color w:val="auto"/>
              </w:rPr>
            </w:pPr>
            <w:r>
              <w:rPr>
                <w:rFonts w:ascii="Arial" w:cs="Arial" w:eastAsia="Arial" w:hAnsi="Arial"/>
                <w:sz w:val="18"/>
                <w:szCs w:val="18"/>
                <w:color w:val="auto"/>
              </w:rPr>
              <w:t>U.S. Extremities</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33,541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32,961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98,440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91,596</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Spine and Other</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49,188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133,414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142,821</w:t>
            </w:r>
          </w:p>
        </w:tc>
        <w:tc>
          <w:tcPr>
            <w:tcW w:w="0" w:type="dxa"/>
            <w:vAlign w:val="bottom"/>
          </w:tcPr>
          <w:p>
            <w:pPr>
              <w:spacing w:after="0"/>
              <w:rPr>
                <w:sz w:val="1"/>
                <w:szCs w:val="1"/>
                <w:color w:val="auto"/>
              </w:rPr>
            </w:pPr>
          </w:p>
        </w:tc>
      </w:tr>
      <w:tr>
        <w:trPr>
          <w:trHeight w:val="243"/>
        </w:trPr>
        <w:tc>
          <w:tcPr>
            <w:tcW w:w="6460" w:type="dxa"/>
            <w:vAlign w:val="bottom"/>
          </w:tcPr>
          <w:p>
            <w:pPr>
              <w:ind w:left="380"/>
              <w:spacing w:after="0"/>
              <w:rPr>
                <w:sz w:val="20"/>
                <w:szCs w:val="20"/>
                <w:color w:val="auto"/>
              </w:rPr>
            </w:pPr>
            <w:r>
              <w:rPr>
                <w:rFonts w:ascii="Arial" w:cs="Arial" w:eastAsia="Arial" w:hAnsi="Arial"/>
                <w:sz w:val="18"/>
                <w:szCs w:val="18"/>
                <w:color w:val="auto"/>
              </w:rPr>
              <w:t>International</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45,889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43,197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138,977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135,514</w:t>
            </w:r>
          </w:p>
        </w:tc>
        <w:tc>
          <w:tcPr>
            <w:tcW w:w="0" w:type="dxa"/>
            <w:vAlign w:val="bottom"/>
          </w:tcPr>
          <w:p>
            <w:pPr>
              <w:spacing w:after="0"/>
              <w:rPr>
                <w:sz w:val="1"/>
                <w:szCs w:val="1"/>
                <w:color w:val="auto"/>
              </w:rPr>
            </w:pPr>
          </w:p>
        </w:tc>
      </w:tr>
      <w:tr>
        <w:trPr>
          <w:trHeight w:val="27"/>
        </w:trPr>
        <w:tc>
          <w:tcPr>
            <w:tcW w:w="6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213,246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210,084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615,445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616,439</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Segment Profit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Neurosurgery</w:t>
            </w: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23,201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59,770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66,247</w:t>
            </w:r>
          </w:p>
        </w:tc>
        <w:tc>
          <w:tcPr>
            <w:tcW w:w="0" w:type="dxa"/>
            <w:vAlign w:val="bottom"/>
          </w:tcPr>
          <w:p>
            <w:pPr>
              <w:spacing w:after="0"/>
              <w:rPr>
                <w:sz w:val="1"/>
                <w:szCs w:val="1"/>
                <w:color w:val="auto"/>
              </w:rPr>
            </w:pPr>
          </w:p>
        </w:tc>
      </w:tr>
      <w:tr>
        <w:trPr>
          <w:trHeight w:val="243"/>
        </w:trPr>
        <w:tc>
          <w:tcPr>
            <w:tcW w:w="6460" w:type="dxa"/>
            <w:vAlign w:val="bottom"/>
          </w:tcPr>
          <w:p>
            <w:pPr>
              <w:ind w:left="380"/>
              <w:spacing w:after="0"/>
              <w:rPr>
                <w:sz w:val="20"/>
                <w:szCs w:val="20"/>
                <w:color w:val="auto"/>
              </w:rPr>
            </w:pPr>
            <w:r>
              <w:rPr>
                <w:rFonts w:ascii="Arial" w:cs="Arial" w:eastAsia="Arial" w:hAnsi="Arial"/>
                <w:sz w:val="18"/>
                <w:szCs w:val="18"/>
                <w:color w:val="auto"/>
              </w:rPr>
              <w:t>U.S. Instruments</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12,654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11,811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33,172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33,860</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Extremities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38,529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37,484</w:t>
            </w:r>
          </w:p>
        </w:tc>
        <w:tc>
          <w:tcPr>
            <w:tcW w:w="0" w:type="dxa"/>
            <w:vAlign w:val="bottom"/>
          </w:tcPr>
          <w:p>
            <w:pPr>
              <w:spacing w:after="0"/>
              <w:rPr>
                <w:sz w:val="1"/>
                <w:szCs w:val="1"/>
                <w:color w:val="auto"/>
              </w:rPr>
            </w:pPr>
          </w:p>
        </w:tc>
      </w:tr>
      <w:tr>
        <w:trPr>
          <w:trHeight w:val="243"/>
        </w:trPr>
        <w:tc>
          <w:tcPr>
            <w:tcW w:w="6460" w:type="dxa"/>
            <w:vAlign w:val="bottom"/>
          </w:tcPr>
          <w:p>
            <w:pPr>
              <w:ind w:left="380"/>
              <w:spacing w:after="0"/>
              <w:rPr>
                <w:sz w:val="20"/>
                <w:szCs w:val="20"/>
                <w:color w:val="auto"/>
              </w:rPr>
            </w:pPr>
            <w:r>
              <w:rPr>
                <w:rFonts w:ascii="Arial" w:cs="Arial" w:eastAsia="Arial" w:hAnsi="Arial"/>
                <w:sz w:val="18"/>
                <w:szCs w:val="18"/>
                <w:color w:val="auto"/>
              </w:rPr>
              <w:t>U.S. Spine and Other</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(31,437)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14,771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42,166</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14,693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14,550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41,697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45,456</w:t>
            </w:r>
          </w:p>
        </w:tc>
        <w:tc>
          <w:tcPr>
            <w:tcW w:w="0" w:type="dxa"/>
            <w:vAlign w:val="bottom"/>
          </w:tcPr>
          <w:p>
            <w:pPr>
              <w:spacing w:after="0"/>
              <w:rPr>
                <w:sz w:val="1"/>
                <w:szCs w:val="1"/>
                <w:color w:val="auto"/>
              </w:rPr>
            </w:pPr>
          </w:p>
        </w:tc>
      </w:tr>
      <w:tr>
        <w:trPr>
          <w:trHeight w:val="237"/>
        </w:trPr>
        <w:tc>
          <w:tcPr>
            <w:tcW w:w="6460" w:type="dxa"/>
            <w:vAlign w:val="bottom"/>
          </w:tcPr>
          <w:p>
            <w:pPr>
              <w:ind w:left="380"/>
              <w:spacing w:after="0"/>
              <w:rPr>
                <w:sz w:val="20"/>
                <w:szCs w:val="20"/>
                <w:color w:val="auto"/>
              </w:rPr>
            </w:pPr>
            <w:r>
              <w:rPr>
                <w:rFonts w:ascii="Arial" w:cs="Arial" w:eastAsia="Arial" w:hAnsi="Arial"/>
                <w:sz w:val="18"/>
                <w:szCs w:val="18"/>
                <w:color w:val="auto"/>
              </w:rPr>
              <w:t>Segment profit</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33,560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79,329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167,198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225,213</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(13,985)</w:t>
            </w:r>
          </w:p>
        </w:tc>
        <w:tc>
          <w:tcPr>
            <w:tcW w:w="0" w:type="dxa"/>
            <w:vAlign w:val="bottom"/>
          </w:tcPr>
          <w:p>
            <w:pPr>
              <w:spacing w:after="0"/>
              <w:rPr>
                <w:sz w:val="1"/>
                <w:szCs w:val="1"/>
                <w:color w:val="auto"/>
              </w:rPr>
            </w:pPr>
          </w:p>
        </w:tc>
      </w:tr>
      <w:tr>
        <w:trPr>
          <w:trHeight w:val="243"/>
        </w:trPr>
        <w:tc>
          <w:tcPr>
            <w:tcW w:w="646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(60,138)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(54,975)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(179,218)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(156,004)</w:t>
            </w:r>
          </w:p>
        </w:tc>
        <w:tc>
          <w:tcPr>
            <w:tcW w:w="0" w:type="dxa"/>
            <w:vAlign w:val="bottom"/>
          </w:tcPr>
          <w:p>
            <w:pPr>
              <w:spacing w:after="0"/>
              <w:rPr>
                <w:sz w:val="1"/>
                <w:szCs w:val="1"/>
                <w:color w:val="auto"/>
              </w:rPr>
            </w:pPr>
          </w:p>
        </w:tc>
      </w:tr>
      <w:tr>
        <w:trPr>
          <w:trHeight w:val="27"/>
        </w:trPr>
        <w:tc>
          <w:tcPr>
            <w:tcW w:w="6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 income</w:t>
            </w: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(29,614)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19,736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(21,680)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55,224</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The segment profits for the U.S. Instruments segment and Corporate and Other for the three and nine months ended September 30, 2012 have been revised.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Revenue by major product category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Pr>
          <w:p>
            <w:pPr>
              <w:spacing w:after="0"/>
              <w:rPr>
                <w:sz w:val="16"/>
                <w:szCs w:val="16"/>
                <w:color w:val="auto"/>
              </w:rPr>
            </w:pPr>
          </w:p>
        </w:tc>
        <w:tc>
          <w:tcPr>
            <w:tcW w:w="262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64"/>
        </w:trPr>
        <w:tc>
          <w:tcPr>
            <w:tcW w:w="516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196"/>
        </w:trPr>
        <w:tc>
          <w:tcPr>
            <w:tcW w:w="5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Orthopedics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93,331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94,186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275,025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276,033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Neurosurgery</w:t>
            </w:r>
          </w:p>
        </w:tc>
        <w:tc>
          <w:tcPr>
            <w:tcW w:w="28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72,639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69,667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204,283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203,499</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Instruments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47,276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46,231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136,137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136,907</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213,246</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210,084</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615,445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616,439</w:t>
            </w:r>
          </w:p>
        </w:tc>
      </w:tr>
      <w:tr>
        <w:trPr>
          <w:trHeight w:val="27"/>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The Company attributes revenues to geographic areas based on the location of the customer. There are certain revenues that the various U.S. segments manage that are generated from non-U.S. customers and therefore are included in Europe and the Rest of World revenues below. Total revenue by major geographic area consisted of the following:</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Pr>
          <w:p>
            <w:pPr>
              <w:spacing w:after="0"/>
              <w:rPr>
                <w:sz w:val="16"/>
                <w:szCs w:val="16"/>
                <w:color w:val="auto"/>
              </w:rPr>
            </w:pPr>
          </w:p>
        </w:tc>
        <w:tc>
          <w:tcPr>
            <w:tcW w:w="262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64"/>
        </w:trPr>
        <w:tc>
          <w:tcPr>
            <w:tcW w:w="516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196"/>
        </w:trPr>
        <w:tc>
          <w:tcPr>
            <w:tcW w:w="5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166,555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165,930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473,740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478,087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Europe</w:t>
            </w:r>
          </w:p>
        </w:tc>
        <w:tc>
          <w:tcPr>
            <w:tcW w:w="28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21,543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20,351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68,936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66,903</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25,148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23,803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72,769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71,449</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213,246</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210,084</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615,445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616,439</w:t>
            </w:r>
          </w:p>
        </w:tc>
      </w:tr>
      <w:tr>
        <w:trPr>
          <w:trHeight w:val="27"/>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1" w:right="239" w:bottom="1440" w:gutter="0" w:footer="0" w:header="0"/>
          <w:type w:val="continuous"/>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94"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In consideration for certain technology, manufacturing, distribution, and selling rights and licenses granted to the Company, the Company has agreed to pay royalties on sales of certain products that we sell. The royalty payments that the Company made under these agreements were not significant for any of the periods presented.</w:t>
      </w:r>
    </w:p>
    <w:p>
      <w:pPr>
        <w:spacing w:after="0" w:line="4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is subject to various claims, lawsuits and proceedings in the ordinary course of the Company's business, including claims by current or former employees, distributors and competitors and with respect to its products and product liability claims, lawsuits and proceedings, some of which have been settled by the Company. In the opinion of management, such claims are either adequately covered by insurance or otherwise indemnified, or are not expected, individually or in the aggregate, to result in a material adverse effect on our financial condition. However, it is possible that the Company's results of operations, financial position and cash flows in a particular period could be materially affected by these contingencies.</w:t>
      </w:r>
    </w:p>
    <w:p>
      <w:pPr>
        <w:spacing w:after="0" w:line="20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June 6, 2012, the Company was contacted by the United States Attorney's Office for the District of New Jersey regarding the activities of sales representatives in a single region within our Extremities Reconstruction division. The U.S. Attorney's Office is investigating the activities of three sales representatives, one of whom was a supervisor until terminated by the Company for failure to cooperate with this investigation. The activities at issue pertain to alleged improper billing of products for extremities indications. The Company is cooperating with the United States Attorney's Office on a voluntary basis and is not a subject or target of an investigation at this time.</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94"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On October 25, 2013, the Company, entered into a stock purchase agreement (the "Purchase Agreement") with Covidien Group S.a.r.l, a Luxembourg company ("Covidien"), for the acquisition by the Company of Confluent Surgical, Inc., a Delaware corporation ("Confluent Surgical") including its surgical sealant and adhesion barrier product lines. Pursuant to the Purchase Agreement, the Company will acquire all of the capital stock of Confluent Surgical.</w:t>
      </w:r>
    </w:p>
    <w:p>
      <w:pPr>
        <w:spacing w:after="0" w:line="1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Under the terms of the Purchase Agreement, the Company will pay Covidien an initial cash payment of $231.0 million upon the closing of the transaction and at that time make a prepayment of $4.0 million under a transitional supply agreement with an affiliate of Covidien. In addition, the Company may pay Covidien up to $30.0 million following the closing, contingent upon obtaining certain U.S. and European governmental approvals related to the completion of the transition of the Confluent Surgical business and the timely supply of products under the transitional supply agreement. The Company will also enter into a transition services agreement with an affiliate of Covidien at the closing. This acquisition complements Integra's global neurosurgery growth strategy aimed at providing a broader set of solutions for surgical procedures in the head. Since the acquisition occurred subsequent to September 30, 2013, the acquisition is not included in the results of operations for any of the periods presented.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condensed consolidated financial statements and the related notes thereto appearing elsewhere in this report and our consolidated financial statements for the year ended December 31, 2012 included in our Annual Report on Form 10-K.</w:t>
      </w:r>
    </w:p>
    <w:p>
      <w:pPr>
        <w:spacing w:after="0" w:line="12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have made statements in this report which constitute forward-looking statements within the meaning of Section 27A of the Securities Act of 1933 and Section 21E of the Securities Exchange Act of 1934 (the “Exchange Act”). These forward-looking statements are subject to a number of risks, uncertainties and assumptions about the Company. Our actual results may differ materially from those anticipated in these forward-looking statements as a result of many factors, including but not limited to those set forth above under the heading “Risk Factors” in our Annual Report on Form 10-K for the year ended December 31, 2012 and under the heading "Risk Factors" in this report. We undertake no obligation to publicly update or revise any forward-looking statements, whether as a result of new information, future events or otherwise.</w:t>
      </w:r>
    </w:p>
    <w:p>
      <w:pPr>
        <w:spacing w:after="0" w:line="13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You can identify these forward-looking statements by forward-looking words such as “believe,” “may,” “could,” “will,” “estimate,” “continue,” “anticipate,” “intend,” “seek,” “plan,” “expect,” “should,” “would” and similar expressions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Integra is a world leader in medical devices focused on limiting uncertainty for surgeons so they can concentrate on providing the best patient care. Integra provides customers with clinically relevant, innovative and cost-effective products that improve the quality of life for patients. We focus on cranial and spinal procedures, small bone and joint injuries, the repair and reconstruction of soft tissue, and instruments for surgery.</w:t>
      </w:r>
    </w:p>
    <w:p>
      <w:pPr>
        <w:spacing w:after="0" w:line="12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manage our business through a combination of product groups and geography, and accordingly, we report our financial results under five reportable segments - U.S. Instruments, U.S. Neurosurgery, U.S. Extremities, U.S. Spine and Other (which consists of our U.S. Spine and Private Label businesses) and International.</w:t>
      </w:r>
    </w:p>
    <w:p>
      <w:pPr>
        <w:spacing w:after="0" w:line="12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present revenues in the following three product categories: Orthopedics, Neurosurgery and Instruments. Our orthopedics product group includes specialty metal implants for surgery of the extremities, shoulder and spine, orthobiologics products for repair and grafting of bone, dermal regeneration products and tissue-engineered wound dressings and nerve and tendon repair products. Our neurosurgery product group includes, among other things, dural grafts that are indicated for the repair of the dura mater, ultrasonic surgery systems for tissue ablation, cranial stabilization and brain retraction systems, systems for measurement of various brain parameters and devices used to gain access to the cranial cavity and to drain excess cerebrospinal fluid from the ventricles of the brain. Our instruments product group includes a wide range of specialty and general surgical and dental instruments and surgical lighting for sale to hospitals, outpatient surgery centers, and physician, veterinarian and dental practices.</w:t>
      </w:r>
    </w:p>
    <w:p>
      <w:pPr>
        <w:spacing w:after="0" w:line="124"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We manufacture many of our products in plants located in the United States, Puerto Rico, France, Germany, Ireland, the United Kingdom and Mexico. We also source most of our handheld surgical instruments and specialty metal and pyrocarbon implants through specialized third-party vendors.</w:t>
      </w:r>
    </w:p>
    <w:p>
      <w:pPr>
        <w:spacing w:after="0" w:line="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United States, we have several sales channels. We sell orthopedics products through a large direct sales organization and through specialty distributors focused on their respective surgical specialties. Neurosurgery products are sold through directly employed sales representatives. Instruments products are sold through two sales channels, both directly and through distributors and wholesalers, depending on the customer call point. We sell in the international markets through a combination of a direct sales organization and distributors.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We also market certain products through strategic partners in the United States.</w:t>
      </w:r>
    </w:p>
    <w:p>
      <w:pPr>
        <w:spacing w:after="0" w:line="90"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Our objective is to become a multi-billion dollar diversified global medical technology company that (i) helps patients by limiting uncertainty for medical professionals and (ii) is a high-quality investment for shareholders. We will achieve these goals by delivering on our Brand Promises to our customers worldwide and by becoming a top player in all markets in which we compete. Our strategy includes the following key elements: geographic expansion, disciplined focus and execution, global quality assurance and acquiring or in-licensing products that fit existing sales channels, margin expansion and leveraging platform synergies.</w:t>
      </w:r>
    </w:p>
    <w:p>
      <w:pPr>
        <w:spacing w:after="0" w:line="13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aim to achieve growth in our revenues while maintaining strong financial results. While we pay attention to any meaningful trend in our financial results, we pay particular attention to measurements that are indicative of long-term profitable growth. These measurements include (1) revenue growth (including internal growth and by acquisitions), (2) gross margins on total revenues, (3) operating margins (which we aim to expand as we leverage our existing infrastructure and improve our quality systems), (4) earnings before interest, taxes, depreciation, and amortization, and (5) earnings per diluted share of common stock.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we are particularly effective in the following aspects of our business:</w:t>
      </w:r>
    </w:p>
    <w:p>
      <w:pPr>
        <w:spacing w:after="0" w:line="171" w:lineRule="exact"/>
        <w:rPr>
          <w:sz w:val="20"/>
          <w:szCs w:val="20"/>
          <w:color w:val="auto"/>
        </w:rPr>
      </w:pPr>
    </w:p>
    <w:p>
      <w:pPr>
        <w:ind w:left="640" w:right="20" w:hanging="321"/>
        <w:spacing w:after="0" w:line="277"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Regenerative Medicine Platform</w:t>
      </w:r>
      <w:r>
        <w:rPr>
          <w:rFonts w:ascii="Arial" w:cs="Arial" w:eastAsia="Arial" w:hAnsi="Arial"/>
          <w:sz w:val="18"/>
          <w:szCs w:val="18"/>
          <w:color w:val="auto"/>
        </w:rPr>
        <w:t>. We have developed numerous product lines through our proprietary collagen matrix and demineralized bone matrix</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that are sold through every one of our sales channels.</w:t>
      </w:r>
    </w:p>
    <w:p>
      <w:pPr>
        <w:spacing w:after="0" w:line="116" w:lineRule="exact"/>
        <w:rPr>
          <w:rFonts w:ascii="Arial" w:cs="Arial" w:eastAsia="Arial" w:hAnsi="Arial"/>
          <w:sz w:val="18"/>
          <w:szCs w:val="18"/>
          <w:color w:val="auto"/>
        </w:rPr>
      </w:pPr>
    </w:p>
    <w:p>
      <w:pPr>
        <w:ind w:left="640" w:right="80" w:hanging="321"/>
        <w:spacing w:after="0" w:line="302" w:lineRule="auto"/>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Diversification and Platform Synergies</w:t>
      </w:r>
      <w:r>
        <w:rPr>
          <w:rFonts w:ascii="Arial" w:cs="Arial" w:eastAsia="Arial" w:hAnsi="Arial"/>
          <w:sz w:val="16"/>
          <w:szCs w:val="16"/>
          <w:color w:val="auto"/>
        </w:rPr>
        <w:t>. Each of our three selling platforms contributes a different strength to our core business. Orthopedics enables</w:t>
      </w:r>
      <w:r>
        <w:rPr>
          <w:rFonts w:ascii="Arial" w:cs="Arial" w:eastAsia="Arial" w:hAnsi="Arial"/>
          <w:sz w:val="16"/>
          <w:szCs w:val="16"/>
          <w:i w:val="1"/>
          <w:iCs w:val="1"/>
          <w:color w:val="auto"/>
        </w:rPr>
        <w:t xml:space="preserve"> </w:t>
      </w:r>
      <w:r>
        <w:rPr>
          <w:rFonts w:ascii="Arial" w:cs="Arial" w:eastAsia="Arial" w:hAnsi="Arial"/>
          <w:sz w:val="16"/>
          <w:szCs w:val="16"/>
          <w:color w:val="auto"/>
        </w:rPr>
        <w:t>us to grow our top line and increase gross margins. Neurosurgery provides stable growth as a market with few elective procedures. The Instruments business has a strong capacity to generate cash flows. We have unique synergies among these platforms, such as our regenerative medicine technology, instrument sourcing capabilities, Group Purchasing Organization (“GPO”) contract management and recent enterprise selling platform.</w:t>
      </w:r>
    </w:p>
    <w:p>
      <w:pPr>
        <w:spacing w:after="0" w:line="100" w:lineRule="exact"/>
        <w:rPr>
          <w:rFonts w:ascii="Arial" w:cs="Arial" w:eastAsia="Arial" w:hAnsi="Arial"/>
          <w:sz w:val="16"/>
          <w:szCs w:val="16"/>
          <w:color w:val="auto"/>
        </w:rPr>
      </w:pPr>
    </w:p>
    <w:p>
      <w:pPr>
        <w:ind w:left="640" w:hanging="321"/>
        <w:spacing w:after="0" w:line="259"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Unique Sales Footprint</w:t>
      </w:r>
      <w:r>
        <w:rPr>
          <w:rFonts w:ascii="Arial" w:cs="Arial" w:eastAsia="Arial" w:hAnsi="Arial"/>
          <w:sz w:val="18"/>
          <w:szCs w:val="18"/>
          <w:color w:val="auto"/>
        </w:rPr>
        <w:t>. Our sales footprint provides us with a unique set of customer call-points and synergies. Each of our sales channels can</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from the GPO and Integrated Delivery Network (“IDN”) relationships that our Instruments group currently manages. We have market-leading products for neurosurgeons, many of whom also perform spine surgeries, and we have yet to fully leverage those relationships to sell our spine products. We also have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clinical expertise across all of our channels in the United States, and have an opportunity to expand and leverage this expertise in markets worldwide.</w:t>
      </w:r>
    </w:p>
    <w:p>
      <w:pPr>
        <w:spacing w:after="0" w:line="208" w:lineRule="exact"/>
        <w:rPr>
          <w:sz w:val="20"/>
          <w:szCs w:val="20"/>
          <w:color w:val="auto"/>
        </w:rPr>
      </w:pPr>
    </w:p>
    <w:p>
      <w:pPr>
        <w:ind w:left="640" w:right="80" w:hanging="321"/>
        <w:spacing w:after="0" w:line="264"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Ability to Change and Adapt</w:t>
      </w:r>
      <w:r>
        <w:rPr>
          <w:rFonts w:ascii="Arial" w:cs="Arial" w:eastAsia="Arial" w:hAnsi="Arial"/>
          <w:sz w:val="18"/>
          <w:szCs w:val="18"/>
          <w:color w:val="auto"/>
        </w:rPr>
        <w:t>. Our corporate culture is truly what enables us to adapt and reinvent ourselves. We have demonstrated that we can</w:t>
      </w:r>
      <w:r>
        <w:rPr>
          <w:rFonts w:ascii="Arial" w:cs="Arial" w:eastAsia="Arial" w:hAnsi="Arial"/>
          <w:sz w:val="18"/>
          <w:szCs w:val="18"/>
          <w:i w:val="1"/>
          <w:iCs w:val="1"/>
          <w:color w:val="auto"/>
        </w:rPr>
        <w:t xml:space="preserve"> </w:t>
      </w:r>
      <w:r>
        <w:rPr>
          <w:rFonts w:ascii="Arial" w:cs="Arial" w:eastAsia="Arial" w:hAnsi="Arial"/>
          <w:sz w:val="18"/>
          <w:szCs w:val="18"/>
          <w:color w:val="auto"/>
        </w:rPr>
        <w:t>quickly and profitably integrate new products and businesses. This core strength has made it possible for us to grow over the years, and is key to our ability to grow into a multi-billion dollar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Net loss for the three months ended September 30, 2013, was $28.6 million, or $1.02 per diluted share as compared with net income of $13.2 million or $0.46 per diluted share for the three months ended September 30, 2012.</w:t>
      </w:r>
    </w:p>
    <w:p>
      <w:pPr>
        <w:spacing w:after="0" w:line="11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Net loss for the nine months ended September 30, 2013 was $29.2 million, or $1.05 per diluted share as compared with net income of $28.4 million or $0.99 per diluted share for the nine months ended September 30, 2012.</w:t>
      </w:r>
    </w:p>
    <w:p>
      <w:pPr>
        <w:spacing w:after="0" w:line="3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The results of operations for the three and nine months ended September 30, 2013 were adversely affected by a voluntary recall of certain collagen-based products manufactured in our Añasco, Puerto Rico facility and the impairment of our U.S. Spine reporting unit goodwill. We incurred higher selling, general and administrative headcount expenses, increased consulting fees and expenses incurred in connection with the implementation of our global ERP system. The effects of the increased expenses noted above were partially offset by a $4.9 million and $2.2 million decrease in our interest expense as a result of the June 2012 repayment of our 2012 Notes and capitalization of a portion of our interest expense into the cost of our capital projects,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Income before taxes includes the following special charges: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6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r>
      <w:tr>
        <w:trPr>
          <w:trHeight w:val="250"/>
        </w:trPr>
        <w:tc>
          <w:tcPr>
            <w:tcW w:w="5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Global ERP implementation charges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4,950</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4,821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18,715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12,097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Facility optimization charges</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1,360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2,861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7,030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7,481</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 facility remediation costs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2,761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7,849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7,193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Certain expenses associated with product recalls</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1,444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Certain employee termination charges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Discontinued product lines charges</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1,058</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Acquisition-related charges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2,323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Impairment charges</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46,738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46,738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141</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debt non-cash interest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1,633</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4,865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8,284</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57,791</w:t>
            </w: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14,720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87,664</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39,716</w:t>
            </w:r>
          </w:p>
        </w:tc>
      </w:tr>
      <w:tr>
        <w:trPr>
          <w:trHeight w:val="27"/>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items reported above are reflected in the condensed consolidated statements of operations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3"/>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6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r>
      <w:tr>
        <w:trPr>
          <w:trHeight w:val="250"/>
        </w:trPr>
        <w:tc>
          <w:tcPr>
            <w:tcW w:w="5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4,050</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5,661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12,922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13,890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5,370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7,272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23,139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17,542</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impairment charge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46,738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46,738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1,633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1,787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4,865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8,284</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57,791</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14,720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87,664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39,716</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typically define special charges as items for which the amounts and/or timing of such expenses may vary significantly from period to period, depending upon our acquisition, integration and restructuring activities, and for which the amounts are non-cash in nature, or for which the amounts are not expected to recur at the same magnitude as we implement certain tax planning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strategies. We believe that given our ongoing strategy of seeking acquisitions, our continuing focus on rationalizing our existing manufacturing and distribution infrastructure and our continuing review of various product lines in relation to our current business strategy, certain of the special charges discussed above could recur with similar materiality in the future. In 2010 we began investing significant resources in the global implementation of a single enterprise resource planning system. We began capitalizing certain costs for the project starting in 2011.</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believe that the separate identification of these special charges provides important supplemental information to investors regarding financial and business trends relating to our financial condition and results of operations. Investors may find this information useful in assessing comparability of our operating performance from period to period, the business model objectives that management has established, and other companies in our industry. We provide this information to investors so that they can analyze our operating results in the same way that management does and to use this information in their assessment of our core business and valuation of Integra.</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 on Remediation Activities</w:t>
      </w:r>
    </w:p>
    <w:p>
      <w:pPr>
        <w:spacing w:after="0" w:line="175"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Remediation activities in our regenerative medicine facility in Plainsboro, New Jersey affected revenues and gross margin in the first three quarters of 2013. We received a warning letter from the FDA in December 2011, related to quality systems and compliance issues at that plant. The letter resulted from an inspection held at that facility in August 2011, and did not identify any new observations that were not provided in the Form 483 that followed the inspection. The warning letter did not restrict our ability to manufacture or ship products, nor did it require the recall of any product. In June and July 2012, the FDA again inspected the regenerative medicine facility. The second inspection closed out on July 30, 2012 and a FDA Form 483 Inspectional Observations was issued. On July 16, 2013, the FDA began an inspection of the Plainsboro facility and focused primarily on the issues raised in the warning letter and in previous inspections of the Plainsboro facility. At the conclusion of the inspection, the FDA found that the Company had addressed the issues raised in the warning letter and previous inspectional observations, and it issued no other inspectional observations. In reaching this conclusion, the FDA determined that the Company’s remediation activities were effective and its quality management system was adequate and the warning letter was closed out effective September 24, 2013.</w:t>
      </w:r>
    </w:p>
    <w:p>
      <w:pPr>
        <w:spacing w:after="0" w:line="17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FDA inspected our neurosurgery manufacturing facility in Andover, England in June 2012. Subsequently, on November 5, 2012, we received a warning letter from the FDA dated November 1, 2012 related to quality systems issues at that facility. The warning letter identified violations related to corrective and preventative actions, process validations, internal quality audits, and internal review of the suitability and effectiveness of the quality system at defined intervals. We filed the FDA warning letter as an exhibit to a Current Report on Form 8-K on November 13, 2012. Since the conclusion of the FDA inspection in June 2012, we have undertaken significant efforts to remediate the observations that the FDA has made and continue to do so. We have provided the FDA with monthly status reports and are working cooperatively with the FDA to resolve any outstanding issues.</w:t>
      </w:r>
    </w:p>
    <w:p>
      <w:pPr>
        <w:spacing w:after="0" w:line="178" w:lineRule="exact"/>
        <w:rPr>
          <w:sz w:val="20"/>
          <w:szCs w:val="20"/>
          <w:color w:val="auto"/>
        </w:rPr>
      </w:pPr>
    </w:p>
    <w:p>
      <w:pPr>
        <w:jc w:val="both"/>
        <w:ind w:right="160"/>
        <w:spacing w:after="0" w:line="276" w:lineRule="auto"/>
        <w:rPr>
          <w:sz w:val="20"/>
          <w:szCs w:val="20"/>
          <w:color w:val="auto"/>
        </w:rPr>
      </w:pPr>
      <w:r>
        <w:rPr>
          <w:rFonts w:ascii="Arial" w:cs="Arial" w:eastAsia="Arial" w:hAnsi="Arial"/>
          <w:sz w:val="17"/>
          <w:szCs w:val="17"/>
          <w:color w:val="auto"/>
        </w:rPr>
        <w:t>On February 14, 2013, we received a warning letter from the FDA relating to quality systems issues at our manufacturing facility located in Añasco, Puerto Rico. The letter resulted from an inspection conducted at that facility during October and November 2012. On February 15, 2013 we stopped distribution of our collagen products manufactured in the Añasco facility in order to confirm that we had successfully validated all such products and engaged a third-party consultant having appropriate quality system regulations expertise to confirm such validations. On February 22, 2013 the third-party consultant certified the completeness of such validations and we resumed distribution of collagen products from the Añasco, Puerto Rico facility.</w:t>
      </w:r>
    </w:p>
    <w:p>
      <w:pPr>
        <w:spacing w:after="0" w:line="17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April 10, 2013, we initiated a voluntary recall of certain products manufactured in our Añasco facility between December 2010 and May 2011 and between November 2012 and March 2013. Specific lots of these products, as described below, were recalled because we identified that there may have been deviations from required processes in their production. We identified through an internal quality assurance review that we may have deviated from a production process during the manufacture of specific lots of collagen products during the periods described. The product lots in question passed all product finished goods testing including endotoxin testing, are sterile, and were tested and accepted for release. However, due to the process deviation, they may have been released with higher levels of endotoxins than permitted by the product specifications. Higher levels of endotoxins may result in a fever in the immediate postoperative period. There have been no reports of patient injuries or other adverse events attributable to the products subject to the recall. We continue to manufacture all such products in our Añasco facility.</w:t>
      </w:r>
    </w:p>
    <w:p>
      <w:pPr>
        <w:spacing w:after="0" w:line="1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believe that most of the recalled product lots manufactured between December 2010 and May 2011 have already been consumed, and that therefore, the recall of those lots will not have a material financial impact. However, the return of products, manufactured between November 2012 and March 2013, which were substantially sold in the first three months ended March 31, 2013, directly reduced revenues in the nine months ended September 30, 2013 by $3.4 million. As we anticipated, we were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not able to produce all the affected products quickly enough to meet the demand from customers in the three months ended September 30, 2013. Such supply shortages resulted in lower revenues in the nine months of 2013. As expected, the recall and supply shortages had a significant impact on the U.S. Neurosurgery, U.S. Spine and Other, and International segments during the nine months of 2013. By the end of the third quarter, the Company had significantly reduced its backorders of products manufactured at the Añasco facility and on a consolidated basis from the level that prevailed at the beginning of the quarter.</w:t>
      </w:r>
    </w:p>
    <w:p>
      <w:pPr>
        <w:spacing w:after="0" w:line="188"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recall applied to limited and specific lots of DuraGen</w:t>
      </w:r>
      <w:r>
        <w:rPr>
          <w:rFonts w:ascii="Arial" w:cs="Arial" w:eastAsia="Arial" w:hAnsi="Arial"/>
          <w:sz w:val="18"/>
          <w:szCs w:val="18"/>
          <w:color w:val="auto"/>
          <w:vertAlign w:val="superscript"/>
        </w:rPr>
        <w:t>®</w:t>
      </w:r>
      <w:r>
        <w:rPr>
          <w:rFonts w:ascii="Arial" w:cs="Arial" w:eastAsia="Arial" w:hAnsi="Arial"/>
          <w:sz w:val="18"/>
          <w:szCs w:val="18"/>
          <w:color w:val="auto"/>
        </w:rPr>
        <w:t xml:space="preserve"> Dural Graft Matrix, DuraGen</w:t>
      </w:r>
      <w:r>
        <w:rPr>
          <w:rFonts w:ascii="Arial" w:cs="Arial" w:eastAsia="Arial" w:hAnsi="Arial"/>
          <w:sz w:val="18"/>
          <w:szCs w:val="18"/>
          <w:color w:val="auto"/>
          <w:vertAlign w:val="superscript"/>
        </w:rPr>
        <w:t>®</w:t>
      </w:r>
      <w:r>
        <w:rPr>
          <w:rFonts w:ascii="Arial" w:cs="Arial" w:eastAsia="Arial" w:hAnsi="Arial"/>
          <w:sz w:val="18"/>
          <w:szCs w:val="18"/>
          <w:color w:val="auto"/>
        </w:rPr>
        <w:t xml:space="preserve"> Plus Dural Regeneration Matrix, DuraGen</w:t>
      </w:r>
      <w:r>
        <w:rPr>
          <w:rFonts w:ascii="Arial" w:cs="Arial" w:eastAsia="Arial" w:hAnsi="Arial"/>
          <w:sz w:val="18"/>
          <w:szCs w:val="18"/>
          <w:color w:val="auto"/>
          <w:vertAlign w:val="superscript"/>
        </w:rPr>
        <w:t>®</w:t>
      </w:r>
      <w:r>
        <w:rPr>
          <w:rFonts w:ascii="Arial" w:cs="Arial" w:eastAsia="Arial" w:hAnsi="Arial"/>
          <w:sz w:val="18"/>
          <w:szCs w:val="18"/>
          <w:color w:val="auto"/>
        </w:rPr>
        <w:t xml:space="preserve"> Suturable Dural Regeneration Matrix, DuraGen XS™ Dural Regeneration Matrix, Layershield</w:t>
      </w:r>
      <w:r>
        <w:rPr>
          <w:rFonts w:ascii="Arial" w:cs="Arial" w:eastAsia="Arial" w:hAnsi="Arial"/>
          <w:sz w:val="18"/>
          <w:szCs w:val="18"/>
          <w:color w:val="auto"/>
          <w:vertAlign w:val="superscript"/>
        </w:rPr>
        <w:t>®</w:t>
      </w:r>
      <w:r>
        <w:rPr>
          <w:rFonts w:ascii="Arial" w:cs="Arial" w:eastAsia="Arial" w:hAnsi="Arial"/>
          <w:sz w:val="18"/>
          <w:szCs w:val="18"/>
          <w:color w:val="auto"/>
        </w:rPr>
        <w:t xml:space="preserve"> Adhesion Barrier Matrix, NeuraWrap™ Nerve Protector, NeuraGen</w:t>
      </w:r>
      <w:r>
        <w:rPr>
          <w:rFonts w:ascii="Arial" w:cs="Arial" w:eastAsia="Arial" w:hAnsi="Arial"/>
          <w:sz w:val="18"/>
          <w:szCs w:val="18"/>
          <w:color w:val="auto"/>
          <w:vertAlign w:val="superscript"/>
        </w:rPr>
        <w:t>®</w:t>
      </w:r>
      <w:r>
        <w:rPr>
          <w:rFonts w:ascii="Arial" w:cs="Arial" w:eastAsia="Arial" w:hAnsi="Arial"/>
          <w:sz w:val="18"/>
          <w:szCs w:val="18"/>
          <w:color w:val="auto"/>
        </w:rPr>
        <w:t xml:space="preserve"> Nerve Guide, BioMend</w:t>
      </w:r>
      <w:r>
        <w:rPr>
          <w:rFonts w:ascii="Arial" w:cs="Arial" w:eastAsia="Arial" w:hAnsi="Arial"/>
          <w:sz w:val="18"/>
          <w:szCs w:val="18"/>
          <w:color w:val="auto"/>
          <w:vertAlign w:val="superscript"/>
        </w:rPr>
        <w:t>®</w:t>
      </w:r>
      <w:r>
        <w:rPr>
          <w:rFonts w:ascii="Arial" w:cs="Arial" w:eastAsia="Arial" w:hAnsi="Arial"/>
          <w:sz w:val="18"/>
          <w:szCs w:val="18"/>
          <w:color w:val="auto"/>
        </w:rPr>
        <w:t xml:space="preserve"> Absorbable Collagen Membrane, OraMem</w:t>
      </w:r>
      <w:r>
        <w:rPr>
          <w:rFonts w:ascii="Arial" w:cs="Arial" w:eastAsia="Arial" w:hAnsi="Arial"/>
          <w:sz w:val="18"/>
          <w:szCs w:val="18"/>
          <w:color w:val="auto"/>
          <w:vertAlign w:val="superscript"/>
        </w:rPr>
        <w:t>®</w:t>
      </w:r>
      <w:r>
        <w:rPr>
          <w:rFonts w:ascii="Arial" w:cs="Arial" w:eastAsia="Arial" w:hAnsi="Arial"/>
          <w:sz w:val="18"/>
          <w:szCs w:val="18"/>
          <w:color w:val="auto"/>
        </w:rPr>
        <w:t xml:space="preserve"> Absorbable Collagen Membrane, BioMend</w:t>
      </w:r>
      <w:r>
        <w:rPr>
          <w:rFonts w:ascii="Arial" w:cs="Arial" w:eastAsia="Arial" w:hAnsi="Arial"/>
          <w:sz w:val="18"/>
          <w:szCs w:val="18"/>
          <w:color w:val="auto"/>
          <w:vertAlign w:val="superscript"/>
        </w:rPr>
        <w:t>®</w:t>
      </w:r>
      <w:r>
        <w:rPr>
          <w:rFonts w:ascii="Arial" w:cs="Arial" w:eastAsia="Arial" w:hAnsi="Arial"/>
          <w:sz w:val="18"/>
          <w:szCs w:val="18"/>
          <w:color w:val="auto"/>
        </w:rPr>
        <w:t xml:space="preserve"> Extend Absorbable Collagen Membrane, CollaCote</w:t>
      </w:r>
      <w:r>
        <w:rPr>
          <w:rFonts w:ascii="Arial" w:cs="Arial" w:eastAsia="Arial" w:hAnsi="Arial"/>
          <w:sz w:val="18"/>
          <w:szCs w:val="18"/>
          <w:color w:val="auto"/>
          <w:vertAlign w:val="superscript"/>
        </w:rPr>
        <w:t>®</w:t>
      </w:r>
      <w:r>
        <w:rPr>
          <w:rFonts w:ascii="Arial" w:cs="Arial" w:eastAsia="Arial" w:hAnsi="Arial"/>
          <w:sz w:val="18"/>
          <w:szCs w:val="18"/>
          <w:color w:val="auto"/>
        </w:rPr>
        <w:t xml:space="preserve"> Absorbable Collagen Wound Dressing for Dental Surgery, CollaTape</w:t>
      </w:r>
      <w:r>
        <w:rPr>
          <w:rFonts w:ascii="Arial" w:cs="Arial" w:eastAsia="Arial" w:hAnsi="Arial"/>
          <w:sz w:val="18"/>
          <w:szCs w:val="18"/>
          <w:color w:val="auto"/>
          <w:vertAlign w:val="superscript"/>
        </w:rPr>
        <w:t>®</w:t>
      </w:r>
      <w:r>
        <w:rPr>
          <w:rFonts w:ascii="Arial" w:cs="Arial" w:eastAsia="Arial" w:hAnsi="Arial"/>
          <w:sz w:val="18"/>
          <w:szCs w:val="18"/>
          <w:color w:val="auto"/>
        </w:rPr>
        <w:t xml:space="preserve"> Absorbable Collagen Wound Dressing for Dental Surgery, CollaPlug</w:t>
      </w:r>
      <w:r>
        <w:rPr>
          <w:rFonts w:ascii="Arial" w:cs="Arial" w:eastAsia="Arial" w:hAnsi="Arial"/>
          <w:sz w:val="18"/>
          <w:szCs w:val="18"/>
          <w:color w:val="auto"/>
          <w:vertAlign w:val="superscript"/>
        </w:rPr>
        <w:t>®</w:t>
      </w:r>
      <w:r>
        <w:rPr>
          <w:rFonts w:ascii="Arial" w:cs="Arial" w:eastAsia="Arial" w:hAnsi="Arial"/>
          <w:sz w:val="18"/>
          <w:szCs w:val="18"/>
          <w:color w:val="auto"/>
        </w:rPr>
        <w:t xml:space="preserve"> Absorbable Collagen Wound Dressing for Dental Surgery, HeliTape</w:t>
      </w:r>
      <w:r>
        <w:rPr>
          <w:rFonts w:ascii="Arial" w:cs="Arial" w:eastAsia="Arial" w:hAnsi="Arial"/>
          <w:sz w:val="18"/>
          <w:szCs w:val="18"/>
          <w:color w:val="auto"/>
          <w:vertAlign w:val="superscript"/>
        </w:rPr>
        <w:t>®</w:t>
      </w:r>
      <w:r>
        <w:rPr>
          <w:rFonts w:ascii="Arial" w:cs="Arial" w:eastAsia="Arial" w:hAnsi="Arial"/>
          <w:sz w:val="18"/>
          <w:szCs w:val="18"/>
          <w:color w:val="auto"/>
        </w:rPr>
        <w:t xml:space="preserve"> Absorbable Collagen Wound Dressing for Dental Surgery, HeliPlug</w:t>
      </w:r>
      <w:r>
        <w:rPr>
          <w:rFonts w:ascii="Arial" w:cs="Arial" w:eastAsia="Arial" w:hAnsi="Arial"/>
          <w:sz w:val="18"/>
          <w:szCs w:val="18"/>
          <w:color w:val="auto"/>
          <w:vertAlign w:val="superscript"/>
        </w:rPr>
        <w:t>®</w:t>
      </w:r>
      <w:r>
        <w:rPr>
          <w:rFonts w:ascii="Arial" w:cs="Arial" w:eastAsia="Arial" w:hAnsi="Arial"/>
          <w:sz w:val="18"/>
          <w:szCs w:val="18"/>
          <w:color w:val="auto"/>
        </w:rPr>
        <w:t xml:space="preserve"> Absorbable Collagen Wound Dressing for Dental Surgery, OraTape</w:t>
      </w:r>
      <w:r>
        <w:rPr>
          <w:rFonts w:ascii="Arial" w:cs="Arial" w:eastAsia="Arial" w:hAnsi="Arial"/>
          <w:sz w:val="18"/>
          <w:szCs w:val="18"/>
          <w:color w:val="auto"/>
          <w:vertAlign w:val="superscript"/>
        </w:rPr>
        <w:t>®</w:t>
      </w:r>
      <w:r>
        <w:rPr>
          <w:rFonts w:ascii="Arial" w:cs="Arial" w:eastAsia="Arial" w:hAnsi="Arial"/>
          <w:sz w:val="18"/>
          <w:szCs w:val="18"/>
          <w:color w:val="auto"/>
        </w:rPr>
        <w:t xml:space="preserve"> Absorbable Collagen Wound Dressing for Dental Surgery, OraPlug</w:t>
      </w:r>
      <w:r>
        <w:rPr>
          <w:rFonts w:ascii="Arial" w:cs="Arial" w:eastAsia="Arial" w:hAnsi="Arial"/>
          <w:sz w:val="18"/>
          <w:szCs w:val="18"/>
          <w:color w:val="auto"/>
          <w:vertAlign w:val="superscript"/>
        </w:rPr>
        <w:t>®</w:t>
      </w:r>
      <w:r>
        <w:rPr>
          <w:rFonts w:ascii="Arial" w:cs="Arial" w:eastAsia="Arial" w:hAnsi="Arial"/>
          <w:sz w:val="18"/>
          <w:szCs w:val="18"/>
          <w:color w:val="auto"/>
        </w:rPr>
        <w:t xml:space="preserve"> Absorbable Collagen Wound Dressing for Dental Surgery, Instat</w:t>
      </w:r>
      <w:r>
        <w:rPr>
          <w:rFonts w:ascii="Arial" w:cs="Arial" w:eastAsia="Arial" w:hAnsi="Arial"/>
          <w:sz w:val="18"/>
          <w:szCs w:val="18"/>
          <w:color w:val="auto"/>
          <w:vertAlign w:val="superscript"/>
        </w:rPr>
        <w:t>®</w:t>
      </w:r>
      <w:r>
        <w:rPr>
          <w:rFonts w:ascii="Arial" w:cs="Arial" w:eastAsia="Arial" w:hAnsi="Arial"/>
          <w:sz w:val="18"/>
          <w:szCs w:val="18"/>
          <w:color w:val="auto"/>
        </w:rPr>
        <w:t xml:space="preserve"> Microfibrillar Collagen Hemostat, Helistat</w:t>
      </w:r>
      <w:r>
        <w:rPr>
          <w:rFonts w:ascii="Arial" w:cs="Arial" w:eastAsia="Arial" w:hAnsi="Arial"/>
          <w:sz w:val="18"/>
          <w:szCs w:val="18"/>
          <w:color w:val="auto"/>
          <w:vertAlign w:val="superscript"/>
        </w:rPr>
        <w:t>®</w:t>
      </w:r>
      <w:r>
        <w:rPr>
          <w:rFonts w:ascii="Arial" w:cs="Arial" w:eastAsia="Arial" w:hAnsi="Arial"/>
          <w:sz w:val="18"/>
          <w:szCs w:val="18"/>
          <w:color w:val="auto"/>
        </w:rPr>
        <w:t xml:space="preserve"> Absorbable Collagen Hemostatic Sponge (ACS/Helistat), and Helitene</w:t>
      </w:r>
      <w:r>
        <w:rPr>
          <w:rFonts w:ascii="Arial" w:cs="Arial" w:eastAsia="Arial" w:hAnsi="Arial"/>
          <w:sz w:val="18"/>
          <w:szCs w:val="18"/>
          <w:color w:val="auto"/>
          <w:vertAlign w:val="superscript"/>
        </w:rPr>
        <w:t>®</w:t>
      </w:r>
      <w:r>
        <w:rPr>
          <w:rFonts w:ascii="Arial" w:cs="Arial" w:eastAsia="Arial" w:hAnsi="Arial"/>
          <w:sz w:val="18"/>
          <w:szCs w:val="18"/>
          <w:color w:val="auto"/>
        </w:rPr>
        <w:t xml:space="preserve"> Absorbable Collagen Hemostatic Agent. The Absorbable Collagen Sponge (ACS) is not a final product, but a component of a product assembled by another company.</w:t>
      </w:r>
    </w:p>
    <w:p>
      <w:pPr>
        <w:spacing w:after="0" w:line="19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met with the Office of Compliance at the Center for Devices and Radiological Health on March 26, 2013. We presented our plans for both immediate remediation and our corporate plan for the development and implementation of a single Quality System for the entire Company. We have engaged former FDA professionals as third party consultants to work with us on our remediation plans. We also met with the Office of Compliance at the FDA San Juan, Puerto Rico office to discuss the remediation plans at the Añasco, Puerto Rico facility. We have prioritized senior level quality and regulatory staff to address the quality system improvement plans at all of our facilities. On October 24, 2013, the United States Food and Drug Administration began an inspection of the Añasco facility. We do not expect to comment on or otherwise discuss the FDA inspection until after the conclusion of the inspection.</w:t>
      </w:r>
    </w:p>
    <w:p>
      <w:pPr>
        <w:spacing w:after="0" w:line="165"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We have undertaken significant efforts to remediate the observations that the FDA has made and have been working on improving and revising our quality systems. During the three and nine months ended September 30, 2013, we incurred $2.8 million and $7.8 million in remediation activities expenses, respectively, consisting of consulting expenses and other work activities required to complete our remediation activities. For the full year 2013, we expect to spend approximately $8.5 million on our quality systems and remediation activities. We expect to have these activities completed in the last quarter of 2013. We will provide periodic status reports to the FDA and work cooperatively with the agency to resolve any outstanding issues.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 on Product Revenues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Our revenues and gross margin on product revenues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2860" w:type="dxa"/>
            <w:vAlign w:val="bottom"/>
            <w:gridSpan w:val="4"/>
          </w:tcPr>
          <w:p>
            <w:pPr>
              <w:jc w:val="right"/>
              <w:ind w:right="412"/>
              <w:spacing w:after="0"/>
              <w:rPr>
                <w:sz w:val="20"/>
                <w:szCs w:val="20"/>
                <w:color w:val="auto"/>
              </w:rPr>
            </w:pPr>
            <w:r>
              <w:rPr>
                <w:rFonts w:ascii="Arial" w:cs="Arial" w:eastAsia="Arial" w:hAnsi="Arial"/>
                <w:sz w:val="14"/>
                <w:szCs w:val="14"/>
                <w:b w:val="1"/>
                <w:bCs w:val="1"/>
                <w:color w:val="auto"/>
              </w:rPr>
              <w:t>Nine Months Ended September 30,</w:t>
            </w:r>
          </w:p>
        </w:tc>
      </w:tr>
      <w:tr>
        <w:trPr>
          <w:trHeight w:val="263"/>
        </w:trPr>
        <w:tc>
          <w:tcPr>
            <w:tcW w:w="496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2012</w:t>
            </w:r>
          </w:p>
        </w:tc>
      </w:tr>
      <w:tr>
        <w:trPr>
          <w:trHeight w:val="251"/>
        </w:trPr>
        <w:tc>
          <w:tcPr>
            <w:tcW w:w="49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Segment Net Sales</w:t>
            </w:r>
          </w:p>
        </w:tc>
        <w:tc>
          <w:tcPr>
            <w:tcW w:w="300" w:type="dxa"/>
            <w:vAlign w:val="bottom"/>
          </w:tcPr>
          <w:p>
            <w:pPr>
              <w:spacing w:after="0"/>
              <w:rPr>
                <w:sz w:val="21"/>
                <w:szCs w:val="21"/>
                <w:color w:val="auto"/>
              </w:rPr>
            </w:pPr>
          </w:p>
        </w:tc>
        <w:tc>
          <w:tcPr>
            <w:tcW w:w="18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21"/>
                <w:szCs w:val="21"/>
                <w:color w:val="auto"/>
              </w:rPr>
            </w:pPr>
          </w:p>
        </w:tc>
      </w:tr>
      <w:tr>
        <w:trPr>
          <w:trHeight w:val="256"/>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Neurosurgery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45,114</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43,269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125,877</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125,776</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U.S. Instruments</w:t>
            </w:r>
          </w:p>
        </w:tc>
        <w:tc>
          <w:tcPr>
            <w:tcW w:w="300" w:type="dxa"/>
            <w:vAlign w:val="bottom"/>
          </w:tcPr>
          <w:p>
            <w:pPr>
              <w:spacing w:after="0"/>
              <w:rPr>
                <w:sz w:val="21"/>
                <w:szCs w:val="21"/>
                <w:color w:val="auto"/>
              </w:rPr>
            </w:pPr>
          </w:p>
        </w:tc>
        <w:tc>
          <w:tcPr>
            <w:tcW w:w="1240" w:type="dxa"/>
            <w:vAlign w:val="bottom"/>
          </w:tcPr>
          <w:p>
            <w:pPr>
              <w:jc w:val="right"/>
              <w:ind w:right="114"/>
              <w:spacing w:after="0"/>
              <w:rPr>
                <w:sz w:val="20"/>
                <w:szCs w:val="20"/>
                <w:color w:val="auto"/>
              </w:rPr>
            </w:pPr>
            <w:r>
              <w:rPr>
                <w:rFonts w:ascii="Arial" w:cs="Arial" w:eastAsia="Arial" w:hAnsi="Arial"/>
                <w:sz w:val="18"/>
                <w:szCs w:val="18"/>
                <w:color w:val="auto"/>
              </w:rPr>
              <w:t>41,798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41,469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118,737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120,732</w:t>
            </w:r>
          </w:p>
        </w:tc>
      </w:tr>
      <w:tr>
        <w:trPr>
          <w:trHeight w:val="27"/>
        </w:trPr>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Extremities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33,541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32,961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98,440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91,596</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U.S. Spine and Other</w:t>
            </w:r>
          </w:p>
        </w:tc>
        <w:tc>
          <w:tcPr>
            <w:tcW w:w="300" w:type="dxa"/>
            <w:vAlign w:val="bottom"/>
          </w:tcPr>
          <w:p>
            <w:pPr>
              <w:spacing w:after="0"/>
              <w:rPr>
                <w:sz w:val="21"/>
                <w:szCs w:val="21"/>
                <w:color w:val="auto"/>
              </w:rPr>
            </w:pPr>
          </w:p>
        </w:tc>
        <w:tc>
          <w:tcPr>
            <w:tcW w:w="1240" w:type="dxa"/>
            <w:vAlign w:val="bottom"/>
          </w:tcPr>
          <w:p>
            <w:pPr>
              <w:jc w:val="right"/>
              <w:ind w:right="114"/>
              <w:spacing w:after="0"/>
              <w:rPr>
                <w:sz w:val="20"/>
                <w:szCs w:val="20"/>
                <w:color w:val="auto"/>
              </w:rPr>
            </w:pPr>
            <w:r>
              <w:rPr>
                <w:rFonts w:ascii="Arial" w:cs="Arial" w:eastAsia="Arial" w:hAnsi="Arial"/>
                <w:sz w:val="18"/>
                <w:szCs w:val="18"/>
                <w:color w:val="auto"/>
              </w:rPr>
              <w:t>46,904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49,188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133,414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142,821</w:t>
            </w:r>
          </w:p>
        </w:tc>
      </w:tr>
      <w:tr>
        <w:trPr>
          <w:trHeight w:val="27"/>
        </w:trPr>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45,889</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43,197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138,977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135,514</w:t>
            </w:r>
          </w:p>
        </w:tc>
      </w:tr>
      <w:tr>
        <w:trPr>
          <w:trHeight w:val="237"/>
        </w:trPr>
        <w:tc>
          <w:tcPr>
            <w:tcW w:w="496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213,246</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210,084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615,445</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616,439</w:t>
            </w:r>
          </w:p>
        </w:tc>
      </w:tr>
      <w:tr>
        <w:trPr>
          <w:trHeight w:val="27"/>
        </w:trPr>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84,101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79,548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247,437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232,497</w:t>
            </w:r>
          </w:p>
        </w:tc>
      </w:tr>
      <w:tr>
        <w:trPr>
          <w:trHeight w:val="237"/>
        </w:trPr>
        <w:tc>
          <w:tcPr>
            <w:tcW w:w="4960" w:type="dxa"/>
            <w:vAlign w:val="bottom"/>
          </w:tcPr>
          <w:p>
            <w:pPr>
              <w:ind w:left="180"/>
              <w:spacing w:after="0"/>
              <w:rPr>
                <w:sz w:val="20"/>
                <w:szCs w:val="20"/>
                <w:color w:val="auto"/>
              </w:rPr>
            </w:pPr>
            <w:r>
              <w:rPr>
                <w:rFonts w:ascii="Arial" w:cs="Arial" w:eastAsia="Arial" w:hAnsi="Arial"/>
                <w:sz w:val="18"/>
                <w:szCs w:val="18"/>
                <w:color w:val="auto"/>
              </w:rPr>
              <w:t>Gross margin on total revenues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129,145</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130,536</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368,008</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383,942</w:t>
            </w:r>
          </w:p>
        </w:tc>
      </w:tr>
      <w:tr>
        <w:trPr>
          <w:trHeight w:val="67"/>
        </w:trPr>
        <w:tc>
          <w:tcPr>
            <w:tcW w:w="49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256"/>
        </w:trPr>
        <w:tc>
          <w:tcPr>
            <w:tcW w:w="49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Gross margin as a percentage of total revenues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40" w:firstLine="8"/>
        <w:spacing w:after="0" w:line="308" w:lineRule="auto"/>
        <w:tabs>
          <w:tab w:leader="none" w:pos="13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Company attributes revenue to geographic areas based on the location of the customer. There are certain revenues managed by the various U.S. segments above that are generated from non-U.S. customers and therefore included in Europe and the Rest of World revenues.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2013 as Compared to Three Months Ended September 30,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September 30, 2013 total revenues increased by $3.2 million to $213.2 million from $210.1 million for the same period in 2012.</w:t>
      </w:r>
    </w:p>
    <w:p>
      <w:pPr>
        <w:spacing w:after="0" w:line="194"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U.S. Neurosurgery revenues were $45.1 million, an increase of 4% from the prior-year period. The increase is primarily attributable to the shipping of nearly all backorders related to our collagen product shortages caused by the first quarter recall. We experienced increases in neuro critical care, cranial stabilization and stereotaxy driven by stronger capital product sales. These increases were partially offset by weaker capital sales in tissue ablation.</w:t>
      </w:r>
    </w:p>
    <w:p>
      <w:pPr>
        <w:spacing w:after="0" w:line="93"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U.S. Instruments revenues were $41.8 million, an increase of 1% from the prior-year period. In the quarter, we saw low-single digit growth in our alternate site sales and continued to experience sustained growth in sales of our LED surgical headlamp. In addition, we experienced softness in our acute care sales channel due to fewer large orders for hospital starts and expansions.</w:t>
      </w:r>
    </w:p>
    <w:p>
      <w:pPr>
        <w:spacing w:after="0" w:line="12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U.S. Extremities revenues were $33.5 million, an increase of 2% from the prior-year period. This increase resulted primarily from a strong growth in sales of our upper and lower extremities businesses. Softness in our dermal and wound care products caused by fewer burn incidents reported by our hospital and surgeon customers largely offset the increase.</w:t>
      </w:r>
    </w:p>
    <w:p>
      <w:pPr>
        <w:spacing w:after="0" w:line="12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U.S. Spine and Other revenues, which include our spine hardware, orthobiologics and private label products, were $46.9 million, a 5% decrease from the prior-year period. Our spine hardware product sales continued to lag the overall market. We saw double-digit growth in our orthobiologics products, led by a strong demand for our Evo3™ products. Sales of our private label products were down from the prior-year period due to the loss of some business to certain customers as related to prolonged recall-related supply shortages.</w:t>
      </w:r>
    </w:p>
    <w:p>
      <w:pPr>
        <w:spacing w:after="0" w:line="133"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International segment revenues were $45.9 million, an increase of 6% from the prior-year period. Our sales increases around the world were primarily attributable to a substantial growth in our spine implants and acute care instruments. Foreign currency had a negligible impact on our sales in the current quarter.</w:t>
      </w:r>
    </w:p>
    <w:p>
      <w:pPr>
        <w:spacing w:after="0" w:line="127"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In addition, the Company announced in October that it was rationalizing product lines and that certain product revenues were being substantially reduced or eliminated within its Private Label business because Integra's customers found other sources during the supply disruptions earlier this year.</w:t>
      </w:r>
    </w:p>
    <w:p>
      <w:pPr>
        <w:spacing w:after="0" w:line="70"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Gross margin decreased 1% to $129.1 million for the three-month period ended September 30, 2013 from $130.5 million for the same period last year. Gross margin as a percentage of total revenue decreased to 60.6% for the third quarter of 2013 from 62.1% for the same period last year. The decrease in gross margin percentage resulted primarily from increased quality costs at our manufacturing facilities and the impact of the manufacturer's excise tax that we capitalize in our inventory and subsequently record in cost of goods sold as these products are sold to third-party customers.</w:t>
      </w:r>
    </w:p>
    <w:p>
      <w:pPr>
        <w:spacing w:after="0" w:line="100"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We expect our consolidated gross margin percentage for the full year 2013 to be between 60% and 61%, down compared to 2012. Costs related to the expansion of our regenerative medicine activities, continued downward pressure on our private-label and spine hardware product sales volumes, and the inclusion of the medical device tax will negatively affect our consolidated gross margin.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operating expenses as a percent of total revenues:</w:t>
      </w:r>
    </w:p>
    <w:p>
      <w:pPr>
        <w:spacing w:after="0" w:line="379" w:lineRule="exact"/>
        <w:rPr>
          <w:sz w:val="20"/>
          <w:szCs w:val="20"/>
          <w:color w:val="auto"/>
        </w:rPr>
      </w:pPr>
    </w:p>
    <w:p>
      <w:pPr>
        <w:ind w:left="8720"/>
        <w:spacing w:after="0"/>
        <w:rPr>
          <w:sz w:val="20"/>
          <w:szCs w:val="20"/>
          <w:color w:val="auto"/>
        </w:rPr>
      </w:pPr>
      <w:r>
        <w:rPr>
          <w:rFonts w:ascii="Arial" w:cs="Arial" w:eastAsia="Arial" w:hAnsi="Arial"/>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5219065</wp:posOffset>
            </wp:positionH>
            <wp:positionV relativeFrom="paragraph">
              <wp:posOffset>23495</wp:posOffset>
            </wp:positionV>
            <wp:extent cx="20326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00" w:type="dxa"/>
            <w:vAlign w:val="bottom"/>
            <w:gridSpan w:val="2"/>
          </w:tcPr>
          <w:p>
            <w:pPr>
              <w:ind w:left="8840"/>
              <w:spacing w:after="0"/>
              <w:rPr>
                <w:sz w:val="20"/>
                <w:szCs w:val="20"/>
                <w:color w:val="auto"/>
              </w:rPr>
            </w:pPr>
            <w:r>
              <w:rPr>
                <w:rFonts w:ascii="Arial" w:cs="Arial" w:eastAsia="Arial" w:hAnsi="Arial"/>
                <w:sz w:val="14"/>
                <w:szCs w:val="14"/>
                <w:b w:val="1"/>
                <w:bCs w:val="1"/>
                <w:color w:val="auto"/>
              </w:rPr>
              <w:t>2013</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ind w:right="553"/>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8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920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45.0%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 amortization</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9200" w:type="dxa"/>
            <w:vAlign w:val="bottom"/>
            <w:gridSpan w:val="2"/>
          </w:tcPr>
          <w:p>
            <w:pPr>
              <w:ind w:left="40"/>
              <w:spacing w:after="0"/>
              <w:rPr>
                <w:sz w:val="20"/>
                <w:szCs w:val="20"/>
                <w:color w:val="auto"/>
              </w:rPr>
            </w:pPr>
            <w:r>
              <w:rPr>
                <w:rFonts w:ascii="Arial" w:cs="Arial" w:eastAsia="Arial" w:hAnsi="Arial"/>
                <w:sz w:val="18"/>
                <w:szCs w:val="18"/>
                <w:color w:val="auto"/>
              </w:rPr>
              <w:t>Goodwill impairment charge</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21.9%</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9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74.4%</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5620"/>
              <w:spacing w:after="0"/>
              <w:rPr>
                <w:sz w:val="20"/>
                <w:szCs w:val="20"/>
                <w:color w:val="auto"/>
              </w:rPr>
            </w:pPr>
            <w:r>
              <w:rPr>
                <w:rFonts w:ascii="Arial" w:cs="Arial" w:eastAsia="Arial" w:hAnsi="Arial"/>
                <w:sz w:val="18"/>
                <w:szCs w:val="18"/>
                <w:color w:val="auto"/>
              </w:rPr>
              <w:t>24</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822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Total operating expenses, which consist of research and development expenses, selling, general and administrative expenses, amortization expense and goodwill impairment, increased $48.0 million, or 43%, to $158.8 million in the three months ended September 30, 2013, compared to $110.8 million in the same period last year.</w:t>
      </w:r>
    </w:p>
    <w:p>
      <w:pPr>
        <w:spacing w:after="0" w:line="181"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color w:val="auto"/>
        </w:rPr>
        <w:t>Research and development expenses in the third quarter of 2013 decreased $0.1 million compared to the same period last year due to lower product development spending. We target full-year 2013 spending on research and development to be approximately 6.0% of total revenues.</w:t>
      </w:r>
    </w:p>
    <w:p>
      <w:pPr>
        <w:spacing w:after="0" w:line="14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Selling, general and administrative expenses in the third quarter of 2013 increased by $2.8 million to $95.9 million compared to $93.1 million in the same period last year. Selling and marketing expenses increased by $2.7 million, primarily resulting from a higher headcount of our sales force in Extremities and Neurosurgery as well as marketing and logistic groups in the United States. General and administrative costs were up $0.1 million, as a result of increases in compensation expenses fully offset by lower consulting costs supporting various projects.</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Amortization expense in the third quarter of 2013 was $3.0 million compared to $4.6 million in the same period last year. The decrease is primarily due to certain intangible assets becoming fully amortized in 2013.</w:t>
      </w:r>
    </w:p>
    <w:p>
      <w:pPr>
        <w:spacing w:after="0" w:line="170"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Operating expenses for the third quarter of 2013 also included a goodwill impairment charge of $46.7 million. The goodwill impairment charge is related to our U.S. Spine reporting unit. See Note 4 "Goodwill and Other Intangible Assets" to our condensed consolidated financial statements for further discussion.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non-operating income and expenses: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306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w w:val="95"/>
              </w:rPr>
              <w:t>Three Months Ended September 30,</w:t>
            </w:r>
          </w:p>
        </w:tc>
        <w:tc>
          <w:tcPr>
            <w:tcW w:w="660" w:type="dxa"/>
            <w:vAlign w:val="bottom"/>
            <w:tcBorders>
              <w:bottom w:val="single" w:sz="8" w:color="auto"/>
            </w:tcBorders>
          </w:tcPr>
          <w:p>
            <w:pPr>
              <w:spacing w:after="0"/>
              <w:rPr>
                <w:sz w:val="16"/>
                <w:szCs w:val="16"/>
                <w:color w:val="auto"/>
              </w:rPr>
            </w:pPr>
          </w:p>
        </w:tc>
      </w:tr>
      <w:tr>
        <w:trPr>
          <w:trHeight w:val="264"/>
        </w:trPr>
        <w:tc>
          <w:tcPr>
            <w:tcW w:w="7600" w:type="dxa"/>
            <w:vAlign w:val="bottom"/>
          </w:tcPr>
          <w:p>
            <w:pPr>
              <w:spacing w:after="0"/>
              <w:rPr>
                <w:sz w:val="22"/>
                <w:szCs w:val="22"/>
                <w:color w:val="auto"/>
              </w:rPr>
            </w:pPr>
          </w:p>
        </w:tc>
        <w:tc>
          <w:tcPr>
            <w:tcW w:w="114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2013</w:t>
            </w:r>
          </w:p>
        </w:tc>
        <w:tc>
          <w:tcPr>
            <w:tcW w:w="7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2012</w:t>
            </w:r>
          </w:p>
        </w:tc>
        <w:tc>
          <w:tcPr>
            <w:tcW w:w="660" w:type="dxa"/>
            <w:vAlign w:val="bottom"/>
            <w:tcBorders>
              <w:bottom w:val="single" w:sz="8" w:color="auto"/>
            </w:tcBorders>
          </w:tcPr>
          <w:p>
            <w:pPr>
              <w:spacing w:after="0"/>
              <w:rPr>
                <w:sz w:val="22"/>
                <w:szCs w:val="22"/>
                <w:color w:val="auto"/>
              </w:rPr>
            </w:pPr>
          </w:p>
        </w:tc>
      </w:tr>
      <w:tr>
        <w:trPr>
          <w:trHeight w:val="196"/>
        </w:trPr>
        <w:tc>
          <w:tcPr>
            <w:tcW w:w="7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20" w:type="dxa"/>
            <w:vAlign w:val="bottom"/>
            <w:gridSpan w:val="2"/>
          </w:tcPr>
          <w:p>
            <w:pPr>
              <w:jc w:val="right"/>
              <w:ind w:right="659"/>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7"/>
                <w:szCs w:val="17"/>
                <w:color w:val="auto"/>
              </w:rPr>
            </w:pPr>
          </w:p>
        </w:tc>
      </w:tr>
      <w:tr>
        <w:trPr>
          <w:trHeight w:val="256"/>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140" w:type="dxa"/>
            <w:vAlign w:val="bottom"/>
            <w:tcBorders>
              <w:bottom w:val="single" w:sz="8" w:color="CCEEFF"/>
            </w:tcBorders>
            <w:shd w:val="clear" w:color="auto" w:fill="CCEEFF"/>
          </w:tcPr>
          <w:p>
            <w:pPr>
              <w:jc w:val="right"/>
              <w:ind w:right="942"/>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38</w:t>
            </w:r>
          </w:p>
        </w:tc>
        <w:tc>
          <w:tcPr>
            <w:tcW w:w="120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14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(5,316)</w:t>
            </w:r>
          </w:p>
        </w:tc>
        <w:tc>
          <w:tcPr>
            <w:tcW w:w="1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(5,549)</w:t>
            </w:r>
          </w:p>
        </w:tc>
      </w:tr>
      <w:tr>
        <w:trPr>
          <w:trHeight w:val="27"/>
        </w:trPr>
        <w:tc>
          <w:tcPr>
            <w:tcW w:w="7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43"/>
        </w:trPr>
        <w:tc>
          <w:tcPr>
            <w:tcW w:w="7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114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(263)</w:t>
            </w:r>
          </w:p>
        </w:tc>
        <w:tc>
          <w:tcPr>
            <w:tcW w:w="1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76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Interest Expense</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in the three months ended September 30, 2013 decreased by $0.2 million primarily as a result of capitalizing $0.8 million of interest expense on our qualified construction in progress balances. This amount was offset by an additional $0.3 million of higher interest because of increased borrowing on our revolving line of credit. Our reported interest expense for the three-month periods ended September 30, 2013 and 2012 includes non-cash interest related to the accounting for convertible securities of $1.6 million and $1.8 million,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Other expense for the third quarter of 2013 was primarily attributable to foreign exchange losses on intercompany balances.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60" w:type="dxa"/>
            <w:vAlign w:val="bottom"/>
          </w:tcPr>
          <w:p>
            <w:pPr>
              <w:spacing w:after="0"/>
              <w:rPr>
                <w:sz w:val="16"/>
                <w:szCs w:val="16"/>
                <w:color w:val="auto"/>
              </w:rPr>
            </w:pPr>
          </w:p>
        </w:tc>
        <w:tc>
          <w:tcPr>
            <w:tcW w:w="3120" w:type="dxa"/>
            <w:vAlign w:val="bottom"/>
            <w:tcBorders>
              <w:bottom w:val="single" w:sz="8" w:color="auto"/>
            </w:tcBorders>
            <w:gridSpan w:val="3"/>
          </w:tcPr>
          <w:p>
            <w:pPr>
              <w:jc w:val="center"/>
              <w:ind w:left="702"/>
              <w:spacing w:after="0"/>
              <w:rPr>
                <w:sz w:val="20"/>
                <w:szCs w:val="20"/>
                <w:color w:val="auto"/>
              </w:rPr>
            </w:pPr>
            <w:r>
              <w:rPr>
                <w:rFonts w:ascii="Arial" w:cs="Arial" w:eastAsia="Arial" w:hAnsi="Arial"/>
                <w:sz w:val="14"/>
                <w:szCs w:val="14"/>
                <w:b w:val="1"/>
                <w:bCs w:val="1"/>
                <w:color w:val="auto"/>
                <w:w w:val="93"/>
              </w:rPr>
              <w:t>Three Months Ended September 30,</w:t>
            </w:r>
          </w:p>
        </w:tc>
        <w:tc>
          <w:tcPr>
            <w:tcW w:w="740" w:type="dxa"/>
            <w:vAlign w:val="bottom"/>
            <w:tcBorders>
              <w:bottom w:val="single" w:sz="8" w:color="auto"/>
            </w:tcBorders>
          </w:tcPr>
          <w:p>
            <w:pPr>
              <w:spacing w:after="0"/>
              <w:rPr>
                <w:sz w:val="16"/>
                <w:szCs w:val="16"/>
                <w:color w:val="auto"/>
              </w:rPr>
            </w:pPr>
          </w:p>
        </w:tc>
      </w:tr>
      <w:tr>
        <w:trPr>
          <w:trHeight w:val="264"/>
        </w:trPr>
        <w:tc>
          <w:tcPr>
            <w:tcW w:w="746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8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740" w:type="dxa"/>
            <w:vAlign w:val="bottom"/>
            <w:tcBorders>
              <w:bottom w:val="single" w:sz="8" w:color="auto"/>
            </w:tcBorders>
          </w:tcPr>
          <w:p>
            <w:pPr>
              <w:spacing w:after="0"/>
              <w:rPr>
                <w:sz w:val="22"/>
                <w:szCs w:val="22"/>
                <w:color w:val="auto"/>
              </w:rPr>
            </w:pPr>
          </w:p>
        </w:tc>
      </w:tr>
      <w:tr>
        <w:trPr>
          <w:trHeight w:val="196"/>
        </w:trPr>
        <w:tc>
          <w:tcPr>
            <w:tcW w:w="7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0" w:type="dxa"/>
            <w:vAlign w:val="bottom"/>
            <w:gridSpan w:val="2"/>
          </w:tcPr>
          <w:p>
            <w:pPr>
              <w:jc w:val="center"/>
              <w:ind w:right="259"/>
              <w:spacing w:after="0"/>
              <w:rPr>
                <w:sz w:val="20"/>
                <w:szCs w:val="20"/>
                <w:color w:val="auto"/>
              </w:rPr>
            </w:pPr>
            <w:r>
              <w:rPr>
                <w:rFonts w:ascii="Arial" w:cs="Arial" w:eastAsia="Arial" w:hAnsi="Arial"/>
                <w:sz w:val="14"/>
                <w:szCs w:val="14"/>
                <w:b w:val="1"/>
                <w:bCs w:val="1"/>
                <w:color w:val="auto"/>
                <w:w w:val="93"/>
              </w:rPr>
              <w:t>(In thousands)</w:t>
            </w:r>
          </w:p>
        </w:tc>
        <w:tc>
          <w:tcPr>
            <w:tcW w:w="740" w:type="dxa"/>
            <w:vAlign w:val="bottom"/>
          </w:tcPr>
          <w:p>
            <w:pPr>
              <w:spacing w:after="0"/>
              <w:rPr>
                <w:sz w:val="17"/>
                <w:szCs w:val="17"/>
                <w:color w:val="auto"/>
              </w:rPr>
            </w:pPr>
          </w:p>
        </w:tc>
      </w:tr>
      <w:tr>
        <w:trPr>
          <w:trHeight w:val="256"/>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120" w:type="dxa"/>
            <w:vAlign w:val="bottom"/>
            <w:tcBorders>
              <w:bottom w:val="single" w:sz="8" w:color="CCEEFF"/>
            </w:tcBorders>
            <w:shd w:val="clear" w:color="auto" w:fill="CCEEFF"/>
          </w:tcPr>
          <w:p>
            <w:pPr>
              <w:jc w:val="right"/>
              <w:ind w:right="92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2"/>
              </w:rPr>
              <w:t>(35,155)</w:t>
            </w:r>
          </w:p>
        </w:tc>
        <w:tc>
          <w:tcPr>
            <w:tcW w:w="120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8"/>
              </w:rPr>
              <w:t>14,256</w:t>
            </w:r>
          </w:p>
        </w:tc>
      </w:tr>
      <w:tr>
        <w:trPr>
          <w:trHeight w:val="243"/>
        </w:trPr>
        <w:tc>
          <w:tcPr>
            <w:tcW w:w="746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1120" w:type="dxa"/>
            <w:vAlign w:val="bottom"/>
          </w:tcPr>
          <w:p>
            <w:pPr>
              <w:spacing w:after="0"/>
              <w:rPr>
                <w:sz w:val="21"/>
                <w:szCs w:val="21"/>
                <w:color w:val="auto"/>
              </w:rPr>
            </w:pPr>
          </w:p>
        </w:tc>
        <w:tc>
          <w:tcPr>
            <w:tcW w:w="800" w:type="dxa"/>
            <w:vAlign w:val="bottom"/>
          </w:tcPr>
          <w:p>
            <w:pPr>
              <w:jc w:val="right"/>
              <w:ind w:right="74"/>
              <w:spacing w:after="0"/>
              <w:rPr>
                <w:sz w:val="20"/>
                <w:szCs w:val="20"/>
                <w:color w:val="auto"/>
              </w:rPr>
            </w:pPr>
            <w:r>
              <w:rPr>
                <w:rFonts w:ascii="Arial" w:cs="Arial" w:eastAsia="Arial" w:hAnsi="Arial"/>
                <w:sz w:val="18"/>
                <w:szCs w:val="18"/>
                <w:color w:val="auto"/>
              </w:rPr>
              <w:t>(6,605)</w:t>
            </w:r>
          </w:p>
        </w:tc>
        <w:tc>
          <w:tcPr>
            <w:tcW w:w="120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1,045</w:t>
            </w:r>
          </w:p>
        </w:tc>
      </w:tr>
      <w:tr>
        <w:trPr>
          <w:trHeight w:val="27"/>
        </w:trPr>
        <w:tc>
          <w:tcPr>
            <w:tcW w:w="7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3"/>
        </w:trPr>
        <w:tc>
          <w:tcPr>
            <w:tcW w:w="7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7"/>
        </w:trPr>
        <w:tc>
          <w:tcPr>
            <w:tcW w:w="74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effective income tax rates for the three months ended September 30, 2013 and 2012 were 18.8% and 7.3%, respectively. For the three months ended September 30, 2013, the increase in the income tax rate compared to the same period in 2012 was primarily the result of the goodwill impairment charge as only a portion of the impairment charge was deductible for tax and a lower income within our U.S.-based operations relative to foreign operations, which created a favorable effect on our effective</w:t>
      </w: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125" w:right="31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tax rate. Also, in the current quarter, we recorded a benefit of $2.3 million for the release of uncertain tax positions and related interest due to the expiration of the statute of limitations, which is offset by an expense of $0.2 million due to additional U.S. tax contingency reserves.</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September 2013, the Internal Revenue Service released final tangible property regulations regarding the deduction and capitalization of expenditures related to tangible property. Also released were proposed regulations regarding dispositions of tangible property. The regulations are effective beginning January 1, 2014, however, early adoption is allowed. The Company does not believe the regulations will have a material impact on the Company's financial statements when they are adopted.</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our effective income tax rate for the full year to be approximately 36.3% resulting largely from the income tax impact associated with the goodwill impairment, offset with foreign earnings taxed at lower tax rates, as well as the expected release of tax contingency reserves. This estimate could be revised in the future as additional information is presented to the Company.</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effective tax rate may vary from period to period depending on, among other factors, the geographic and business mix of taxable earnings and losses, tax planning and settlements with the various taxing authorities. We consider these factors and others, including our history of generating taxable earnings, in assessing our ability to realize deferred tax assets on a quarterly basis.</w:t>
      </w:r>
    </w:p>
    <w:p>
      <w:pPr>
        <w:spacing w:after="0" w:line="14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While it is often difficult to predict the final outcome or the timing of resolution of any particular matter with the various Federal, state and foreign tax authorities, we believe that our reserves reflect the most probable outcome of known tax contingencies. Settlement of any particular issue would usually require the use of cash. Favorable resolution would be recognized as a reduction to our annual effective tax rate in the year of resolution. The tax reserves are presented in the balance sheet within other liabilities, except for amounts relating to items we expect to pay in the coming year which are classified as current income taxes payable.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2013 as Compared to Nine Months Ended September 30,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w:t>
      </w:r>
    </w:p>
    <w:p>
      <w:pPr>
        <w:spacing w:after="0" w:line="9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the nine-month period ended September 30, 2013, total revenues decreased by $1.0 million to $615.4 million from $616.4 million during the prior-year period.</w:t>
      </w:r>
    </w:p>
    <w:p>
      <w:pPr>
        <w:spacing w:after="0" w:line="170"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Our total revenues for the nine-month period ended September 30, 2013, were negatively affected by our voluntary recall of certain products manufactured in our Añasco, Puerto Rico facility, including DuraGen® Dural Graft Matrix products.</w:t>
      </w:r>
    </w:p>
    <w:p>
      <w:pPr>
        <w:spacing w:after="0" w:line="116"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U.S. Neurosurgery revenues were $125.9 million, in line with prior year. Capital sales were up mid-single digits as we saw growth in our critical care, cranial stabilization and stereotaxy lines. These increases were offset by decreases in sales of our collagen products resulting from their lack of availability because of the recall.</w:t>
      </w:r>
    </w:p>
    <w:p>
      <w:pPr>
        <w:spacing w:after="0" w:line="12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U.S. Instruments revenues were $118.7 million, a decrease of 2% from the prior year. We experienced lower sales of our legacy lighting products due to some product discontinuation and conversion of the legacy xenon lighting products to LED lighting. There was softness in our alternate site sales due to pricing pressures and product discontinuation of some of our lower margin products.</w:t>
      </w:r>
    </w:p>
    <w:p>
      <w:pPr>
        <w:spacing w:after="0" w:line="12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U.S. Extremities revenues were $98.4 million, an increase of 7% from the prior year. This growth resulted from low-double digit growth in both our upper and lower extremities businesses, driven by new product introductions, including pyrocarbon implants. Sales of our dermal and wound care products were up high-single digits.</w:t>
      </w:r>
    </w:p>
    <w:p>
      <w:pPr>
        <w:spacing w:after="0" w:line="12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U.S. Spine and Other revenues, which include our spine hardware, orthobiologics and private label products, were $133.4 million, a decrease of 7% from the prior year. In addition to general market softness and pricing pressure, our spine hardware product sales declined more than the market because of poor execution in the business and some distributor turnover. Orthobiologics sales increased low-single digits and were affected by backorders in collagen ceramic bone void fillers in the first half of 2013. Our supplies returned to normal levels by the end of the third quarter. Sales growth in the rest of the portfolio offset much of this decrease, and demand for the overall orthobiologics line remains strong. Sales of our private label products were down significantly from the prior-year period due to the loss of some business to certain customers as related to the recall-related supply shortages.</w:t>
      </w:r>
    </w:p>
    <w:p>
      <w:pPr>
        <w:spacing w:after="0" w:line="1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International segment revenues were $139.0 million, an increase of 3% from prior year. Our sales around the world were affected by the recall of our collagen products and backorders on these recalled products, however, we cleared most of our backorders in the third quarter of 2013. We saw growth in our spine implants and dermal and wound businesses with several</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new product introductions and increasing product coverage in direct and indirect channels. We experienced some growth in Asia-Pacific and Latin America markets for our duraplasty products. Foreign currency unfavorably impacted our sales by $0.2 million.</w:t>
      </w:r>
    </w:p>
    <w:p>
      <w:pPr>
        <w:spacing w:after="0" w:line="1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Gross margin decreased 4% to $368.0 million for the nine-month period ended September 30, 2013 from $383.9 million for the same period last year. Gross margin as a percentage of total revenue decreased to 59.8% for the nine months of 2013 from 62.3% for the same period last year. The decrease in gross margin percentage resulted primarily from increases in reserves related to inventory associated with the recall and increased quality costs at our manufacturing facilities. Finally, in January, we began paying the manufacturer's excise tax imposed on the first sale of certain medical devices in the United States. We elected to capitalize the excise tax in inventory and subsequently record in cost of goods sold as these products are sold to third-party customers, which had the impact of decreasing our gross margin by 0.7%.</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operating expenses as a percent of total revenues:</w:t>
      </w:r>
    </w:p>
    <w:p>
      <w:pPr>
        <w:spacing w:after="0" w:line="352" w:lineRule="exact"/>
        <w:rPr>
          <w:sz w:val="20"/>
          <w:szCs w:val="20"/>
          <w:color w:val="auto"/>
        </w:rPr>
      </w:pPr>
    </w:p>
    <w:p>
      <w:pPr>
        <w:ind w:left="834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23495</wp:posOffset>
            </wp:positionV>
            <wp:extent cx="24352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gridSpan w:val="2"/>
          </w:tcPr>
          <w:p>
            <w:pPr>
              <w:ind w:left="8280"/>
              <w:spacing w:after="0"/>
              <w:rPr>
                <w:sz w:val="20"/>
                <w:szCs w:val="20"/>
                <w:color w:val="auto"/>
              </w:rPr>
            </w:pPr>
            <w:r>
              <w:rPr>
                <w:rFonts w:ascii="Arial" w:cs="Arial" w:eastAsia="Arial" w:hAnsi="Arial"/>
                <w:sz w:val="14"/>
                <w:szCs w:val="14"/>
                <w:b w:val="1"/>
                <w:bCs w:val="1"/>
                <w:color w:val="auto"/>
              </w:rPr>
              <w:t>2013</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jc w:val="right"/>
              <w:ind w:right="693"/>
              <w:spacing w:after="0"/>
              <w:rPr>
                <w:sz w:val="20"/>
                <w:szCs w:val="20"/>
                <w:color w:val="auto"/>
              </w:rPr>
            </w:pPr>
            <w:r>
              <w:rPr>
                <w:rFonts w:ascii="Arial" w:cs="Arial" w:eastAsia="Arial" w:hAnsi="Arial"/>
                <w:sz w:val="14"/>
                <w:szCs w:val="14"/>
                <w:b w:val="1"/>
                <w:bCs w:val="1"/>
                <w:color w:val="auto"/>
              </w:rPr>
              <w:t>2012</w:t>
            </w:r>
          </w:p>
        </w:tc>
      </w:tr>
      <w:tr>
        <w:trPr>
          <w:trHeight w:val="250"/>
        </w:trPr>
        <w:tc>
          <w:tcPr>
            <w:tcW w:w="74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43"/>
        </w:trPr>
        <w:tc>
          <w:tcPr>
            <w:tcW w:w="870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660" w:type="dxa"/>
            <w:vAlign w:val="bottom"/>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44.9%</w:t>
            </w:r>
          </w:p>
        </w:tc>
      </w:tr>
      <w:tr>
        <w:trPr>
          <w:trHeight w:val="27"/>
        </w:trPr>
        <w:tc>
          <w:tcPr>
            <w:tcW w:w="7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8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 amortization</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8700" w:type="dxa"/>
            <w:vAlign w:val="bottom"/>
            <w:gridSpan w:val="2"/>
          </w:tcPr>
          <w:p>
            <w:pPr>
              <w:ind w:left="40"/>
              <w:spacing w:after="0"/>
              <w:rPr>
                <w:sz w:val="20"/>
                <w:szCs w:val="20"/>
                <w:color w:val="auto"/>
              </w:rPr>
            </w:pPr>
            <w:r>
              <w:rPr>
                <w:rFonts w:ascii="Arial" w:cs="Arial" w:eastAsia="Arial" w:hAnsi="Arial"/>
                <w:sz w:val="18"/>
                <w:szCs w:val="18"/>
                <w:color w:val="auto"/>
              </w:rPr>
              <w:t>Goodwill impairment charge</w:t>
            </w:r>
          </w:p>
        </w:tc>
        <w:tc>
          <w:tcPr>
            <w:tcW w:w="66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4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69"/>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Total operating expenses, which consist of research and development expenses, selling, general and administrative expenses, amortization expense and goodwill impairment, increased $61.0 million, or 19%, to $389.7 million in the nine months of 2013, compared to $328.7 million in the same period last year.</w:t>
      </w:r>
    </w:p>
    <w:p>
      <w:pPr>
        <w:spacing w:after="0" w:line="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Research and development expenses in the nine months of 2013 decreased slightly compared to the same period last year due to lower spending on product development.</w:t>
      </w:r>
    </w:p>
    <w:p>
      <w:pPr>
        <w:spacing w:after="0" w:line="11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Selling, general and administrative expenses in the nine months of 2013 increased by $19.1 million to $295.7 million compared to $276.6 million in the same period last year. Selling and marketing expenses increased by $11.1 million primarily resulting from higher headcount. Additionally, U.S. Extremities' commission costs were higher as a result of increases in revenue. General and administrative costs were up $8.0 million primarily because of higher headcount, increased expenses incurred in connection with the implementation of our global ERP system, and consulting costs to support various strategic projects.</w:t>
      </w:r>
    </w:p>
    <w:p>
      <w:pPr>
        <w:spacing w:after="0" w:line="13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Amortization expense in the nine months of 2013 decreased by $4.3 million to $9.7 million, compared to $14.0 million in the same period last year. The decrease is primarily due to certain intangible assets becoming fully amortized in the first half of 2013.</w:t>
      </w:r>
    </w:p>
    <w:p>
      <w:pPr>
        <w:spacing w:after="0" w:line="170" w:lineRule="exact"/>
        <w:rPr>
          <w:sz w:val="20"/>
          <w:szCs w:val="20"/>
          <w:color w:val="auto"/>
        </w:rPr>
      </w:pPr>
    </w:p>
    <w:p>
      <w:pPr>
        <w:jc w:val="both"/>
        <w:ind w:right="140"/>
        <w:spacing w:after="0" w:line="342" w:lineRule="auto"/>
        <w:rPr>
          <w:sz w:val="20"/>
          <w:szCs w:val="20"/>
          <w:color w:val="auto"/>
        </w:rPr>
      </w:pPr>
      <w:r>
        <w:rPr>
          <w:rFonts w:ascii="Arial" w:cs="Arial" w:eastAsia="Arial" w:hAnsi="Arial"/>
          <w:sz w:val="16"/>
          <w:szCs w:val="16"/>
          <w:color w:val="auto"/>
        </w:rPr>
        <w:t>Operating expenses for the nine months of 2013 also included a goodwill impairment charge of $46.7 million. The goodwill impairment charge is related to our U.S. Spine reporting unit. See Note 4 "Goodwill and Other Intangible Assets" to our condensed consolidated financial statements for further discussion.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non-operating income and expenses: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020" w:type="dxa"/>
            <w:vAlign w:val="bottom"/>
            <w:tcBorders>
              <w:bottom w:val="single" w:sz="8" w:color="auto"/>
            </w:tcBorders>
            <w:gridSpan w:val="3"/>
          </w:tcPr>
          <w:p>
            <w:pPr>
              <w:jc w:val="center"/>
              <w:ind w:left="648"/>
              <w:spacing w:after="0"/>
              <w:rPr>
                <w:sz w:val="20"/>
                <w:szCs w:val="20"/>
                <w:color w:val="auto"/>
              </w:rPr>
            </w:pPr>
            <w:r>
              <w:rPr>
                <w:rFonts w:ascii="Arial" w:cs="Arial" w:eastAsia="Arial" w:hAnsi="Arial"/>
                <w:sz w:val="14"/>
                <w:szCs w:val="14"/>
                <w:b w:val="1"/>
                <w:bCs w:val="1"/>
                <w:color w:val="auto"/>
                <w:w w:val="92"/>
              </w:rPr>
              <w:t>Nine Months Ended September 30,</w:t>
            </w:r>
          </w:p>
        </w:tc>
        <w:tc>
          <w:tcPr>
            <w:tcW w:w="700" w:type="dxa"/>
            <w:vAlign w:val="bottom"/>
            <w:tcBorders>
              <w:bottom w:val="single" w:sz="8" w:color="auto"/>
            </w:tcBorders>
          </w:tcPr>
          <w:p>
            <w:pPr>
              <w:spacing w:after="0"/>
              <w:rPr>
                <w:sz w:val="16"/>
                <w:szCs w:val="16"/>
                <w:color w:val="auto"/>
              </w:rPr>
            </w:pPr>
          </w:p>
        </w:tc>
      </w:tr>
      <w:tr>
        <w:trPr>
          <w:trHeight w:val="264"/>
        </w:trPr>
        <w:tc>
          <w:tcPr>
            <w:tcW w:w="3700" w:type="dxa"/>
            <w:vAlign w:val="bottom"/>
          </w:tcPr>
          <w:p>
            <w:pPr>
              <w:spacing w:after="0"/>
              <w:rPr>
                <w:sz w:val="22"/>
                <w:szCs w:val="22"/>
                <w:color w:val="auto"/>
              </w:rPr>
            </w:pPr>
          </w:p>
        </w:tc>
        <w:tc>
          <w:tcPr>
            <w:tcW w:w="50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7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2012</w:t>
            </w:r>
          </w:p>
        </w:tc>
        <w:tc>
          <w:tcPr>
            <w:tcW w:w="700" w:type="dxa"/>
            <w:vAlign w:val="bottom"/>
          </w:tcPr>
          <w:p>
            <w:pPr>
              <w:spacing w:after="0"/>
              <w:rPr>
                <w:sz w:val="22"/>
                <w:szCs w:val="22"/>
                <w:color w:val="auto"/>
              </w:rPr>
            </w:pPr>
          </w:p>
        </w:tc>
      </w:tr>
      <w:tr>
        <w:trPr>
          <w:trHeight w:val="196"/>
        </w:trPr>
        <w:tc>
          <w:tcPr>
            <w:tcW w:w="37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gridSpan w:val="2"/>
          </w:tcPr>
          <w:p>
            <w:pPr>
              <w:jc w:val="center"/>
              <w:ind w:right="299"/>
              <w:spacing w:after="0"/>
              <w:rPr>
                <w:sz w:val="20"/>
                <w:szCs w:val="20"/>
                <w:color w:val="auto"/>
              </w:rPr>
            </w:pPr>
            <w:r>
              <w:rPr>
                <w:rFonts w:ascii="Arial" w:cs="Arial" w:eastAsia="Arial" w:hAnsi="Arial"/>
                <w:sz w:val="14"/>
                <w:szCs w:val="14"/>
                <w:b w:val="1"/>
                <w:bCs w:val="1"/>
                <w:color w:val="auto"/>
                <w:w w:val="93"/>
              </w:rPr>
              <w:t>(In thousands)</w:t>
            </w:r>
          </w:p>
        </w:tc>
        <w:tc>
          <w:tcPr>
            <w:tcW w:w="700" w:type="dxa"/>
            <w:vAlign w:val="bottom"/>
            <w:tcBorders>
              <w:top w:val="single" w:sz="8" w:color="auto"/>
            </w:tcBorders>
          </w:tcPr>
          <w:p>
            <w:pPr>
              <w:spacing w:after="0"/>
              <w:rPr>
                <w:sz w:val="17"/>
                <w:szCs w:val="17"/>
                <w:color w:val="auto"/>
              </w:rPr>
            </w:pPr>
          </w:p>
        </w:tc>
      </w:tr>
      <w:tr>
        <w:trPr>
          <w:trHeight w:val="256"/>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5000" w:type="dxa"/>
            <w:vAlign w:val="bottom"/>
            <w:tcBorders>
              <w:bottom w:val="single" w:sz="8" w:color="CCEEFF"/>
            </w:tcBorders>
            <w:gridSpan w:val="2"/>
            <w:shd w:val="clear" w:color="auto" w:fill="CCEEFF"/>
          </w:tcPr>
          <w:p>
            <w:pPr>
              <w:jc w:val="right"/>
              <w:ind w:right="908"/>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390</w:t>
            </w:r>
          </w:p>
        </w:tc>
        <w:tc>
          <w:tcPr>
            <w:tcW w:w="116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893</w:t>
            </w: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9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w w:val="95"/>
              </w:rPr>
              <w:t>(15,081)</w:t>
            </w:r>
          </w:p>
        </w:tc>
        <w:tc>
          <w:tcPr>
            <w:tcW w:w="1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(20,581)</w:t>
            </w:r>
          </w:p>
        </w:tc>
      </w:tr>
      <w:tr>
        <w:trPr>
          <w:trHeight w:val="27"/>
        </w:trPr>
        <w:tc>
          <w:tcPr>
            <w:tcW w:w="37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9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(1,544)</w:t>
            </w:r>
          </w:p>
        </w:tc>
        <w:tc>
          <w:tcPr>
            <w:tcW w:w="1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891"/>
        </w:trPr>
        <w:tc>
          <w:tcPr>
            <w:tcW w:w="3700" w:type="dxa"/>
            <w:vAlign w:val="bottom"/>
          </w:tcPr>
          <w:p>
            <w:pPr>
              <w:spacing w:after="0"/>
              <w:rPr>
                <w:sz w:val="24"/>
                <w:szCs w:val="24"/>
                <w:color w:val="auto"/>
              </w:rPr>
            </w:pPr>
          </w:p>
        </w:tc>
        <w:tc>
          <w:tcPr>
            <w:tcW w:w="3900" w:type="dxa"/>
            <w:vAlign w:val="bottom"/>
          </w:tcPr>
          <w:p>
            <w:pPr>
              <w:jc w:val="right"/>
              <w:ind w:right="1716"/>
              <w:spacing w:after="0"/>
              <w:rPr>
                <w:sz w:val="20"/>
                <w:szCs w:val="20"/>
                <w:color w:val="auto"/>
              </w:rPr>
            </w:pPr>
            <w:r>
              <w:rPr>
                <w:rFonts w:ascii="Arial" w:cs="Arial" w:eastAsia="Arial" w:hAnsi="Arial"/>
                <w:sz w:val="18"/>
                <w:szCs w:val="18"/>
                <w:color w:val="auto"/>
              </w:rPr>
              <w:t>27</w:t>
            </w:r>
          </w:p>
        </w:tc>
        <w:tc>
          <w:tcPr>
            <w:tcW w:w="1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380"/>
          </w:cols>
          <w:pgMar w:left="240" w:top="125" w:right="27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Interest Expense</w:t>
      </w:r>
    </w:p>
    <w:p>
      <w:pPr>
        <w:spacing w:after="0" w:line="9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Interest income decreased in the nine-month period ended September 30, 2013 because the Company no longer holds any short-term investments in time deposit accounts held outside the United States as it did in the prior year period.</w:t>
      </w:r>
    </w:p>
    <w:p>
      <w:pPr>
        <w:spacing w:after="0" w:line="11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Interest expense in the nine-month period ended September 30, 2013 decreased by $5.5 million primarily as a result of the June 2012 repayment of our 2012 Senior Convertible Notes, which decreased our interest expense by $4.9 million. In addition, we capitalized $2.2 million of interest expense on our qualified construction in progress balances in 2013. This amount was offset by an additional $1.2 million of higher interest because of increased borrowing on our revolving line of credit. Furthermore, the amount of our 2016 Notes discount amortization increased by $0.3 million as expected when using the effective interest method for its amortization in the nine month period ended September 30, 2012. Our reported interest expense for the nine-month periods ended September 30, 2013 and 2012 includes non-cash interest related to the accounting for convertible securities of $4.9 million and $8.3 million,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9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Other expenses of $1.5 million in 2013 were primarily attributable to a write off of $1.5 million for a capital expenditure project not placed into service and by foreign exchange losses on intercompany balances.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60" w:type="dxa"/>
            <w:vAlign w:val="bottom"/>
          </w:tcPr>
          <w:p>
            <w:pPr>
              <w:spacing w:after="0"/>
              <w:rPr>
                <w:sz w:val="16"/>
                <w:szCs w:val="16"/>
                <w:color w:val="auto"/>
              </w:rPr>
            </w:pPr>
          </w:p>
        </w:tc>
        <w:tc>
          <w:tcPr>
            <w:tcW w:w="3120" w:type="dxa"/>
            <w:vAlign w:val="bottom"/>
            <w:tcBorders>
              <w:bottom w:val="single" w:sz="8" w:color="auto"/>
            </w:tcBorders>
            <w:gridSpan w:val="3"/>
          </w:tcPr>
          <w:p>
            <w:pPr>
              <w:jc w:val="center"/>
              <w:ind w:left="702"/>
              <w:spacing w:after="0"/>
              <w:rPr>
                <w:sz w:val="20"/>
                <w:szCs w:val="20"/>
                <w:color w:val="auto"/>
              </w:rPr>
            </w:pPr>
            <w:r>
              <w:rPr>
                <w:rFonts w:ascii="Arial" w:cs="Arial" w:eastAsia="Arial" w:hAnsi="Arial"/>
                <w:sz w:val="14"/>
                <w:szCs w:val="14"/>
                <w:b w:val="1"/>
                <w:bCs w:val="1"/>
                <w:color w:val="auto"/>
                <w:w w:val="92"/>
              </w:rPr>
              <w:t>Nine Months Ended September 30,</w:t>
            </w:r>
          </w:p>
        </w:tc>
        <w:tc>
          <w:tcPr>
            <w:tcW w:w="740" w:type="dxa"/>
            <w:vAlign w:val="bottom"/>
            <w:tcBorders>
              <w:bottom w:val="single" w:sz="8" w:color="auto"/>
            </w:tcBorders>
          </w:tcPr>
          <w:p>
            <w:pPr>
              <w:spacing w:after="0"/>
              <w:rPr>
                <w:sz w:val="16"/>
                <w:szCs w:val="16"/>
                <w:color w:val="auto"/>
              </w:rPr>
            </w:pPr>
          </w:p>
        </w:tc>
      </w:tr>
      <w:tr>
        <w:trPr>
          <w:trHeight w:val="264"/>
        </w:trPr>
        <w:tc>
          <w:tcPr>
            <w:tcW w:w="746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8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740" w:type="dxa"/>
            <w:vAlign w:val="bottom"/>
            <w:tcBorders>
              <w:bottom w:val="single" w:sz="8" w:color="auto"/>
            </w:tcBorders>
          </w:tcPr>
          <w:p>
            <w:pPr>
              <w:spacing w:after="0"/>
              <w:rPr>
                <w:sz w:val="22"/>
                <w:szCs w:val="22"/>
                <w:color w:val="auto"/>
              </w:rPr>
            </w:pPr>
          </w:p>
        </w:tc>
      </w:tr>
      <w:tr>
        <w:trPr>
          <w:trHeight w:val="196"/>
        </w:trPr>
        <w:tc>
          <w:tcPr>
            <w:tcW w:w="7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0" w:type="dxa"/>
            <w:vAlign w:val="bottom"/>
            <w:gridSpan w:val="2"/>
          </w:tcPr>
          <w:p>
            <w:pPr>
              <w:jc w:val="center"/>
              <w:ind w:right="259"/>
              <w:spacing w:after="0"/>
              <w:rPr>
                <w:sz w:val="20"/>
                <w:szCs w:val="20"/>
                <w:color w:val="auto"/>
              </w:rPr>
            </w:pPr>
            <w:r>
              <w:rPr>
                <w:rFonts w:ascii="Arial" w:cs="Arial" w:eastAsia="Arial" w:hAnsi="Arial"/>
                <w:sz w:val="14"/>
                <w:szCs w:val="14"/>
                <w:b w:val="1"/>
                <w:bCs w:val="1"/>
                <w:color w:val="auto"/>
                <w:w w:val="93"/>
              </w:rPr>
              <w:t>(In thousands)</w:t>
            </w:r>
          </w:p>
        </w:tc>
        <w:tc>
          <w:tcPr>
            <w:tcW w:w="740" w:type="dxa"/>
            <w:vAlign w:val="bottom"/>
          </w:tcPr>
          <w:p>
            <w:pPr>
              <w:spacing w:after="0"/>
              <w:rPr>
                <w:sz w:val="17"/>
                <w:szCs w:val="17"/>
                <w:color w:val="auto"/>
              </w:rPr>
            </w:pPr>
          </w:p>
        </w:tc>
      </w:tr>
      <w:tr>
        <w:trPr>
          <w:trHeight w:val="256"/>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before income taxes</w:t>
            </w:r>
          </w:p>
        </w:tc>
        <w:tc>
          <w:tcPr>
            <w:tcW w:w="1120" w:type="dxa"/>
            <w:vAlign w:val="bottom"/>
            <w:tcBorders>
              <w:bottom w:val="single" w:sz="8" w:color="CCEEFF"/>
            </w:tcBorders>
            <w:shd w:val="clear" w:color="auto" w:fill="CCEEFF"/>
          </w:tcPr>
          <w:p>
            <w:pPr>
              <w:jc w:val="right"/>
              <w:ind w:right="92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2"/>
              </w:rPr>
              <w:t>(37,915)</w:t>
            </w:r>
          </w:p>
        </w:tc>
        <w:tc>
          <w:tcPr>
            <w:tcW w:w="120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8"/>
              </w:rPr>
              <w:t>35,418</w:t>
            </w:r>
          </w:p>
        </w:tc>
      </w:tr>
      <w:tr>
        <w:trPr>
          <w:trHeight w:val="243"/>
        </w:trPr>
        <w:tc>
          <w:tcPr>
            <w:tcW w:w="746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1120" w:type="dxa"/>
            <w:vAlign w:val="bottom"/>
          </w:tcPr>
          <w:p>
            <w:pPr>
              <w:spacing w:after="0"/>
              <w:rPr>
                <w:sz w:val="21"/>
                <w:szCs w:val="21"/>
                <w:color w:val="auto"/>
              </w:rPr>
            </w:pPr>
          </w:p>
        </w:tc>
        <w:tc>
          <w:tcPr>
            <w:tcW w:w="800" w:type="dxa"/>
            <w:vAlign w:val="bottom"/>
          </w:tcPr>
          <w:p>
            <w:pPr>
              <w:jc w:val="right"/>
              <w:ind w:right="74"/>
              <w:spacing w:after="0"/>
              <w:rPr>
                <w:sz w:val="20"/>
                <w:szCs w:val="20"/>
                <w:color w:val="auto"/>
              </w:rPr>
            </w:pPr>
            <w:r>
              <w:rPr>
                <w:rFonts w:ascii="Arial" w:cs="Arial" w:eastAsia="Arial" w:hAnsi="Arial"/>
                <w:sz w:val="18"/>
                <w:szCs w:val="18"/>
                <w:color w:val="auto"/>
              </w:rPr>
              <w:t>(8,755)</w:t>
            </w:r>
          </w:p>
        </w:tc>
        <w:tc>
          <w:tcPr>
            <w:tcW w:w="120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7,000</w:t>
            </w:r>
          </w:p>
        </w:tc>
      </w:tr>
      <w:tr>
        <w:trPr>
          <w:trHeight w:val="27"/>
        </w:trPr>
        <w:tc>
          <w:tcPr>
            <w:tcW w:w="7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3"/>
        </w:trPr>
        <w:tc>
          <w:tcPr>
            <w:tcW w:w="7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7"/>
        </w:trPr>
        <w:tc>
          <w:tcPr>
            <w:tcW w:w="74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Company's effective income tax rates for the nine months ended September 30, 2013 and 2012 were 23.1% and 19.8%, respectively. For the nine months ended September 30, 2013, the increase in the income tax rate compared to the same period in 2012 primarily resulted from the tax impact of the goodwill impairment as only a portion of the impairment charge was deductible for tax and the release of uncertain tax positions.</w:t>
      </w:r>
    </w:p>
    <w:p>
      <w:pPr>
        <w:spacing w:after="0" w:line="11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effective tax rate may vary from period to period depending on, among other factors, the geographic and business mix of taxable earnings and losses, tax planning and settlements with the various taxing authorities. We consider these factors and others, including our history of generating taxable earnings, in assessing our ability to realize deferred tax assets on a quarterly basis.</w:t>
      </w:r>
    </w:p>
    <w:p>
      <w:pPr>
        <w:spacing w:after="0" w:line="12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While it is often difficult to predict the final outcome or the timing of resolution of any particular matter with the various Federal, state and foreign tax authorities, we believe that our reserves reflect the most probable outcome of known tax contingencies. Settlement of any particular issue would usually require the use of cash. Favorable resolution would be recognized as a reduction to our annual effective tax rate in the year of resolution. The tax reserves are presented in the balance sheet within other liabilities, except for amounts relating to items it expects to pay in the coming year which are classified as current income taxes payable.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We expect our effective income tax rate for the full year to be approximately 36.3%.</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125" w:right="29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PRODUCT REVENUES AND OPERATIONS</w:t>
      </w:r>
    </w:p>
    <w:p>
      <w:pPr>
        <w:spacing w:after="0" w:line="9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attribute revenues to geographic areas based on the location of the customer. There are certain revenues that the various U.S. segments manage that are generated from non-U.S. customers and therefore included in Europe and the Rest of World revenues below – these revenues are not significant. Total revenue by major geographic area consisted of the following:</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6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250"/>
        </w:trPr>
        <w:tc>
          <w:tcPr>
            <w:tcW w:w="5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166,555</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165,930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473,740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478,087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Europe</w:t>
            </w:r>
          </w:p>
        </w:tc>
        <w:tc>
          <w:tcPr>
            <w:tcW w:w="28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21,543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20,351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8"/>
              <w:spacing w:after="0"/>
              <w:rPr>
                <w:sz w:val="20"/>
                <w:szCs w:val="20"/>
                <w:color w:val="auto"/>
              </w:rPr>
            </w:pPr>
            <w:r>
              <w:rPr>
                <w:rFonts w:ascii="Arial" w:cs="Arial" w:eastAsia="Arial" w:hAnsi="Arial"/>
                <w:sz w:val="18"/>
                <w:szCs w:val="18"/>
                <w:color w:val="auto"/>
              </w:rPr>
              <w:t>68,936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66,903</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25,148</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23,803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72,769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71,449</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213,246</w:t>
            </w: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210,084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615,445</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616,439</w:t>
            </w:r>
          </w:p>
        </w:tc>
      </w:tr>
      <w:tr>
        <w:trPr>
          <w:trHeight w:val="27"/>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Domestic revenues increased slightly to $166.6 million, or 78% of total revenues, for the three months ended September 30, 2013 from $165.9 million, or 79% of total revenues, for the three months ended September 30, 2012. International revenues increased to $46.7 million from $44.2 million in the prior-year period, an increase of 6%. Foreign exchange rate fluctuations accounted for a $0.1 million increase in revenues during the third quarter of 2013 as compared to the same period last year.</w:t>
      </w:r>
    </w:p>
    <w:p>
      <w:pPr>
        <w:spacing w:after="0" w:line="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Domestic revenues decreased by 1% to $473.7 million, and were 77% of the total revenues, for the nine months ended September 30, 2013 from $478.1 million, or 78% of total revenues, for the nine months ended September 30, 2012. International revenues increased by 2% to $141.7 million and were 23% of total revenues, for the nine months ended September 30, 2013 from 138.4 million, or 22% of total revenues, for the nine months ended September 30, 2012. Foreign exchange rate fluctuations accounted for a $0.2 million decrease in revenues during the nine-month period ended September 30, 2013 as compared to the same period last year.</w:t>
      </w:r>
    </w:p>
    <w:p>
      <w:pPr>
        <w:spacing w:after="0" w:line="134"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We generate significant revenues outside the United States, a portion of which are U.S. dollar-denominated transactions conducted with customers who generate revenue in currencies other than the U.S. dollar. As a result, currency fluctuations between the U.S. dollar and the currencies in which those customers do business could have an impact on the demand for our products in foreign countries.</w:t>
      </w:r>
    </w:p>
    <w:p>
      <w:pPr>
        <w:spacing w:after="0" w:line="12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Local economic conditions, regulatory compliance or political considerations, the effectiveness of our sales representatives and distributors, local competition and changes in local medical practice all may combine to affect our sales into markets outside the United States.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Marketable Securities</w:t>
      </w:r>
    </w:p>
    <w:p>
      <w:pPr>
        <w:spacing w:after="0" w:line="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had cash and cash equivalents totaling approximately $118.9 million and $96.9 million at September 30, 2013 and December 31, 2012, respectively. At September 30, 2013, our non-U.S. subsidiaries held approximately $87.3 million of cash and cash equivalents that are available for use by our operations outside of the United States. If these funds were repatriated to the United States, or used for United States operations, certain amounts could be subject to tax in the United States for the incremental amount in excess of the foreign tax paid.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30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20" w:type="dxa"/>
            <w:vAlign w:val="bottom"/>
          </w:tcPr>
          <w:p>
            <w:pPr>
              <w:spacing w:after="0"/>
              <w:rPr>
                <w:sz w:val="22"/>
                <w:szCs w:val="22"/>
                <w:color w:val="auto"/>
              </w:rPr>
            </w:pPr>
          </w:p>
        </w:tc>
        <w:tc>
          <w:tcPr>
            <w:tcW w:w="39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2012</w:t>
            </w: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7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gridSpan w:val="3"/>
          </w:tcPr>
          <w:p>
            <w:pPr>
              <w:jc w:val="right"/>
              <w:ind w:right="616"/>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980" w:type="dxa"/>
            <w:vAlign w:val="bottom"/>
            <w:tcBorders>
              <w:bottom w:val="single" w:sz="8" w:color="CCEEFF"/>
            </w:tcBorders>
            <w:gridSpan w:val="2"/>
            <w:shd w:val="clear" w:color="auto" w:fill="CCEEFF"/>
          </w:tcPr>
          <w:p>
            <w:pPr>
              <w:jc w:val="right"/>
              <w:ind w:right="908"/>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41,572</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62,503</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8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(40,169)</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(49,503)</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28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19,507</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8,933</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Effect of exchange rate fluctuations on cash</w:t>
            </w:r>
          </w:p>
        </w:tc>
        <w:tc>
          <w:tcPr>
            <w:tcW w:w="28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2,977</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980" w:type="dxa"/>
            <w:vAlign w:val="bottom"/>
            <w:tcBorders>
              <w:bottom w:val="single" w:sz="8" w:color="CCEEFF"/>
            </w:tcBorders>
            <w:gridSpan w:val="2"/>
            <w:shd w:val="clear" w:color="auto" w:fill="CCEEFF"/>
          </w:tcPr>
          <w:p>
            <w:pPr>
              <w:jc w:val="right"/>
              <w:ind w:right="908"/>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21,930</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24,910</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bottom w:val="single" w:sz="8" w:color="CCEEFF"/>
            </w:tcBorders>
            <w:vMerge w:val="restart"/>
          </w:tcPr>
          <w:p>
            <w:pPr>
              <w:jc w:val="right"/>
              <w:ind w:right="1714"/>
              <w:spacing w:after="0"/>
              <w:rPr>
                <w:sz w:val="20"/>
                <w:szCs w:val="20"/>
                <w:color w:val="auto"/>
              </w:rPr>
            </w:pPr>
            <w:r>
              <w:rPr>
                <w:rFonts w:ascii="Arial" w:cs="Arial" w:eastAsia="Arial" w:hAnsi="Arial"/>
                <w:sz w:val="18"/>
                <w:szCs w:val="18"/>
                <w:color w:val="auto"/>
              </w:rPr>
              <w:t>29</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72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2013, we anticipate that our principal uses of cash will include payments of the new medical device excise tax in a range of $12.0 to $14.0 million. We also plan to spend approximately $55.0 million on capital expenditures primarily for our continued expansion of regenerative medicine manufacturing capacity, support maintenance in our existing plants, our enterprise resource planning system implementation, and additions to our instrument kits used in sales of orthopedic products.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Provided by Operating Activities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generated operating cash flows of $41.6 million and $62.5 million for the nine months ended September 30, 2013 and 2012, respectively.</w:t>
      </w:r>
    </w:p>
    <w:p>
      <w:pPr>
        <w:spacing w:after="0" w:line="9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Changes in working capital decreased cash flows by approximately $18.5 million. Among the changes in working capital, accounts receivable provided $1.4 million of cash, inventory used $34.9 million of cash, prepaid expenses and other current assets used $0.3 million of cash, and accounts payable, accrued expenses and other current liabilities provided $14.2 million of cash.</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Used in Investing Activities</w:t>
      </w:r>
    </w:p>
    <w:p>
      <w:pPr>
        <w:spacing w:after="0" w:line="94" w:lineRule="exact"/>
        <w:rPr>
          <w:sz w:val="20"/>
          <w:szCs w:val="20"/>
          <w:color w:val="auto"/>
        </w:rPr>
      </w:pPr>
    </w:p>
    <w:p>
      <w:pPr>
        <w:spacing w:after="0" w:line="334" w:lineRule="auto"/>
        <w:rPr>
          <w:sz w:val="20"/>
          <w:szCs w:val="20"/>
          <w:color w:val="auto"/>
        </w:rPr>
      </w:pPr>
      <w:r>
        <w:rPr>
          <w:rFonts w:ascii="Arial" w:cs="Arial" w:eastAsia="Arial" w:hAnsi="Arial"/>
          <w:sz w:val="16"/>
          <w:szCs w:val="16"/>
          <w:color w:val="auto"/>
        </w:rPr>
        <w:t>During the nine months ended September 30, 2013, we paid $37.7 million in cash for capital expenditures, most of which was directed to the expansion of our regenerative medicine production capacity and global enterprise system implementation. We also paid $3.0 million for the acquisition of Tarsus Medical, Inc.</w:t>
      </w:r>
    </w:p>
    <w:p>
      <w:pPr>
        <w:spacing w:after="0" w:line="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During the nine months ended September 30, 2012, we paid $44.4 million in cash for capital expenditures, most of which was directed to the expansion of our regenerative medicine production capacity and global enterprise system implementation. We had net purchases of $3.0 million in short-term time deposit accounts, which is the impact of changes in foreign exchange rates.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Provided by Financing Activities</w:t>
      </w:r>
    </w:p>
    <w:p>
      <w:pPr>
        <w:spacing w:after="0" w:line="17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principal sources of cash for financing activities in the nine months ended September 30, 2013 were $30.0 million of borrowings under our Senior Credit Facility offset by a repayment of $10.0 million and amendment costs of $1.1 million.</w:t>
      </w:r>
    </w:p>
    <w:p>
      <w:pPr>
        <w:spacing w:after="0" w:line="11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Our principal uses of cash for financing activities in the nine months ended September 30, 2012 were $155.0 million of borrowings under our Senior Credit Facility offset by the repayment of the liability component of our 2012 Notes of $134.4 million and $12.8 million of repayments under our Senior Credit Facility.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2013 and December 31, 2012, working capital was $388.3 million and $346.1 million,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Senior Credit Agreement</w:t>
      </w:r>
    </w:p>
    <w:p>
      <w:pPr>
        <w:spacing w:after="0" w:line="9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August 10, 2010, the Company entered into an amended and restated credit agreement (the “Senior Credit Facility") with a syndicate of lending banks and further amended the Senior Credit Facility on June 8, 2011 (the “2011 Amendment”). The 2011 Amendment increased the revolving credit component from $450.0 million to $600.0 million and eliminated the $150.0 million term loan component that previously existed under the Senior Credit Facility, allows the Company to further increase the size of the revolving credit component by an aggregate of $200.0 million with additional commitments, provides the Company with decreased borrowing rates and annual commitment fees, and provides more favorable financial covenants. The 2011 Amendment extended the Senior Credit Facility’s maturity date from August 10, 2015 to June 8, 2016.</w:t>
      </w:r>
    </w:p>
    <w:p>
      <w:pPr>
        <w:spacing w:after="0" w:line="58"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Senior Credit Facility is collateralized by substantially all of the assets of the Company’s U.S. subsidiaries, excluding intangible assets. The Senior Credit Facility is subject to various financial and negative covenants and at September 30, 2013, the Company was in compliance with all such covenants.</w:t>
      </w:r>
    </w:p>
    <w:p>
      <w:pPr>
        <w:spacing w:after="0" w:line="70"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On May 11, 2012, the Company entered into another amendment to the Senior Credit Facility. The amendment modified certain financial and negative covenants as disclosed in Note 5 to the Financial Statements, the effect of which was to increase the Company’s capacity to borrow.</w:t>
      </w:r>
    </w:p>
    <w:p>
      <w:pPr>
        <w:spacing w:after="0" w:line="9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On June 21, 2013, the Company entered into a second amendment to the Senior Credit Facility. The amendment provides for an increase to the Company's Maximum Consolidated Total Leverage Ratio and permits the addition of certain costs and expenses in the calculation of the consolidated EBIDTA as disclosed in Note 5 to the Financial Statements. There were no other changes as a result of the second amendment. In connection with the June 21, 2013 amendment, the Company capitalized $1.1 million in incremental financing costs.</w:t>
      </w:r>
    </w:p>
    <w:p>
      <w:pPr>
        <w:spacing w:after="0" w:line="1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Borrowings under the Senior Credit Facility currently bear interest, at the Company’s option, at a rate equal to (i) the Eurodollar Rate (as defined in the Senior Credit Facility, which definition has not changed) in effect from time to time plus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applicable rate (ranging from 1.00% to 1.75%) or (ii) the highest of (x) the weighted average overnight Federal funds rate, as published by the Federal Reserve Bank of New York, plus 0.5%, (y) the prime lending rate of Bank of America, N.A. or (z) the one-month Eurodollar Rate plus 1.0%. The applicable rates are based on the Company’s Consolidated Total Leverage Ratio (defined as the ratio of (a) consolidated funded indebtedness less cash in excess of $40 million that is not subject to any restriction of the use or investment thereof ("net debt") to (b) consolidated EBITDA) at the time of the applicable borrowing. The Company will also pay an annual commitment fee (ranging from 0.15% to 0.30%, based on the Company’s consolidated total leverage ratio) on the daily amount by which the revolving credit facility exceeds the outstanding loans and letters of credit under the credit facility.</w:t>
      </w:r>
    </w:p>
    <w:p>
      <w:pPr>
        <w:spacing w:after="0" w:line="12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plan to utilize the Senior Credit Facility for working capital, capital expenditures, share repurchases, acquisitions, debt repayments and other general corporate purposes. At September 30, 2013 and December 31, 2012, there was $341.9 million and $321.9 million, respectively, outstanding under the Senior Credit Facility at a weighted average interest rate of 1.9% and 1.8%, respectively. The Company considers the balance to be long-term in nature based on its current intent and ability to repay the borrowing outside of the next twelve-month period.</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At September 30, 2013, there was approximately $258.1 million available, subject to certain limitations, for borrowing under the Senior Credit Facility.</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Debt and Related Hedging Activities</w:t>
      </w:r>
    </w:p>
    <w:p>
      <w:pPr>
        <w:spacing w:after="0" w:line="9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pay interest each June 15 and December 15 on our $230.0 million senior convertible notes due December 2016 (“2016 Notes”) at an annual interest rate of 1.625%.</w:t>
      </w:r>
    </w:p>
    <w:p>
      <w:pPr>
        <w:spacing w:after="0" w:line="11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2016 Notes are senior, unsecured obligations of Integra, and are convertible into cash and, if applicable, shares of our common stock based on an initial conversion rate, subject to adjustment, of 17.4092 shares per $1,000 principal amount of 2016 Notes (which represents an initial conversion price of approximately $57.44 per share). We expect to satisfy any conversion of the 2016 Notes with cash up to the principal amount pursuant to the net share settlement mechanism set forth in the respective indenture and, with respect to any excess conversion value, with shares of our common stock. The 2016 Notes are convertible only in the following circumstances: (1) if the closing sale price of our common stock exceeds 150% of the conversion price during a period as defined in the applicable indenture; (2) if the average trading price per $1,000 principal amount of the 2016 Notes is less than or equal to 98% of the average conversion value of the 2016 Notes during a period as defined in the applicable indenture; (3) at any time on or after June 15, 2016; or (4) if specified corporate transactions occur. The issue price of the 2016 Notes was equal to their face amounts, which is also the amount holders are entitled to receive at maturity if the 2016 Notes are not converted. None of these conditions existed with respect to the 2016 Notes; therefore the 2016 Notes are classified as long-term.</w:t>
      </w:r>
    </w:p>
    <w:p>
      <w:pPr>
        <w:spacing w:after="0" w:line="14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connection with the issuance of the 2016 Notes, we entered into call transactions and warrant transactions, primarily with affiliates of the initial purchasers of the 2016 Notes (the “hedge participants”). The cost of the call transactions to us was approximately $42.9 million for the 2016 Notes. We received approximately $28.5 million of proceeds from the warrant transactions for the 2016 Notes. The call transactions involved our purchasing call options from the hedge participants, and the warrant transactions involved us selling call options to the hedge participants with a higher strike price than the purchased call options. The initial strike price of the call transactions is approximately $57.44 for the 2016 Notes, subject to anti-dilution adjustments. The initial strike price of the warrant transactions is approximately $70.05 for the 2016 Notes, in each case subject to customary anti-dilution adjustments.</w:t>
      </w:r>
    </w:p>
    <w:p>
      <w:pPr>
        <w:spacing w:after="0" w:line="11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may from time to time seek to retire or purchase a portion of our outstanding 2016 Notes through cash purchases and/or exchanges for equity securities, in open market purchases, privately negotiated transactions or otherwise. Such repurchases or exchanges, if any, will depend on prevailing market conditions, our liquidity requirements, contractual restrictions and other factors. Under certain circumstances, the call options associated with any repurchased 2016 Notes may terminate early, but only with respect to the number of 2016 Notes that cease to be outstanding. The amounts involved may be material.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Plan</w:t>
      </w:r>
    </w:p>
    <w:p>
      <w:pPr>
        <w:spacing w:after="0" w:line="25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On October 23, 2012, our Board of Directors authorized a repurchase of up to $75.0 million of outstanding common stock through December 2014. Shares may be repurchased either in the open market or in privately negotiated transactions. We repurchased no shares under this program during the first nine months of 2013 and $75.0 million remains available under the authorization.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4"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have not paid any cash dividends on our common stock since our formation. Our Senior Credit Facility limits the amount of dividends that we may pay. Any future determinations to pay cash dividends on our common stock will be at the discretion of our Board of Directors and will depend upon our financial condition, results of operations, cash flows and other factors deemed relevant by the Board of Directors.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9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believe that our cash and available borrowings under the Senior Credit Facility are sufficient to finance our operations and capital expenditures. The Company considers all such outstanding amounts to be long-term in nature based on its current intent and ability to repay the borrowings outside of the next twelve month period.</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off-balance sheet arrangements during the nine months ended September 30, 2013 that have or are reasonably likely to have, a current or future effect on our financial condition, changes in financial condition, revenues or expenses, results of operations, liquidity, capital expenditures or capital resources that is material to our interests.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critical accounting estimates included in our Annual Report on Form 10-K for the fiscal year ended December 31, 2012 have not materially changed.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56"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 xml:space="preserve">On July 17, 2013, the FASB issued Accounting Standards Update No. 2013-10, </w:t>
      </w:r>
      <w:r>
        <w:rPr>
          <w:rFonts w:ascii="Arial" w:cs="Arial" w:eastAsia="Arial" w:hAnsi="Arial"/>
          <w:sz w:val="17"/>
          <w:szCs w:val="17"/>
          <w:i w:val="1"/>
          <w:iCs w:val="1"/>
          <w:color w:val="auto"/>
        </w:rPr>
        <w:t>Inclusion of the Fed Funds Effective Swap Rate (or Overnight Index Swap</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Rate) as a Benchmark Interest Rate for Hedge Accounting Purposes. </w:t>
      </w:r>
      <w:r>
        <w:rPr>
          <w:rFonts w:ascii="Arial" w:cs="Arial" w:eastAsia="Arial" w:hAnsi="Arial"/>
          <w:sz w:val="17"/>
          <w:szCs w:val="17"/>
          <w:color w:val="auto"/>
        </w:rPr>
        <w:t>The revised standard allows entities to now use the Federal Funds Effective Swap Rate</w:t>
      </w:r>
      <w:r>
        <w:rPr>
          <w:rFonts w:ascii="Arial" w:cs="Arial" w:eastAsia="Arial" w:hAnsi="Arial"/>
          <w:sz w:val="17"/>
          <w:szCs w:val="17"/>
          <w:i w:val="1"/>
          <w:iCs w:val="1"/>
          <w:color w:val="auto"/>
        </w:rPr>
        <w:t xml:space="preserve"> </w:t>
      </w:r>
      <w:r>
        <w:rPr>
          <w:rFonts w:ascii="Arial" w:cs="Arial" w:eastAsia="Arial" w:hAnsi="Arial"/>
          <w:sz w:val="17"/>
          <w:szCs w:val="17"/>
          <w:color w:val="auto"/>
        </w:rPr>
        <w:t>(which is the Overnight Index Swap Rate, or OIS rate, in the U.S.) as a benchmark interest rate for hedge accounting purposes under U.S. GAAP. Previously, only U.S. Treasury and London Interbank Offered Rate (LIBOR) rates could be used as benchmark interest rates in hedge accounting. In issuing the new guidance, which became effective July 17, 2013, the FASB responded to an increase in demand for hedging exposures to the OIS rate, driven partly by regulations that require collateralization and central clearing of over-the-counter derivatives. The guidance allows entities to develop new hedging strategies but doesn’t resolve ineffectiveness issues that arise in existing LIBOR hedges when the OIS rate is used to discount future cash flows. The standard adoption did not have a material impact on the Company's financial statements.</w:t>
      </w:r>
    </w:p>
    <w:p>
      <w:pPr>
        <w:spacing w:after="0" w:line="20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On July 18, 2013, the FASB issued Accounting Standards Update No. 2013-11, </w:t>
      </w:r>
      <w:r>
        <w:rPr>
          <w:rFonts w:ascii="Arial" w:cs="Arial" w:eastAsia="Arial" w:hAnsi="Arial"/>
          <w:sz w:val="16"/>
          <w:szCs w:val="16"/>
          <w:i w:val="1"/>
          <w:iCs w:val="1"/>
          <w:color w:val="auto"/>
        </w:rPr>
        <w:t>Presentation of an Unrecognized Tax Benefit When a Net Operating Loss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Carryforward, a Similar Tax Loss, or a Tax Credit Carryforward Exists. </w:t>
      </w:r>
      <w:r>
        <w:rPr>
          <w:rFonts w:ascii="Arial" w:cs="Arial" w:eastAsia="Arial" w:hAnsi="Arial"/>
          <w:sz w:val="16"/>
          <w:szCs w:val="16"/>
          <w:color w:val="auto"/>
        </w:rPr>
        <w:t>This updated guidance requires an unrecognized tax benefit to be presented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as a reduction to a deferred tax asset for a net operating loss carryforward, similar tax loss, or a tax credit carryforward. To the extent the tax benefit is not available at the reporting date under the governing tax law or if the entity does not intend to use the deferred tax asset for such purpose, the unrecognized tax benefit should be presented as a liability and not combined with deferred tax assets. The ASU 2013-11 is effective for fiscal years and interim periods within those years beginning after December 15, 2013 for public entities. Early adoption is permitted. The amendments are to be applied to all unrecognized tax benefits that exist as of the effective date and may be applied retrospectively to each prior reporting period presented. The Company is in the process of evaluating the impact of this standard, but does not believe its adoption will have a material impact on the Company's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Goodwill, Identifiable Intangible Assets, In-Process Research and Development Charges</w:t>
      </w:r>
    </w:p>
    <w:p>
      <w:pPr>
        <w:spacing w:after="0" w:line="175"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We review goodwill, identifiable intangible assets with indefinite lives and capitalized in-process research and development for impairment annually. We continually assess whether events or changes in circumstances represent a 'triggering' event that would require us to complete an impairment assessment. Factors that we consider in determining whether a triggering event has occurred include a significant change in the business climate, legal factors, operating performance indicators, competition, sale or disposition of significant assets or products, or the termination of development programs. Application of these impairment tests requires significant judgments, including estimation of future cash flows, which is dependent on internal forecasts, estimation of the long-term rate of growth for our business, the useful life over which cash flows will occur and determination of our weighted-average cost of capital.</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Should a triggering event be deemed to occur, and for each of the annual goodwill impairment assessments, we are required to estimate the expected net cash flows to be realized over the life of the asset and/or the asset's fair value. Fair values are determined by a discounted cash flow model. These estimates are also subject to significant management judgment including the determination of many factors such as revenue growth rates, cost growth rates, terminal value assumptions and discount rates. Changes in these estimates can have a significant impact on the determination of cash flows and fair value and could potentially result in future material impairments.</w:t>
      </w:r>
    </w:p>
    <w:p>
      <w:pPr>
        <w:spacing w:after="0" w:line="13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test our goodwill for impairment at least annually on July 31 of each year. We performed our most recent annual assessment on July 31, 2013 which resulted in a non-cash goodwill impairment charge of $46.7 million in our U.S. Spine reporting unit. As previously disclosed, the Company has monitored its U.S. Spine business and disclosed that it was at risk for impairment. In the third quarter, during the course of the annual strategic planning process, the Company determined that both the actual and expected income and cash flows for the U.S. Spine reporting unit were projected to be substantially lower than forecasts, and the U.S. spine market recovery may take longer than originally forecasted, including the current expectation of future significant negative pricing pressures. Factors that contributed to the impairment of the U.S. Spine reporting unit include broader market issues as well as company-specific issues. Company-specific issues have included turnover of some distributors, significant delays in new product introductions and other operational issues that negatively impacted the projected revenues and decreased their projected number by a material amount. As a result, the Company lowered its expectations of recovery in the U.S. market and its related impact on the U.S. Spine reporting unit. This revised outlook resulted in a reduction of the U.S. Spine forecasts of the sales, operating income and cash flows expected in 2014 and beyond and consequently, has resulted in an impairment charge.</w:t>
      </w:r>
    </w:p>
    <w:p>
      <w:pPr>
        <w:spacing w:after="0" w:line="169"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To derive the fair value of the reporting units, as required in step one of the impairment test, the Company used the income approach, specifically the discounted cash flow ("DCF") method, which incorporates significant estimates and assumptions made by management which, by their nature, are characterized by uncertainty. The key assumptions impacting the valuation included:</w:t>
      </w:r>
    </w:p>
    <w:p>
      <w:pPr>
        <w:spacing w:after="0" w:line="181" w:lineRule="exact"/>
        <w:rPr>
          <w:sz w:val="20"/>
          <w:szCs w:val="20"/>
          <w:color w:val="auto"/>
        </w:rPr>
      </w:pPr>
    </w:p>
    <w:p>
      <w:pPr>
        <w:ind w:left="660" w:right="60" w:hanging="328"/>
        <w:spacing w:after="0" w:line="25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Company's financial projections for its reporting units, which are based on management's assessment of regional and macroeconomic variables, industry trends and market opportunities, and the Company's strategic objectives and future growth plans.</w:t>
      </w:r>
    </w:p>
    <w:p>
      <w:pPr>
        <w:spacing w:after="0" w:line="1" w:lineRule="exact"/>
        <w:rPr>
          <w:rFonts w:ascii="Arial" w:cs="Arial" w:eastAsia="Arial" w:hAnsi="Arial"/>
          <w:sz w:val="18"/>
          <w:szCs w:val="18"/>
          <w:color w:val="auto"/>
        </w:rPr>
      </w:pPr>
    </w:p>
    <w:p>
      <w:pPr>
        <w:ind w:left="660" w:right="60" w:hanging="328"/>
        <w:spacing w:after="0" w:line="265"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projected terminal value for each reporting unit, which represents the present value of projected cash flows beyond the last period in the discounted cash flow analysis. The terminal value reflects the Company's assumptions related to long-term growth rates and profitability, which are based on several factors, including local and macroeconomic variables, market opportunities, and future growth plans.</w:t>
      </w:r>
    </w:p>
    <w:p>
      <w:pPr>
        <w:ind w:left="660" w:right="260" w:hanging="328"/>
        <w:spacing w:after="0" w:line="25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discount rate used to measure the present value of the projected future cash flows is set using a weighted-average cost of capital method that considers market and industry data as well as the Company's specific risk factors that are likely to be considered by a market participant. The weighted-average cost of capital is the Company's estimate of the overall after-tax rate of return required by equity and debt holders of a business enterprise.</w:t>
      </w:r>
    </w:p>
    <w:p>
      <w:pPr>
        <w:spacing w:after="0" w:line="19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Based on the results of step one of the impairment test, the Company determined that the carrying value of the U.S. Spine reporting unit exceeded its respective fair value, and accordingly, the Company proceeded to step two of the impairment test.</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the second step, the Company assigned the reporting unit's fair value to all of its assets and liabilities, including any unrecognized intangible assets, in a hypothetical analysis that calculates the implied fair value of goodwill in the same manner as if the reporting unit were being acquired in a business combination. If the implied fair value of the reporting unit's goodwill is less than the carrying value, the difference is recorded as an impairment charge. This allocation process was performed only for the purposes of measuring the goodwill impairment and not to adjust the carrying values of the recognized tangible assets and liabilities. Step two of the impairment was initiated, but due to the time necessary to complete the analysis, has not been completed. The Company recorded its estimate of the goodwill impairment charge of $46.7 million which represents the remaining goodwill balance in the U.S. Spine reporting unit. The Company expects to finalize the step two analysis in the fourth quarter of 2013. Any adjustment, which the Company does not expect to be material to the impairment charge, would be recorded in the Condensed Consolidated Statement of Operations and Comprehensive Income in that period. Only $5.5 million of the goodwill impairment charge was deductible for tax purposes.</w:t>
      </w:r>
    </w:p>
    <w:p>
      <w:pPr>
        <w:spacing w:after="0" w:line="12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Prior to performing the annual goodwill impairment tests for the U.S. Spine reporting unit, we tested long-lived assets to be held and used by this reporting unit for impairment on an undiscounted cash flow basis. Based on the results of this testing, there was no impairment.</w:t>
      </w:r>
    </w:p>
    <w:p>
      <w:pPr>
        <w:spacing w:after="0" w:line="11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Our assessment of whether any triggering events occurred through the quarter ended September 30, 2013 for which we should further analyze whether an impairment exists through that date did not result in the identification of such triggering events.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125" w:right="27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and Other Rate Risks</w:t>
      </w:r>
    </w:p>
    <w:p>
      <w:pPr>
        <w:spacing w:after="0" w:line="9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operate on a global basis and are exposed to the risk that changes in foreign currency exchange rates could adversely affect our financial condition, results of operations and cash flows. We are primarily exposed to foreign currency exchange rate risk with respect to transactions and net assets denominated in euros, Swiss francs, British pounds, Canadian dollars, Australian dollars and Japanese yen. We manage the foreign currency exposure centrally, on a combined basis, which allows us to net exposures and to take advantage of any natural offsets. To mitigate the impact of currency fluctuations on transactions denominated in nonfunctional currencies, we periodically enter into derivative financial instruments in the form of foreign currency exchange forward contracts with major financial institutions. We temporarily record realized and unrealized gains and losses on these contracts that qualify as cash flow hedges in other comprehensive income, and then recognize them in other income or expense when the hedged item affects net earnings.</w:t>
      </w:r>
    </w:p>
    <w:p>
      <w:pPr>
        <w:spacing w:after="0" w:line="113"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From time to time, we enter into foreign currency forward exchange contracts with terms of up to 12 months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w:t>
      </w:r>
    </w:p>
    <w:p>
      <w:pPr>
        <w:spacing w:after="0" w:line="1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maintain written policies and procedures governing our risk management activities. With respect to cash flow hedges, changes in cash flows attributable to hedged transactions are generally expected to be completely offset by changes in the fair value of hedge instruments. Consequently, foreign currency exchange contracts would not subject us to material risk due to exchange rate movements, because gains and losses on these contracts offset gains and losses on the assets, liabilities or transactions being hedged.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discussed herein have not been materially affected by inflation.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i w:val="1"/>
          <w:iCs w:val="1"/>
          <w:u w:val="single" w:color="auto"/>
          <w:color w:val="auto"/>
        </w:rPr>
        <w:t>Cash and Cash Equivalents</w:t>
      </w:r>
      <w:r>
        <w:rPr>
          <w:rFonts w:ascii="Arial" w:cs="Arial" w:eastAsia="Arial" w:hAnsi="Arial"/>
          <w:sz w:val="16"/>
          <w:szCs w:val="16"/>
          <w:i w:val="1"/>
          <w:iCs w:val="1"/>
          <w:color w:val="auto"/>
        </w:rPr>
        <w:t xml:space="preserve"> </w:t>
      </w:r>
      <w:r>
        <w:rPr>
          <w:rFonts w:ascii="Arial" w:cs="Arial" w:eastAsia="Arial" w:hAnsi="Arial"/>
          <w:sz w:val="16"/>
          <w:szCs w:val="16"/>
          <w:color w:val="auto"/>
        </w:rPr>
        <w:t>- We are exposed to the risk of interest rate fluctuations on the interest income earned on our cash and cash equivalents. A</w:t>
      </w:r>
      <w:r>
        <w:rPr>
          <w:rFonts w:ascii="Arial" w:cs="Arial" w:eastAsia="Arial" w:hAnsi="Arial"/>
          <w:sz w:val="16"/>
          <w:szCs w:val="16"/>
          <w:i w:val="1"/>
          <w:iCs w:val="1"/>
          <w:color w:val="auto"/>
        </w:rPr>
        <w:t xml:space="preserve"> </w:t>
      </w:r>
      <w:r>
        <w:rPr>
          <w:rFonts w:ascii="Arial" w:cs="Arial" w:eastAsia="Arial" w:hAnsi="Arial"/>
          <w:sz w:val="16"/>
          <w:szCs w:val="16"/>
          <w:color w:val="auto"/>
        </w:rPr>
        <w:t>hypothetical 100 basis point movement in interest rates applicable to our cash and cash equivalents outstanding at September 30, 2013 would increase interest income by approximately $1.2 million on an annual basis. No significant decrease in interest income would be expected as our cash balances are earning interest at rates close to zero. We are subject to foreign currency exchange risk with respect to cash balances maintained in foreign currencies.</w:t>
      </w:r>
    </w:p>
    <w:p>
      <w:pPr>
        <w:spacing w:after="0" w:line="100"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u w:val="single" w:color="auto"/>
          <w:color w:val="auto"/>
        </w:rPr>
        <w:t>Senior Credit Facility</w:t>
      </w:r>
      <w:r>
        <w:rPr>
          <w:rFonts w:ascii="Arial" w:cs="Arial" w:eastAsia="Arial" w:hAnsi="Arial"/>
          <w:sz w:val="17"/>
          <w:szCs w:val="17"/>
          <w:i w:val="1"/>
          <w:iCs w:val="1"/>
          <w:color w:val="auto"/>
        </w:rPr>
        <w:t xml:space="preserve"> </w:t>
      </w:r>
      <w:r>
        <w:rPr>
          <w:rFonts w:ascii="Arial" w:cs="Arial" w:eastAsia="Arial" w:hAnsi="Arial"/>
          <w:sz w:val="17"/>
          <w:szCs w:val="17"/>
          <w:color w:val="auto"/>
        </w:rPr>
        <w:t>- Our interest rate risk relates primarily to U.S. dollar LIBOR-indexed borrowings. We have used an interest rate derivative instrument</w:t>
      </w:r>
      <w:r>
        <w:rPr>
          <w:rFonts w:ascii="Arial" w:cs="Arial" w:eastAsia="Arial" w:hAnsi="Arial"/>
          <w:sz w:val="17"/>
          <w:szCs w:val="17"/>
          <w:i w:val="1"/>
          <w:iCs w:val="1"/>
          <w:color w:val="auto"/>
        </w:rPr>
        <w:t xml:space="preserve"> </w:t>
      </w:r>
      <w:r>
        <w:rPr>
          <w:rFonts w:ascii="Arial" w:cs="Arial" w:eastAsia="Arial" w:hAnsi="Arial"/>
          <w:sz w:val="17"/>
          <w:szCs w:val="17"/>
          <w:color w:val="auto"/>
        </w:rPr>
        <w:t>to manage our earnings and cash flow exposure to changes in interest rates by utilizing a forward-starting interest rate swap that began to offset a portion of our interest payments in the first quarter of 2011. This interest rate derivative instrument fixed the interest rate on a portion of our expected LIBOR-indexed floating-rate borrowings beginning on December 31, 2010. The interest rate swap had a notional amount of $116.3 million outstanding as of September 30, 2013. We recognized $0.5 million of additional interest expense related to this derivative during the three months ended September 30, 2013. The fair value of our interest rate derivative instrument was a net liability of $2.8 million at September 30, 2013.</w:t>
      </w:r>
    </w:p>
    <w:p>
      <w:pPr>
        <w:spacing w:after="0" w:line="12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Based on our outstanding borrowings at September 30, 2013, a one-percentage point change in interest rates would have impacted interest expense on the unhedged portion of the debt by $2.3 million on an annualized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maintain disclosure controls and procedures that are designed to provide reasonable assurance that information required to be disclosed in our Exchange Act report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timely decisions regarding required disclosure. Disclosure controls and procedures, no matter how well designed and operated, can provide only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12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As required by Exchange Act Rule 13a-15(b), we have carried out an evaluation, under the supervision and with the participation of our management, including our principal executive officer and principal financial officer, of the effectiveness of the design and operation of our disclosure controls and procedures as of September 30, 2013. Based upon this evaluation, our principal executive officer and principal financial officer concluded that our disclosure controls and procedures were effective as of September 30, 2013 to provide such reasonable assurance.</w:t>
      </w:r>
    </w:p>
    <w:p>
      <w:pPr>
        <w:spacing w:after="0" w:line="3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previously disclosed, the Company is in the process of a multi-year implementation of a global enterprise resource planning (“ERP”) system. In addition, in response to business integration activities, the Company has and will continue to further align and streamline the design and operation of the financial control environment to be responsive to the changing business model.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 13a-15(f) under the Exchange Act) that occurred during the quarter ended September 30, 2013 that have materially affected, or are reasonably likely to materially affect, our internal control over financial reporting.</w:t>
      </w: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40"/>
          </w:cols>
          <w:pgMar w:left="240" w:top="125" w:right="31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Various lawsuits, claims and proceedings are pending or have been settled by us; the most significant of which are described below.</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is subject to various claims, lawsuits and proceedings in the ordinary course of the Company's business, including claims by current or former employees, distributors and competitors and with respect to its products and product liability claims, lawsuits and proceedings, some of which have been settled by the Company. In the opinion of management, such claims are either adequately covered by insurance or otherwise indemnified, or are not expected, individually or in the aggregate, to result in a material adverse effect on our financial condition. However, it is possible that the Company's results of operations, financial position and cash flows in a particular period could be materially affected by these contingencies.</w:t>
      </w:r>
    </w:p>
    <w:p>
      <w:pPr>
        <w:spacing w:after="0" w:line="20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June 6, 2012, the Company was contacted by the United States Attorney's Office for the District of New Jersey regarding the activities of sales representatives in a single region within our Extremities Reconstruction division. The U.S. Attorney's Office is investigating the activities of three sales representatives, one of whom was a supervisor until terminated by the Company for failure to cooperate with this investigation. The activities at issue pertain to alleged improper billing of products for extremities indications. The Company is cooperating with the United States Attorney's Office on a voluntary basis and is not a subject or target of an investigation at this time.</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Risk Factors included in our Annual Report on Form 10-K for the fiscal year ended December 31, 2012, as modified by the subsequent Quarterly Reports on Form 10-Q for the periods ended March 31, 2013 and June 30, 2013, have not materially changed other than the modifications to the risk factors as set forth below.</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operating results may fluctuate.</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operating results, including components of operating results such as gross margin and cost of product sales, may fluctuate from time to time, and such fluctuations could affect our stock price. Our operating results have fluctuated in the past and can be expected to fluctuate from time to time in the future. Some of the factors that may cause these fluctuations include:</w:t>
      </w:r>
    </w:p>
    <w:p>
      <w:pPr>
        <w:spacing w:after="0" w:line="262" w:lineRule="exact"/>
        <w:rPr>
          <w:sz w:val="20"/>
          <w:szCs w:val="20"/>
          <w:color w:val="auto"/>
        </w:rPr>
      </w:pPr>
    </w:p>
    <w:p>
      <w:pPr>
        <w:ind w:left="980" w:right="440" w:hanging="324"/>
        <w:spacing w:after="0" w:line="258"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economic conditions in the United States or abroad, especially in Europe, which could affect the ability of hospitals and other customers to purchase our products and could result in a reduction in elective and non-reimbursed operative procedures;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acquisitions;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our restructuring activities;</w:t>
      </w:r>
    </w:p>
    <w:p>
      <w:pPr>
        <w:spacing w:after="0" w:line="9" w:lineRule="exact"/>
        <w:rPr>
          <w:rFonts w:ascii="Arial" w:cs="Arial" w:eastAsia="Arial" w:hAnsi="Arial"/>
          <w:sz w:val="18"/>
          <w:szCs w:val="18"/>
          <w:color w:val="auto"/>
        </w:rPr>
      </w:pPr>
    </w:p>
    <w:p>
      <w:pPr>
        <w:ind w:left="980" w:right="620" w:hanging="324"/>
        <w:spacing w:after="0" w:line="250"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significant customer orders, which tend to increase in the fourth quarter to coincide with the end of budget cycles for many hospitals;</w:t>
      </w: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 acceptance of our existing products, as well as products in development;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regulatory approvals;</w:t>
      </w:r>
    </w:p>
    <w:p>
      <w:pPr>
        <w:spacing w:after="0" w:line="9" w:lineRule="exact"/>
        <w:rPr>
          <w:rFonts w:ascii="Arial" w:cs="Arial" w:eastAsia="Arial" w:hAnsi="Arial"/>
          <w:sz w:val="18"/>
          <w:szCs w:val="18"/>
          <w:color w:val="auto"/>
        </w:rPr>
      </w:pPr>
    </w:p>
    <w:p>
      <w:pPr>
        <w:ind w:left="980" w:right="40" w:hanging="324"/>
        <w:spacing w:after="0" w:line="250"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rates of exchange between the U.S. dollar and other currencies of foreign countries in which we do business, such as the euro, the British pound and the Japanese yen;</w:t>
      </w: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expenses incurred and business lost in connection with product field correction actions or recalls;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backorders and lost sales resulting from stoppages in production relating to product recalls or field corrective actions;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cost or decreases in the supply of raw materials, including energy and steel;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manufacture and ship our products efficiently or in sufficient quantities to meet sales demands;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our research and development expenditures;</w:t>
      </w:r>
    </w:p>
    <w:p>
      <w:pPr>
        <w:spacing w:after="0" w:line="9" w:lineRule="exact"/>
        <w:rPr>
          <w:rFonts w:ascii="Arial" w:cs="Arial" w:eastAsia="Arial" w:hAnsi="Arial"/>
          <w:sz w:val="18"/>
          <w:szCs w:val="18"/>
          <w:color w:val="auto"/>
        </w:rPr>
      </w:pPr>
    </w:p>
    <w:p>
      <w:pPr>
        <w:ind w:left="980" w:right="140" w:hanging="324"/>
        <w:spacing w:after="0" w:line="250"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reimbursement for our products by third-party payors such as Medicare, Medicaid, private and public health insurers and foreign governmental health systems;</w:t>
      </w:r>
    </w:p>
    <w:p>
      <w:pPr>
        <w:ind w:left="980" w:right="80" w:hanging="324"/>
        <w:spacing w:after="0" w:line="255"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inspections of our manufacturing facilities for compliance with Quality System Regulations (Good Manufacturing Practices) which could result in Form 483 observations, warning letters, injunctions or other adverse findings from the FDA or from equivalent regulatory bodies, and corrective actions, procedural changes and other actions</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79" w:lineRule="exact"/>
        <w:rPr>
          <w:sz w:val="20"/>
          <w:szCs w:val="20"/>
          <w:color w:val="auto"/>
        </w:rPr>
      </w:pPr>
    </w:p>
    <w:p>
      <w:pPr>
        <w:ind w:left="980" w:right="120"/>
        <w:spacing w:after="0" w:line="282" w:lineRule="auto"/>
        <w:rPr>
          <w:sz w:val="20"/>
          <w:szCs w:val="20"/>
          <w:color w:val="auto"/>
        </w:rPr>
      </w:pPr>
      <w:r>
        <w:rPr>
          <w:rFonts w:ascii="Arial" w:cs="Arial" w:eastAsia="Arial" w:hAnsi="Arial"/>
          <w:sz w:val="18"/>
          <w:szCs w:val="18"/>
          <w:color w:val="auto"/>
        </w:rPr>
        <w:t>that we determine are necessary or appropriate to address the results of those inspections, any of which may affect production and our ability to supply our customers with our products;</w:t>
      </w:r>
    </w:p>
    <w:p>
      <w:pPr>
        <w:spacing w:after="0" w:line="1" w:lineRule="exact"/>
        <w:rPr>
          <w:sz w:val="20"/>
          <w:szCs w:val="20"/>
          <w:color w:val="auto"/>
        </w:rPr>
      </w:pPr>
    </w:p>
    <w:p>
      <w:pPr>
        <w:ind w:left="980" w:right="420" w:hanging="324"/>
        <w:spacing w:after="0" w:line="258"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increased regulatory scrutiny of certain of our products, including products which we manufacture for others, could result in their being removed from the market; and</w:t>
      </w:r>
    </w:p>
    <w:p>
      <w:pPr>
        <w:ind w:left="980" w:right="200" w:hanging="324"/>
        <w:spacing w:after="0" w:line="261"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goodwill and intangible asset impairment charges if future operating results of the acquired businesses are significantly less than the results anticipated at the time of the acquisitions.</w:t>
      </w:r>
    </w:p>
    <w:p>
      <w:pPr>
        <w:spacing w:after="0" w:line="143" w:lineRule="exact"/>
        <w:rPr>
          <w:sz w:val="20"/>
          <w:szCs w:val="20"/>
          <w:color w:val="auto"/>
        </w:rPr>
      </w:pPr>
    </w:p>
    <w:p>
      <w:pPr>
        <w:ind w:left="180" w:right="1000"/>
        <w:spacing w:after="0" w:line="381" w:lineRule="auto"/>
        <w:rPr>
          <w:sz w:val="20"/>
          <w:szCs w:val="20"/>
          <w:color w:val="auto"/>
        </w:rPr>
      </w:pPr>
      <w:r>
        <w:rPr>
          <w:rFonts w:ascii="Arial" w:cs="Arial" w:eastAsia="Arial" w:hAnsi="Arial"/>
          <w:sz w:val="15"/>
          <w:szCs w:val="15"/>
          <w:b w:val="1"/>
          <w:bCs w:val="1"/>
          <w:i w:val="1"/>
          <w:iCs w:val="1"/>
          <w:color w:val="auto"/>
        </w:rPr>
        <w:t>To market our products under development we will first need to obtain regulatory approval. Further, if we fail to comply with the extensive governmental regulations that affect our business, we could be subject to penalties and could be precluded from marketing our products.</w:t>
      </w:r>
    </w:p>
    <w:p>
      <w:pPr>
        <w:spacing w:after="0" w:line="6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As a manufacturer and marketer of medical devices, we are subject to extensive regulation by the FDA and the Center for Medicare Services of the U.S. Department of Health and Human Services and other federal governmental agencies and, in some jurisdictions, by state and foreign governmental authorities. These regulations govern the introduction of new medical devices, the observance of certain standards with respect to the design, manufacture, testing, labeling, promotion and sales of the devices, the maintenance of certain records, the ability to track devices, the reporting of potential product defects, the import and export of devices and other matters. We are facing an increasing amount of scrutiny and compliance costs as more states are implementing regulations governing medical devices, pharmaceuticals and/or biologics which affect many of our products. As a result, we have been implementing additional procedures, controls and tracking and reporting processes, as well as paying additional permit and license fees, where required.</w:t>
      </w:r>
    </w:p>
    <w:p>
      <w:pPr>
        <w:spacing w:after="0" w:line="3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products under development are subject to FDA approval or clearance prior to marketing for commercial use. The process of obtaining necessary FDA approvals or clearances can take years and is expensive and uncertain. The FDA has issued Guidance Documents regarding the approval and review of medical devices such as the Refuse to Accept Policy for 510(k)s, Acceptance and Filing Reviews for Premarket Approval Process (PMA) as well as other guidance documents. We must be in substantial compliance with these FDA Regulations and Guidance Documents for the FDA to review our submissions.</w:t>
      </w:r>
    </w:p>
    <w:p>
      <w:pPr>
        <w:spacing w:after="0" w:line="154"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Our inability to obtain required regulatory approval on a timely or acceptable basis could harm our business. Further, approval or clearance may place substantial restrictions on the indications for use for which the product may be marketed or to whom it may be marketed, warnings that may be required to accompany the product or additional restrictions placed on the sale and/or use of the product. Further studies, including clinical trials and FDA approvals, may be required to gain approval for the use of a product for clinical indications other than those for which the product was initially approved or cleared or for significant changes to the product. These studies could take years to complete and could be expensive, and there is no guarantee that the results will convince the FDA to approve or clear the additional indication. Any negative outcome in our clinical trials as a result of any interim analysis which we may do with respect to our clinical trials from time to time, could adversely affect our ability to launch new products, which could affect our sales and our ability to achieve reimbursement for new or existing products. In addition, for products with an approved PMA, the FDA requires annual reports and may require post-approval surveillance programs and/or studies to monitor the products' safety and effectiveness. Results of post-approval programs may limit or expand the further marketing of the product. We are also seeing third-party payors require clinical trial data for products cleared through the 510(k) process in order to continue reimbursement coverage. There is also no guarantee that the payors will agree to continue reimbursement or provide additional coverage based upon these clinical trials. These clinical trials could take years to complete and be expensive, and there is no guarantee that the FDA will approve the additional indications for use. If the FDA does not approve the additional indications for use, our ability to obtain reimbursement for these products and our ability to compete against alternative products or technologies could suffer and, consequently, affect our sales.</w:t>
      </w:r>
    </w:p>
    <w:p>
      <w:pPr>
        <w:spacing w:after="0" w:line="3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Another risk of application to the FDA relates to the regulatory classification of new products or proposed new uses for existing products. In the filing of each application, we make a judgment about the appropriate form and content of the application. If the FDA disagrees with our judgment in any particular case and, for example, requires us to file a Premarket Approval (PMA) application rather than allowing us to market for approved uses while we seek broader approvals or requires extensive additional clinical data, the time and expense required to obtain the required approval might be significantly increased or approval might not be granted. Furthermore, the timing of approvals in the U.S. and Europe is dependent on the class of product. Any of our Class III devices (those categorized as supporting or sustaining human life, are of substantial importance in preventing impairment of human health, or which present a potential, unreasonable risk of illness or injury) and products of animal origin take an extensive amount of time to obtain approval in the European Union, and all require Clinical Evaluation Reports or clinical trial data which can be costly.</w:t>
      </w:r>
    </w:p>
    <w:p>
      <w:pPr>
        <w:spacing w:after="0" w:line="4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FDA Safety and Innovation Act (FDASIA), which includes the Medical Device User Fee Amendments of 2012 (MDUFA III), as well as other medical device provisions, went into effect October 1, 2012. This includes performance goals and user fees paid to the FDA by medical device companies when they register and list with the FDA and when they submit an application to market a device in the U.S. This will affect the fees paid to the FDA over the five-year period that FDASIA is in effect. As part of FDASIA, there are also new requirements regarding FDA Establishment Registration and Listing of Medical Devices. All</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foreign manufacturers must register and list medical devices for sale in the U.S. All of our facilities comply with these requirements. That said, we also source products from foreign contract manufacturers. From this business practice, it is possible that some of our foreign contract manufacturers will not comply with the new requirements and choose not to register with the FDA. In such an event, we will need to determine if there are alternative foreign contract manufacturers who comply with the FDA Establishment Registration requirements. If such a foreign contract manufacturer is a sole supplier of one of our products, there is a risk that we may not be able to source another supplier.</w:t>
      </w:r>
    </w:p>
    <w:p>
      <w:pPr>
        <w:spacing w:after="0" w:line="53"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Our manufacturing facilities must be in compliance with FDA Quality System Regulations (current Good Manufacturing Practices). In addition, approved products are subject to continuing FDA requirements relating to quality control and quality assurance, maintenance of records, reporting of adverse events and product recalls, documentation, and labeling and promotion of medical devices. Moreover, some of our orthobiologics products are subject to FDA and certain state regulations regarding human cells, tissues, and cellular or tissue-based products, which include requirements for Establishment Registration and listing, donor eligibility, current good tissue practices, labeling, adverse-event reporting, and inspection and enforcement. Some states have their own tissue banking regulation. We are licensed or have permits as a tissue bank in California, Florida, New York and Maryland. In addition, tissue banks may undergo voluntary accreditation by the American Association of Tissue Banks (the “AATB”). The AATB has issued operating standards for tissue banking. Compliance with these standards is a requirement in order to become a licensed tissue bank. Finally, the FDA issued new regulations regarding “Current Good Manufacturing Practice Requirements for Combination Products” on January 22, 2013. While we have not had any products approved or cleared through the FDA as Combination Products, these new regulations may apply to some of our product lines that were approved or cleared previously. There could be additional costs associated with compliance with these new Good Manufacturing Practice Requirements regulations for Combination Products.</w:t>
      </w:r>
    </w:p>
    <w:p>
      <w:pPr>
        <w:spacing w:after="0" w:line="38"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The FDA and foreign regulatory authorities require that our products be manufactured according to rigorous standards. These and future regulatory requirements could significantly increase our production or purchasing costs and could even prevent us from making or obtaining our products in amounts sufficient to meet market demand. If we or a third-party manufacturer change our approved manufacturing process, the FDA may require a new approval before that process may be used. Failure to develop our manufacturing capability could mean that, even if we were to develop promising new products, we might not be able to produce them profitably, as a result of delays and additional capital investment costs.</w:t>
      </w:r>
    </w:p>
    <w:p>
      <w:pPr>
        <w:spacing w:after="0" w:line="3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All of our manufacturing facilities, both international and domestic, are also subject to inspections by or under the authority of the FDA and other regulatory agencies. Failure to comply with applicable regulatory requirements could subject us to issuance of FDA Form 483 Inspectional Observations, warning letters or enforcement action by the FDA or other agencies, including product seizures, recalls, withdrawal of clearances or approvals, restrictions on or injunctions against marketing our product or products based on our technology, denials of requests for exportation certificates to foreign governments, cessation of operations and civil and criminal penalties, any of which could materially affect our business.</w:t>
      </w:r>
    </w:p>
    <w:p>
      <w:pPr>
        <w:spacing w:after="0" w:line="3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have received warning letters at our Plainsboro, New Jersey, Andover, England, and Anasco, Puerto Rico facilities. We have incurred, and will incur, expenses to remediate issues identified in those warning letters and other observations issued in connection with other inspections at other facilities, and to prepare our manufacturing facilities for anticipated FDA inspections. The FDA has notified us that it will not grant requests for exportation certificates to foreign governments until the violations identified in the warning letters have been corrected. If such remediation cannot be completed in a timely manner, we may not be able to produce certain products for a period of time or may not be able to sell such products in certain markets. There can be no assurance that such remediation and preparation activities will address all such observations to the FDA's satisfaction, or that the FDA will not impose additional regulatory sanctions with respect to such observations. On September 24, 2013, the FDA issued a letter informing the Company that it had addressed the violations in the FDA warning letter related to the Company’s regenerative medicine facility in Plainsboro, New Jersey and that such warning letter had been closed out effective September 24, 2013. On October 24, 2013, the United States Food and Drug Administration began an inspection of the Añasco facility. We do not expect to comment on or otherwise discuss the FDA inspection until after the conclusion of the inspection.</w:t>
      </w:r>
    </w:p>
    <w:p>
      <w:pPr>
        <w:spacing w:after="0" w:line="3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manufacture medical devices that are subject to various electrical safety standards. Many countries have adopted the recommendations of the International Electrotechnical Commission (“IEC”) for the safety and effectiveness of medical electrical equipment. The IEC is a non-profit, non-governmental international standards organization that prepares and publishes International Standards for all electrical, electronic and related technologies. Their updated standards are being implemented in some markets starting in July 2012 and will continue to be adopted over the following years worldwide. If we cannot comply with these standards, we may not be able to sell some of our products in the affected markets. Most of our affected products have already been modified to meet the new standards and are substantially in compliance with these standards. Except in limited circumstances, we do not anticipate any delays in selling our products in the markets that have adopted the IEC updated standards.</w:t>
      </w:r>
    </w:p>
    <w:p>
      <w:pPr>
        <w:spacing w:after="0" w:line="4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are also subject to other regulatory requirements of countries outside the United States where we do business. For example, under the European Union Medical Device Directive (MDD), all medical devices must meet the Medical Device Directive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standards in order to obtain CE Mark Certification prior to marketing in the EU. CE Mark Certification requires a comprehensive Quality System program, comprehensive technical and clinical documentation and data on the product, which a Notified Body in the EU reviews. In addition, we must be certified to the ISO 13485:2003 Quality System standards and maintain this certification in order to market our products in the EU, Canada, Japan, Latin America, countries in the Asia-Pacific region and most other countries outside the United States. The EU has revised the Medical Device Directive (93/42/EC as amended by 2007/47/EC).</w:t>
      </w:r>
    </w:p>
    <w:p>
      <w:pPr>
        <w:spacing w:after="0" w:line="53"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Compliance with these regulations requires extensive documentation, Clinical Evaluation Reports for all products sold in the EU and other requirements. Requirements to meet these regulations can be costly and are mandatory to market our products in the EU. Many other countries outside the EU and the US have instituted new medical device regulations and/or revised current medical device regulations. These regulations often require extensive documentation, including clinical data and could require audits of our manufacturing facilities in order to gain approval to sell our products in that country. There are also associated fees with these new regulations. These regulations are required for all new products and re-registration of our medical devices, and could involve lengthy and expensive reviews, as well as potential suspensions of product sales during certain re-registration processes.</w:t>
      </w:r>
    </w:p>
    <w:p>
      <w:pPr>
        <w:spacing w:after="0" w:line="3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products that contain human derived tissue, including those containing demineralized bone matrices, are not medical devices in the EU as defined in the Medical Device Directive (93/42/EC). They are also not medicinal products as defined in Directive 2001/83/EC. Today, regulations, if applicable, differ from one EU member state to the next. Because of the absence of a harmonized regulatory framework, the approval process for human-derived cell or tissue based medical products may be extensive, lengthy, expensive, and unpredictable. Among others, some of our orthobiologics products are subject to EU member states’ regulations that govern the donation, procurement, testing, coding, traceability, processing, preservation, storage, and distribution of human tissues and cells and cellular or tissue-based products. These EU member states' regulations include requirements for registration, listing, labeling, adverse-event reporting, and inspection and enforcement. Some EU member states have their own tissue banking regulations. In addition, some EU member states have instituted new requirements for additional testing of donors that may prevent our obtaining approval of certain products in those member states.</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The adoption of healthcare reform in the United States may adversely affect our business, results of operations and/or financial condition.</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March 2010, significant reforms to the U.S. healthcare system were adopted in the form of the Patient Protection and Affordable Care Act (the “PPACA”). The PPACA includes provisions that, among other things, reduce and/or limit Medicare reimbursement, require all individuals to have health insurance (with limited exceptions) and impose new and/or increased taxes. Specifically, the law requires the medical device industry to subsidize healthcare reform by implementing a 2.3% excise tax on the sale of certain medical devices by a manufacturer, producer or importer of such devices in the United States starting after December 31, 2012. The 2013 excise tax is estimated to be between $12 and $14 million. Other elements of this legislation, such as comparative effectiveness research, an independent payment advisory board, payment system reforms (including shared savings pilots) and other provisions, could materially change the way health care is developed and delivered, and result in additional costs for us. The PPACA could reduce medical procedure volumes, impact the demand for our products or the prices at which we sell our products, and could have a material adverse effect on our business and/or results of operations.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the PPACA encourages hospitals and physicians to work collaboratively through shared savings programs, such as accountable care organizations, as well as other bundled payment initiatives, which may ultimately result in the reduction of medical device purchases and the consolidation of medical device suppliers used by hospitals. While passage of the PPACA may ultimately expand the pool of potential end-users of our products, the above-discussed changes could adversely affect our financial results and business.</w:t>
      </w:r>
    </w:p>
    <w:p>
      <w:pPr>
        <w:spacing w:after="0" w:line="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Various healthcare reform proposals have also emerged at the state level. We cannot predict what healthcare initiatives, if any, will be implemented at the federal or state level, or the effect any future legislation or regulation will have on us.</w:t>
      </w:r>
    </w:p>
    <w:p>
      <w:pPr>
        <w:spacing w:after="0" w:line="35" w:lineRule="exact"/>
        <w:rPr>
          <w:sz w:val="20"/>
          <w:szCs w:val="20"/>
          <w:color w:val="auto"/>
        </w:rPr>
      </w:pPr>
    </w:p>
    <w:p>
      <w:pPr>
        <w:ind w:left="180" w:right="60"/>
        <w:spacing w:after="0" w:line="277" w:lineRule="auto"/>
        <w:rPr>
          <w:sz w:val="20"/>
          <w:szCs w:val="20"/>
          <w:color w:val="auto"/>
        </w:rPr>
      </w:pPr>
      <w:r>
        <w:rPr>
          <w:rFonts w:ascii="Arial" w:cs="Arial" w:eastAsia="Arial" w:hAnsi="Arial"/>
          <w:sz w:val="18"/>
          <w:szCs w:val="18"/>
          <w:b w:val="1"/>
          <w:bCs w:val="1"/>
          <w:i w:val="1"/>
          <w:iCs w:val="1"/>
          <w:color w:val="auto"/>
        </w:rPr>
        <w:t>Changes in the healthcare industry may require us to decrease the selling price for our products, may reduce the size of the market for our products, or may eliminate a market, any of which could have a negative impact on our financial performance.</w:t>
      </w:r>
    </w:p>
    <w:p>
      <w:pPr>
        <w:spacing w:after="0" w:line="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Trends toward managed care, healthcare cost containment and other changes in government and private sector initiatives in the United States and other countries in which we do business are placing increased emphasis on the delivery of more cost-effective medical therapies that could adversely affect the sale and/or the prices of our products. For example:</w:t>
      </w:r>
    </w:p>
    <w:p>
      <w:pPr>
        <w:spacing w:after="0" w:line="262" w:lineRule="exact"/>
        <w:rPr>
          <w:sz w:val="20"/>
          <w:szCs w:val="20"/>
          <w:color w:val="auto"/>
        </w:rPr>
      </w:pPr>
    </w:p>
    <w:p>
      <w:pPr>
        <w:ind w:left="980" w:right="40" w:hanging="324"/>
        <w:spacing w:after="0" w:line="264"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mentioned above, new legislation, which is intended to expand access to health insurance coverage over time, will result in major changes in the United States healthcare system that could have an adverse effect on our business, including a 2.3% excise tax on U.S. sales of most medical devices, implemented in 2013, which will adversely affect our earnings;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980" w:right="140" w:hanging="324"/>
        <w:spacing w:after="0" w:line="256"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third-party payors of hospital services and hospital outpatient services, including Medicare, Medicaid, private and public health insurers and foreign governmental health systems, annually revise their payment methodologies, which can result in stricter standards for reimbursement of hospital charges for certain medical procedures or the elimination of reimbursement;</w:t>
      </w:r>
    </w:p>
    <w:p>
      <w:pPr>
        <w:ind w:left="980" w:right="260" w:hanging="324"/>
        <w:spacing w:after="0" w:line="281" w:lineRule="auto"/>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foreign governmental health systems have revised, and continue to consider whether to revise, their payment methodologies, which have resulted and could continue to result in stricter standards for reimbursement of hospital charges for certain medical procedures leading to less government reimbursement, thereby putting downward pricing pressure on our products or rendering some uneconomical;</w:t>
      </w:r>
    </w:p>
    <w:p>
      <w:pPr>
        <w:spacing w:after="0" w:line="2" w:lineRule="exact"/>
        <w:rPr>
          <w:rFonts w:ascii="Arial" w:cs="Arial" w:eastAsia="Arial" w:hAnsi="Arial"/>
          <w:sz w:val="16"/>
          <w:szCs w:val="16"/>
          <w:color w:val="auto"/>
        </w:rPr>
      </w:pPr>
    </w:p>
    <w:p>
      <w:pPr>
        <w:ind w:left="980" w:right="680" w:hanging="324"/>
        <w:spacing w:after="0" w:line="250"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Medicare, Medicaid, private and public health insurer and foreign governmental cutbacks could create downward price pressure on our products;</w:t>
      </w:r>
    </w:p>
    <w:p>
      <w:pPr>
        <w:ind w:left="980" w:right="120" w:hanging="324"/>
        <w:spacing w:after="0" w:line="250"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United States, local Medicare coverage as well as commercial carrier coverage determinations will eliminate reimbursement or coverage for certain of our matrix wound dressing products as well as other collagen products in most regions, negatively affecting our market for these products, and future determinations could eliminate reimbursement or coverage for these products in other regions and could eliminate reimbursement or coverage for other products;</w:t>
      </w:r>
    </w:p>
    <w:p>
      <w:pPr>
        <w:spacing w:after="0" w:line="1" w:lineRule="exact"/>
        <w:rPr>
          <w:rFonts w:ascii="Arial" w:cs="Arial" w:eastAsia="Arial" w:hAnsi="Arial"/>
          <w:sz w:val="18"/>
          <w:szCs w:val="18"/>
          <w:color w:val="auto"/>
        </w:rPr>
      </w:pPr>
    </w:p>
    <w:p>
      <w:pPr>
        <w:jc w:val="both"/>
        <w:ind w:left="980" w:right="140" w:hanging="324"/>
        <w:spacing w:after="0" w:line="250"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there has been a consolidation among healthcare facilities and purchasers of medical devices in the United States some of whom prefer to limit the number of suppliers from whom they purchase medical products, and these entities may decide to stop purchasing our products or demand discounts on our prices;</w:t>
      </w:r>
    </w:p>
    <w:p>
      <w:pPr>
        <w:spacing w:after="0" w:line="1" w:lineRule="exact"/>
        <w:rPr>
          <w:rFonts w:ascii="Arial" w:cs="Arial" w:eastAsia="Arial" w:hAnsi="Arial"/>
          <w:sz w:val="18"/>
          <w:szCs w:val="18"/>
          <w:color w:val="auto"/>
        </w:rPr>
      </w:pPr>
    </w:p>
    <w:p>
      <w:pPr>
        <w:ind w:left="980" w:right="180" w:hanging="324"/>
        <w:spacing w:after="0" w:line="250"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United States, we are party to contracts with group purchasing organizations, which negotiate pricing for many member hospitals, that require us to discount our prices for certain of our products and limit our ability to raise prices for certain of our products, particularly surgical instruments;</w:t>
      </w:r>
    </w:p>
    <w:p>
      <w:pPr>
        <w:spacing w:after="0" w:line="1" w:lineRule="exact"/>
        <w:rPr>
          <w:rFonts w:ascii="Arial" w:cs="Arial" w:eastAsia="Arial" w:hAnsi="Arial"/>
          <w:sz w:val="18"/>
          <w:szCs w:val="18"/>
          <w:color w:val="auto"/>
        </w:rPr>
      </w:pPr>
    </w:p>
    <w:p>
      <w:pPr>
        <w:ind w:left="980" w:right="60" w:hanging="324"/>
        <w:spacing w:after="0" w:line="250"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there is economic pressure to contain healthcare costs in domestic and international markets, and, regardless of the consolidation discussed above, providers generally are exploring ways to cut costs by eliminating purchases or driving reductions in the prices that they pay for medical devices;</w:t>
      </w:r>
    </w:p>
    <w:p>
      <w:pPr>
        <w:spacing w:after="0" w:line="1" w:lineRule="exact"/>
        <w:rPr>
          <w:rFonts w:ascii="Arial" w:cs="Arial" w:eastAsia="Arial" w:hAnsi="Arial"/>
          <w:sz w:val="18"/>
          <w:szCs w:val="18"/>
          <w:color w:val="auto"/>
        </w:rPr>
      </w:pPr>
    </w:p>
    <w:p>
      <w:pPr>
        <w:ind w:left="980" w:right="100" w:hanging="324"/>
        <w:spacing w:after="0" w:line="250"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there are proposed and existing laws, regulations and industry policies in domestic and international markets regulating the sales and marketing practices and the pricing and profitability of companies in the healthcare industry;</w:t>
      </w:r>
    </w:p>
    <w:p>
      <w:pPr>
        <w:jc w:val="both"/>
        <w:ind w:left="980" w:right="100" w:hanging="324"/>
        <w:spacing w:after="0" w:line="250"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proposed laws or regulations will permit hospitals to provide financial incentives to doctors for reducing hospital costs (known as gainsharing), will award physician efficiency (known as physician profiling), and will encourage partnerships with healthcare service and goods providers to reduce prices;</w:t>
      </w:r>
    </w:p>
    <w:p>
      <w:pPr>
        <w:spacing w:after="0" w:line="1" w:lineRule="exact"/>
        <w:rPr>
          <w:rFonts w:ascii="Arial" w:cs="Arial" w:eastAsia="Arial" w:hAnsi="Arial"/>
          <w:sz w:val="18"/>
          <w:szCs w:val="18"/>
          <w:color w:val="auto"/>
        </w:rPr>
      </w:pPr>
    </w:p>
    <w:p>
      <w:pPr>
        <w:ind w:left="980" w:right="160" w:hanging="324"/>
        <w:spacing w:after="0" w:line="250"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prevalence of physician-owned distributorships catering to the spinal surgery market has reduced and may continue to reduce our ability to compete effectively for business from surgeons who own such distributorships; and</w:t>
      </w:r>
    </w:p>
    <w:p>
      <w:pPr>
        <w:ind w:left="980" w:right="160" w:hanging="324"/>
        <w:spacing w:after="0" w:line="261"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there have been initiatives by third-party payors and foreign governmental health systems to challenge the prices charged for medical products that could affect our ability to sell products on a competitive basis.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Any and all of the above factors could materially and adversely affect our levels of revenue and our profitability.</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October 23, 2012, our Board of Directors authorized a repurchase of up to $75.0 million of outstanding common stock through December 2014. Shares may be repurchased either in the open market or in privately negotiated transactions.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repurchases of our common stock during the three months ended September 30, 2013 under this program.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4"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On October 25, 2013, the Company, entered into a stock purchase agreement (the "Purchase Agreement") with Covidien Group S.a.r.l, a Luxembourg company ("Covidien"), for the acquisition by the Company of Confluent Surgical, Inc., a Delaware corporation ("Confluent Surgical") including its surgical sealant and adhesion barrier product lines. Pursuant to the Purchase Agreement, the Company will acquire all of the capital stock of Confluent Surgical.</w:t>
      </w:r>
    </w:p>
    <w:p>
      <w:pPr>
        <w:spacing w:after="0" w:line="1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Under the terms of the Purchase Agreement, the Company will pay Covidien an initial cash payment of $231.0 million upon the closing of the transaction and at that time make a prepayment of $4.0 million under a transitional supply agreement with an affiliate of Covidien. In addition, the Company may pay Covidien up to $30.0 million following the closing, contingent upon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obtaining certain U.S. and European governmental approvals related to the completion of the transition of the Confluent Surgical business and the timely supply of products under the transitional supply agreement. The Company will also enter into a transition services agreement with an affiliate of Covidien at the closing. This acquisition complements Integra's global neurosurgery growth strategy aimed at providing a broader set of solutions for surgical procedures in the head. Since the acquisition occurred subsequent to September 30, 2013, the acquisition is not included in the results of operations for any of the periods presented.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99" w:lineRule="exact"/>
        <w:rPr>
          <w:sz w:val="20"/>
          <w:szCs w:val="20"/>
          <w:color w:val="auto"/>
        </w:rPr>
      </w:pPr>
    </w:p>
    <w:p>
      <w:pPr>
        <w:ind w:left="1640" w:right="260" w:hanging="692"/>
        <w:spacing w:after="0" w:line="277" w:lineRule="auto"/>
        <w:tabs>
          <w:tab w:leader="none" w:pos="16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Lease Agreement dated as of July 1, 2013, between 109 Morgan Lane, LLC and Integra LifeSciences Corporation (Incorporated by reference to Exhibit 10.1 to the Company’s Current Report on Form 8-K filed on July 1, 2013)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1060" w:type="dxa"/>
            <w:vAlign w:val="bottom"/>
          </w:tcPr>
          <w:p>
            <w:pPr>
              <w:jc w:val="right"/>
              <w:ind w:right="110"/>
              <w:spacing w:after="0"/>
              <w:rPr>
                <w:sz w:val="20"/>
                <w:szCs w:val="20"/>
                <w:color w:val="auto"/>
              </w:rPr>
            </w:pPr>
            <w:r>
              <w:rPr>
                <w:rFonts w:ascii="Arial" w:cs="Arial" w:eastAsia="Arial" w:hAnsi="Arial"/>
                <w:sz w:val="18"/>
                <w:szCs w:val="18"/>
                <w:color w:val="auto"/>
              </w:rPr>
              <w:t>10.2</w:t>
            </w:r>
          </w:p>
        </w:tc>
        <w:tc>
          <w:tcPr>
            <w:tcW w:w="9740" w:type="dxa"/>
            <w:vAlign w:val="bottom"/>
          </w:tcPr>
          <w:p>
            <w:pPr>
              <w:ind w:left="180"/>
              <w:spacing w:after="0"/>
              <w:rPr>
                <w:sz w:val="20"/>
                <w:szCs w:val="20"/>
                <w:color w:val="auto"/>
              </w:rPr>
            </w:pPr>
            <w:r>
              <w:rPr>
                <w:rFonts w:ascii="Arial" w:cs="Arial" w:eastAsia="Arial" w:hAnsi="Arial"/>
                <w:sz w:val="18"/>
                <w:szCs w:val="18"/>
                <w:color w:val="auto"/>
                <w:w w:val="94"/>
              </w:rPr>
              <w:t>Compensation of Non-Employee Directors of Integra LifeSciences Corporation (Incorporated by reference to Exhibit 10.1 to the</w:t>
            </w:r>
          </w:p>
        </w:tc>
      </w:tr>
      <w:tr>
        <w:trPr>
          <w:trHeight w:val="230"/>
        </w:trPr>
        <w:tc>
          <w:tcPr>
            <w:tcW w:w="1060" w:type="dxa"/>
            <w:vAlign w:val="bottom"/>
          </w:tcPr>
          <w:p>
            <w:pPr>
              <w:spacing w:after="0"/>
              <w:rPr>
                <w:sz w:val="20"/>
                <w:szCs w:val="20"/>
                <w:color w:val="auto"/>
              </w:rPr>
            </w:pPr>
          </w:p>
        </w:tc>
        <w:tc>
          <w:tcPr>
            <w:tcW w:w="9740" w:type="dxa"/>
            <w:vAlign w:val="bottom"/>
          </w:tcPr>
          <w:p>
            <w:pPr>
              <w:ind w:left="180"/>
              <w:spacing w:after="0"/>
              <w:rPr>
                <w:sz w:val="20"/>
                <w:szCs w:val="20"/>
                <w:color w:val="auto"/>
              </w:rPr>
            </w:pPr>
            <w:r>
              <w:rPr>
                <w:rFonts w:ascii="Arial" w:cs="Arial" w:eastAsia="Arial" w:hAnsi="Arial"/>
                <w:sz w:val="18"/>
                <w:szCs w:val="18"/>
                <w:color w:val="auto"/>
              </w:rPr>
              <w:t>Company’s Current Report on Form 8-K filed on July 29, 2013)</w:t>
            </w:r>
          </w:p>
        </w:tc>
      </w:tr>
      <w:tr>
        <w:trPr>
          <w:trHeight w:val="918"/>
        </w:trPr>
        <w:tc>
          <w:tcPr>
            <w:tcW w:w="1060" w:type="dxa"/>
            <w:vAlign w:val="bottom"/>
          </w:tcPr>
          <w:p>
            <w:pPr>
              <w:jc w:val="right"/>
              <w:ind w:right="110"/>
              <w:spacing w:after="0"/>
              <w:rPr>
                <w:sz w:val="20"/>
                <w:szCs w:val="20"/>
                <w:color w:val="auto"/>
              </w:rPr>
            </w:pPr>
            <w:r>
              <w:rPr>
                <w:rFonts w:ascii="Arial" w:cs="Arial" w:eastAsia="Arial" w:hAnsi="Arial"/>
                <w:sz w:val="18"/>
                <w:szCs w:val="18"/>
                <w:color w:val="auto"/>
              </w:rPr>
              <w:t>10.3</w:t>
            </w:r>
          </w:p>
        </w:tc>
        <w:tc>
          <w:tcPr>
            <w:tcW w:w="9740" w:type="dxa"/>
            <w:vAlign w:val="bottom"/>
          </w:tcPr>
          <w:p>
            <w:pPr>
              <w:ind w:left="180"/>
              <w:spacing w:after="0"/>
              <w:rPr>
                <w:sz w:val="20"/>
                <w:szCs w:val="20"/>
                <w:color w:val="auto"/>
              </w:rPr>
            </w:pPr>
            <w:r>
              <w:rPr>
                <w:rFonts w:ascii="Arial" w:cs="Arial" w:eastAsia="Arial" w:hAnsi="Arial"/>
                <w:sz w:val="18"/>
                <w:szCs w:val="18"/>
                <w:color w:val="auto"/>
                <w:w w:val="94"/>
              </w:rPr>
              <w:t>Annual Executive Physical Medical Exam Arrangement (Incorporated by reference to the Exhibit 10.2 to the Company’s Current</w:t>
            </w:r>
          </w:p>
        </w:tc>
      </w:tr>
      <w:tr>
        <w:trPr>
          <w:trHeight w:val="230"/>
        </w:trPr>
        <w:tc>
          <w:tcPr>
            <w:tcW w:w="1060" w:type="dxa"/>
            <w:vAlign w:val="bottom"/>
          </w:tcPr>
          <w:p>
            <w:pPr>
              <w:spacing w:after="0"/>
              <w:rPr>
                <w:sz w:val="20"/>
                <w:szCs w:val="20"/>
                <w:color w:val="auto"/>
              </w:rPr>
            </w:pPr>
          </w:p>
        </w:tc>
        <w:tc>
          <w:tcPr>
            <w:tcW w:w="9740" w:type="dxa"/>
            <w:vAlign w:val="bottom"/>
          </w:tcPr>
          <w:p>
            <w:pPr>
              <w:ind w:left="180"/>
              <w:spacing w:after="0"/>
              <w:rPr>
                <w:sz w:val="20"/>
                <w:szCs w:val="20"/>
                <w:color w:val="auto"/>
              </w:rPr>
            </w:pPr>
            <w:r>
              <w:rPr>
                <w:rFonts w:ascii="Arial" w:cs="Arial" w:eastAsia="Arial" w:hAnsi="Arial"/>
                <w:sz w:val="18"/>
                <w:szCs w:val="18"/>
                <w:color w:val="auto"/>
              </w:rPr>
              <w:t>Report on Form 8-K filed on July 29, 2013)</w:t>
            </w:r>
          </w:p>
        </w:tc>
      </w:tr>
      <w:tr>
        <w:trPr>
          <w:trHeight w:val="918"/>
        </w:trPr>
        <w:tc>
          <w:tcPr>
            <w:tcW w:w="1060" w:type="dxa"/>
            <w:vAlign w:val="bottom"/>
          </w:tcPr>
          <w:p>
            <w:pPr>
              <w:jc w:val="right"/>
              <w:ind w:right="110"/>
              <w:spacing w:after="0"/>
              <w:rPr>
                <w:sz w:val="20"/>
                <w:szCs w:val="20"/>
                <w:color w:val="auto"/>
              </w:rPr>
            </w:pPr>
            <w:r>
              <w:rPr>
                <w:rFonts w:ascii="Arial" w:cs="Arial" w:eastAsia="Arial" w:hAnsi="Arial"/>
                <w:sz w:val="18"/>
                <w:szCs w:val="18"/>
                <w:color w:val="auto"/>
              </w:rPr>
              <w:t>10.4</w:t>
            </w:r>
          </w:p>
        </w:tc>
        <w:tc>
          <w:tcPr>
            <w:tcW w:w="9740" w:type="dxa"/>
            <w:vAlign w:val="bottom"/>
          </w:tcPr>
          <w:p>
            <w:pPr>
              <w:ind w:left="180"/>
              <w:spacing w:after="0"/>
              <w:rPr>
                <w:sz w:val="20"/>
                <w:szCs w:val="20"/>
                <w:color w:val="auto"/>
              </w:rPr>
            </w:pPr>
            <w:r>
              <w:rPr>
                <w:rFonts w:ascii="Arial" w:cs="Arial" w:eastAsia="Arial" w:hAnsi="Arial"/>
                <w:sz w:val="18"/>
                <w:szCs w:val="18"/>
                <w:color w:val="auto"/>
                <w:w w:val="90"/>
              </w:rPr>
              <w:t>Reimbursement of Legal Fees Arrangement for CFO (Incorporated by reference to Exhibit 10.3 to the Company’s Current Report on</w:t>
            </w:r>
          </w:p>
        </w:tc>
      </w:tr>
      <w:tr>
        <w:trPr>
          <w:trHeight w:val="230"/>
        </w:trPr>
        <w:tc>
          <w:tcPr>
            <w:tcW w:w="1060" w:type="dxa"/>
            <w:vAlign w:val="bottom"/>
          </w:tcPr>
          <w:p>
            <w:pPr>
              <w:spacing w:after="0"/>
              <w:rPr>
                <w:sz w:val="20"/>
                <w:szCs w:val="20"/>
                <w:color w:val="auto"/>
              </w:rPr>
            </w:pPr>
          </w:p>
        </w:tc>
        <w:tc>
          <w:tcPr>
            <w:tcW w:w="9740" w:type="dxa"/>
            <w:vAlign w:val="bottom"/>
          </w:tcPr>
          <w:p>
            <w:pPr>
              <w:ind w:left="180"/>
              <w:spacing w:after="0"/>
              <w:rPr>
                <w:sz w:val="20"/>
                <w:szCs w:val="20"/>
                <w:color w:val="auto"/>
              </w:rPr>
            </w:pPr>
            <w:r>
              <w:rPr>
                <w:rFonts w:ascii="Arial" w:cs="Arial" w:eastAsia="Arial" w:hAnsi="Arial"/>
                <w:sz w:val="18"/>
                <w:szCs w:val="18"/>
                <w:color w:val="auto"/>
              </w:rPr>
              <w:t>Form 8-K filed on July 29, 2013)</w:t>
            </w:r>
          </w:p>
        </w:tc>
      </w:tr>
      <w:tr>
        <w:trPr>
          <w:trHeight w:val="540"/>
        </w:trPr>
        <w:tc>
          <w:tcPr>
            <w:tcW w:w="1060" w:type="dxa"/>
            <w:vAlign w:val="bottom"/>
          </w:tcPr>
          <w:p>
            <w:pPr>
              <w:jc w:val="right"/>
              <w:ind w:right="110"/>
              <w:spacing w:after="0"/>
              <w:rPr>
                <w:sz w:val="20"/>
                <w:szCs w:val="20"/>
                <w:color w:val="auto"/>
              </w:rPr>
            </w:pPr>
            <w:r>
              <w:rPr>
                <w:rFonts w:ascii="Arial" w:cs="Arial" w:eastAsia="Arial" w:hAnsi="Arial"/>
                <w:sz w:val="18"/>
                <w:szCs w:val="18"/>
                <w:color w:val="auto"/>
              </w:rPr>
              <w:t>*31.1</w:t>
            </w:r>
          </w:p>
        </w:tc>
        <w:tc>
          <w:tcPr>
            <w:tcW w:w="9740" w:type="dxa"/>
            <w:vAlign w:val="bottom"/>
          </w:tcPr>
          <w:p>
            <w:pPr>
              <w:ind w:left="18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540"/>
        </w:trPr>
        <w:tc>
          <w:tcPr>
            <w:tcW w:w="1060" w:type="dxa"/>
            <w:vAlign w:val="bottom"/>
          </w:tcPr>
          <w:p>
            <w:pPr>
              <w:jc w:val="right"/>
              <w:ind w:right="110"/>
              <w:spacing w:after="0"/>
              <w:rPr>
                <w:sz w:val="20"/>
                <w:szCs w:val="20"/>
                <w:color w:val="auto"/>
              </w:rPr>
            </w:pPr>
            <w:r>
              <w:rPr>
                <w:rFonts w:ascii="Arial" w:cs="Arial" w:eastAsia="Arial" w:hAnsi="Arial"/>
                <w:sz w:val="18"/>
                <w:szCs w:val="18"/>
                <w:color w:val="auto"/>
              </w:rPr>
              <w:t>*31.2</w:t>
            </w:r>
          </w:p>
        </w:tc>
        <w:tc>
          <w:tcPr>
            <w:tcW w:w="9740" w:type="dxa"/>
            <w:vAlign w:val="bottom"/>
          </w:tcPr>
          <w:p>
            <w:pPr>
              <w:ind w:left="18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540"/>
        </w:trPr>
        <w:tc>
          <w:tcPr>
            <w:tcW w:w="1060" w:type="dxa"/>
            <w:vAlign w:val="bottom"/>
          </w:tcPr>
          <w:p>
            <w:pPr>
              <w:jc w:val="right"/>
              <w:ind w:right="110"/>
              <w:spacing w:after="0"/>
              <w:rPr>
                <w:sz w:val="20"/>
                <w:szCs w:val="20"/>
                <w:color w:val="auto"/>
              </w:rPr>
            </w:pPr>
            <w:r>
              <w:rPr>
                <w:rFonts w:ascii="Arial" w:cs="Arial" w:eastAsia="Arial" w:hAnsi="Arial"/>
                <w:sz w:val="18"/>
                <w:szCs w:val="18"/>
                <w:color w:val="auto"/>
              </w:rPr>
              <w:t>*32.1</w:t>
            </w:r>
          </w:p>
        </w:tc>
        <w:tc>
          <w:tcPr>
            <w:tcW w:w="9740" w:type="dxa"/>
            <w:vAlign w:val="bottom"/>
          </w:tcPr>
          <w:p>
            <w:pPr>
              <w:ind w:left="180"/>
              <w:spacing w:after="0"/>
              <w:rPr>
                <w:sz w:val="20"/>
                <w:szCs w:val="20"/>
                <w:color w:val="auto"/>
              </w:rPr>
            </w:pPr>
            <w:r>
              <w:rPr>
                <w:rFonts w:ascii="Arial" w:cs="Arial" w:eastAsia="Arial" w:hAnsi="Arial"/>
                <w:sz w:val="18"/>
                <w:szCs w:val="18"/>
                <w:color w:val="auto"/>
              </w:rPr>
              <w:t>Certification of Principal Executive Officer Pursuant to Section 906 of the Sarbanes-Oxley Act of 2002</w:t>
            </w:r>
          </w:p>
        </w:tc>
      </w:tr>
      <w:tr>
        <w:trPr>
          <w:trHeight w:val="540"/>
        </w:trPr>
        <w:tc>
          <w:tcPr>
            <w:tcW w:w="1060" w:type="dxa"/>
            <w:vAlign w:val="bottom"/>
          </w:tcPr>
          <w:p>
            <w:pPr>
              <w:jc w:val="right"/>
              <w:ind w:right="110"/>
              <w:spacing w:after="0"/>
              <w:rPr>
                <w:sz w:val="20"/>
                <w:szCs w:val="20"/>
                <w:color w:val="auto"/>
              </w:rPr>
            </w:pPr>
            <w:r>
              <w:rPr>
                <w:rFonts w:ascii="Arial" w:cs="Arial" w:eastAsia="Arial" w:hAnsi="Arial"/>
                <w:sz w:val="18"/>
                <w:szCs w:val="18"/>
                <w:color w:val="auto"/>
              </w:rPr>
              <w:t>*32.2</w:t>
            </w:r>
          </w:p>
        </w:tc>
        <w:tc>
          <w:tcPr>
            <w:tcW w:w="9740" w:type="dxa"/>
            <w:vAlign w:val="bottom"/>
          </w:tcPr>
          <w:p>
            <w:pPr>
              <w:ind w:left="180"/>
              <w:spacing w:after="0"/>
              <w:rPr>
                <w:sz w:val="20"/>
                <w:szCs w:val="20"/>
                <w:color w:val="auto"/>
              </w:rPr>
            </w:pPr>
            <w:r>
              <w:rPr>
                <w:rFonts w:ascii="Arial" w:cs="Arial" w:eastAsia="Arial" w:hAnsi="Arial"/>
                <w:sz w:val="18"/>
                <w:szCs w:val="18"/>
                <w:color w:val="auto"/>
              </w:rPr>
              <w:t>Certification of Principal Financial Officer Pursuant to Section 906 of the Sarbanes-Oxley Act of 2002</w:t>
            </w:r>
          </w:p>
        </w:tc>
      </w:tr>
      <w:tr>
        <w:trPr>
          <w:trHeight w:val="526"/>
        </w:trPr>
        <w:tc>
          <w:tcPr>
            <w:tcW w:w="1060" w:type="dxa"/>
            <w:vAlign w:val="bottom"/>
          </w:tcPr>
          <w:p>
            <w:pPr>
              <w:spacing w:after="0"/>
              <w:rPr>
                <w:sz w:val="24"/>
                <w:szCs w:val="24"/>
                <w:color w:val="auto"/>
              </w:rPr>
            </w:pPr>
          </w:p>
        </w:tc>
        <w:tc>
          <w:tcPr>
            <w:tcW w:w="9740" w:type="dxa"/>
            <w:vAlign w:val="bottom"/>
          </w:tcPr>
          <w:p>
            <w:pPr>
              <w:ind w:left="180"/>
              <w:spacing w:after="0"/>
              <w:rPr>
                <w:sz w:val="20"/>
                <w:szCs w:val="20"/>
                <w:color w:val="auto"/>
              </w:rPr>
            </w:pPr>
            <w:r>
              <w:rPr>
                <w:rFonts w:ascii="Arial" w:cs="Arial" w:eastAsia="Arial" w:hAnsi="Arial"/>
                <w:sz w:val="18"/>
                <w:szCs w:val="18"/>
                <w:color w:val="auto"/>
                <w:w w:val="96"/>
              </w:rPr>
              <w:t>Letter, dated September 24, 2013, from the United States Food and Drug Administration to Integra LifeSciences Corporation</w:t>
            </w:r>
          </w:p>
        </w:tc>
      </w:tr>
      <w:tr>
        <w:trPr>
          <w:trHeight w:val="230"/>
        </w:trPr>
        <w:tc>
          <w:tcPr>
            <w:tcW w:w="1060" w:type="dxa"/>
            <w:vAlign w:val="bottom"/>
          </w:tcPr>
          <w:p>
            <w:pPr>
              <w:jc w:val="right"/>
              <w:ind w:right="110"/>
              <w:spacing w:after="0"/>
              <w:rPr>
                <w:sz w:val="20"/>
                <w:szCs w:val="20"/>
                <w:color w:val="auto"/>
              </w:rPr>
            </w:pPr>
            <w:r>
              <w:rPr>
                <w:rFonts w:ascii="Arial" w:cs="Arial" w:eastAsia="Arial" w:hAnsi="Arial"/>
                <w:sz w:val="18"/>
                <w:szCs w:val="18"/>
                <w:color w:val="auto"/>
              </w:rPr>
              <w:t>99.1</w:t>
            </w:r>
          </w:p>
        </w:tc>
        <w:tc>
          <w:tcPr>
            <w:tcW w:w="9740" w:type="dxa"/>
            <w:vAlign w:val="bottom"/>
          </w:tcPr>
          <w:p>
            <w:pPr>
              <w:ind w:left="180"/>
              <w:spacing w:after="0"/>
              <w:rPr>
                <w:sz w:val="20"/>
                <w:szCs w:val="20"/>
                <w:color w:val="auto"/>
              </w:rPr>
            </w:pPr>
            <w:r>
              <w:rPr>
                <w:rFonts w:ascii="Arial" w:cs="Arial" w:eastAsia="Arial" w:hAnsi="Arial"/>
                <w:sz w:val="18"/>
                <w:szCs w:val="18"/>
                <w:color w:val="auto"/>
              </w:rPr>
              <w:t>(Incorporated by reference to Exhibit 99.1 to the Company’s Current Report on Form 8-K filed on September 27, 2013)</w:t>
            </w:r>
          </w:p>
        </w:tc>
      </w:tr>
      <w:tr>
        <w:trPr>
          <w:trHeight w:val="540"/>
        </w:trPr>
        <w:tc>
          <w:tcPr>
            <w:tcW w:w="1060" w:type="dxa"/>
            <w:vAlign w:val="bottom"/>
          </w:tcPr>
          <w:p>
            <w:pPr>
              <w:jc w:val="right"/>
              <w:ind w:right="110"/>
              <w:spacing w:after="0"/>
              <w:rPr>
                <w:sz w:val="20"/>
                <w:szCs w:val="20"/>
                <w:color w:val="auto"/>
              </w:rPr>
            </w:pPr>
            <w:r>
              <w:rPr>
                <w:rFonts w:ascii="Arial" w:cs="Arial" w:eastAsia="Arial" w:hAnsi="Arial"/>
                <w:sz w:val="18"/>
                <w:szCs w:val="18"/>
                <w:color w:val="auto"/>
              </w:rPr>
              <w:t>*†101.INS</w:t>
            </w:r>
          </w:p>
        </w:tc>
        <w:tc>
          <w:tcPr>
            <w:tcW w:w="974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540"/>
        </w:trPr>
        <w:tc>
          <w:tcPr>
            <w:tcW w:w="1060" w:type="dxa"/>
            <w:vAlign w:val="bottom"/>
          </w:tcPr>
          <w:p>
            <w:pPr>
              <w:jc w:val="right"/>
              <w:ind w:right="110"/>
              <w:spacing w:after="0"/>
              <w:rPr>
                <w:sz w:val="20"/>
                <w:szCs w:val="20"/>
                <w:color w:val="auto"/>
              </w:rPr>
            </w:pPr>
            <w:r>
              <w:rPr>
                <w:rFonts w:ascii="Arial" w:cs="Arial" w:eastAsia="Arial" w:hAnsi="Arial"/>
                <w:sz w:val="18"/>
                <w:szCs w:val="18"/>
                <w:color w:val="auto"/>
                <w:w w:val="93"/>
              </w:rPr>
              <w:t>*†101.SCH</w:t>
            </w:r>
          </w:p>
        </w:tc>
        <w:tc>
          <w:tcPr>
            <w:tcW w:w="9740" w:type="dxa"/>
            <w:vAlign w:val="bottom"/>
          </w:tcPr>
          <w:p>
            <w:pPr>
              <w:ind w:left="180"/>
              <w:spacing w:after="0"/>
              <w:rPr>
                <w:sz w:val="20"/>
                <w:szCs w:val="20"/>
                <w:color w:val="auto"/>
              </w:rPr>
            </w:pPr>
            <w:r>
              <w:rPr>
                <w:rFonts w:ascii="Arial" w:cs="Arial" w:eastAsia="Arial" w:hAnsi="Arial"/>
                <w:sz w:val="18"/>
                <w:szCs w:val="18"/>
                <w:color w:val="auto"/>
              </w:rPr>
              <w:t>XBRL Taxonomy Extension Schema Document</w:t>
            </w:r>
          </w:p>
        </w:tc>
      </w:tr>
      <w:tr>
        <w:trPr>
          <w:trHeight w:val="540"/>
        </w:trPr>
        <w:tc>
          <w:tcPr>
            <w:tcW w:w="1060" w:type="dxa"/>
            <w:vAlign w:val="bottom"/>
          </w:tcPr>
          <w:p>
            <w:pPr>
              <w:jc w:val="right"/>
              <w:ind w:right="110"/>
              <w:spacing w:after="0"/>
              <w:rPr>
                <w:sz w:val="20"/>
                <w:szCs w:val="20"/>
                <w:color w:val="auto"/>
              </w:rPr>
            </w:pPr>
            <w:r>
              <w:rPr>
                <w:rFonts w:ascii="Arial" w:cs="Arial" w:eastAsia="Arial" w:hAnsi="Arial"/>
                <w:sz w:val="18"/>
                <w:szCs w:val="18"/>
                <w:color w:val="auto"/>
                <w:w w:val="96"/>
              </w:rPr>
              <w:t>*†101.CAL</w:t>
            </w:r>
          </w:p>
        </w:tc>
        <w:tc>
          <w:tcPr>
            <w:tcW w:w="9740" w:type="dxa"/>
            <w:vAlign w:val="bottom"/>
          </w:tcPr>
          <w:p>
            <w:pPr>
              <w:ind w:left="1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40"/>
        </w:trPr>
        <w:tc>
          <w:tcPr>
            <w:tcW w:w="1060" w:type="dxa"/>
            <w:vAlign w:val="bottom"/>
          </w:tcPr>
          <w:p>
            <w:pPr>
              <w:jc w:val="right"/>
              <w:ind w:right="110"/>
              <w:spacing w:after="0"/>
              <w:rPr>
                <w:sz w:val="20"/>
                <w:szCs w:val="20"/>
                <w:color w:val="auto"/>
              </w:rPr>
            </w:pPr>
            <w:r>
              <w:rPr>
                <w:rFonts w:ascii="Arial" w:cs="Arial" w:eastAsia="Arial" w:hAnsi="Arial"/>
                <w:sz w:val="18"/>
                <w:szCs w:val="18"/>
                <w:color w:val="auto"/>
                <w:w w:val="95"/>
              </w:rPr>
              <w:t>*†101.DEF</w:t>
            </w:r>
          </w:p>
        </w:tc>
        <w:tc>
          <w:tcPr>
            <w:tcW w:w="9740" w:type="dxa"/>
            <w:vAlign w:val="bottom"/>
          </w:tcPr>
          <w:p>
            <w:pPr>
              <w:ind w:left="180"/>
              <w:spacing w:after="0"/>
              <w:rPr>
                <w:sz w:val="20"/>
                <w:szCs w:val="20"/>
                <w:color w:val="auto"/>
              </w:rPr>
            </w:pPr>
            <w:r>
              <w:rPr>
                <w:rFonts w:ascii="Arial" w:cs="Arial" w:eastAsia="Arial" w:hAnsi="Arial"/>
                <w:sz w:val="18"/>
                <w:szCs w:val="18"/>
                <w:color w:val="auto"/>
              </w:rPr>
              <w:t>XBRL Definition Linkbase Document</w:t>
            </w:r>
          </w:p>
        </w:tc>
      </w:tr>
      <w:tr>
        <w:trPr>
          <w:trHeight w:val="540"/>
        </w:trPr>
        <w:tc>
          <w:tcPr>
            <w:tcW w:w="1060" w:type="dxa"/>
            <w:vAlign w:val="bottom"/>
          </w:tcPr>
          <w:p>
            <w:pPr>
              <w:jc w:val="right"/>
              <w:ind w:right="110"/>
              <w:spacing w:after="0"/>
              <w:rPr>
                <w:sz w:val="20"/>
                <w:szCs w:val="20"/>
                <w:color w:val="auto"/>
              </w:rPr>
            </w:pPr>
            <w:r>
              <w:rPr>
                <w:rFonts w:ascii="Arial" w:cs="Arial" w:eastAsia="Arial" w:hAnsi="Arial"/>
                <w:sz w:val="18"/>
                <w:szCs w:val="18"/>
                <w:color w:val="auto"/>
                <w:w w:val="97"/>
              </w:rPr>
              <w:t>*†101.LAB</w:t>
            </w:r>
          </w:p>
        </w:tc>
        <w:tc>
          <w:tcPr>
            <w:tcW w:w="9740" w:type="dxa"/>
            <w:vAlign w:val="bottom"/>
          </w:tcPr>
          <w:p>
            <w:pPr>
              <w:ind w:left="180"/>
              <w:spacing w:after="0"/>
              <w:rPr>
                <w:sz w:val="20"/>
                <w:szCs w:val="20"/>
                <w:color w:val="auto"/>
              </w:rPr>
            </w:pPr>
            <w:r>
              <w:rPr>
                <w:rFonts w:ascii="Arial" w:cs="Arial" w:eastAsia="Arial" w:hAnsi="Arial"/>
                <w:sz w:val="18"/>
                <w:szCs w:val="18"/>
                <w:color w:val="auto"/>
              </w:rPr>
              <w:t>XBRL Taxonomy Extension Labels Linkbase Document</w:t>
            </w:r>
          </w:p>
        </w:tc>
      </w:tr>
      <w:tr>
        <w:trPr>
          <w:trHeight w:val="540"/>
        </w:trPr>
        <w:tc>
          <w:tcPr>
            <w:tcW w:w="1060" w:type="dxa"/>
            <w:vAlign w:val="bottom"/>
          </w:tcPr>
          <w:p>
            <w:pPr>
              <w:jc w:val="right"/>
              <w:ind w:right="110"/>
              <w:spacing w:after="0"/>
              <w:rPr>
                <w:sz w:val="20"/>
                <w:szCs w:val="20"/>
                <w:color w:val="auto"/>
              </w:rPr>
            </w:pPr>
            <w:r>
              <w:rPr>
                <w:rFonts w:ascii="Arial" w:cs="Arial" w:eastAsia="Arial" w:hAnsi="Arial"/>
                <w:sz w:val="18"/>
                <w:szCs w:val="18"/>
                <w:color w:val="auto"/>
                <w:w w:val="94"/>
              </w:rPr>
              <w:t>*†101.PRE</w:t>
            </w:r>
          </w:p>
        </w:tc>
        <w:tc>
          <w:tcPr>
            <w:tcW w:w="9740" w:type="dxa"/>
            <w:vAlign w:val="bottom"/>
          </w:tcPr>
          <w:p>
            <w:pPr>
              <w:ind w:left="18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91" w:lineRule="exact"/>
        <w:rPr>
          <w:sz w:val="20"/>
          <w:szCs w:val="20"/>
          <w:color w:val="auto"/>
        </w:rPr>
      </w:pPr>
    </w:p>
    <w:p>
      <w:pPr>
        <w:ind w:left="720" w:hanging="685"/>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98" w:lineRule="exact"/>
        <w:rPr>
          <w:sz w:val="20"/>
          <w:szCs w:val="20"/>
          <w:color w:val="auto"/>
        </w:rPr>
      </w:pPr>
    </w:p>
    <w:p>
      <w:pPr>
        <w:ind w:left="720" w:right="220" w:hanging="685"/>
        <w:spacing w:after="0" w:line="257"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financial information of Integra LifeSciences Holdings Corporation Quarterly Report on Form 10-Q for the quarter ended September 30, 2013 filed on October 30, 2013 formatted in XBRL (Extensible Business Reporting Language): (i) the Condensed Consolidated Statements of Operations and Comprehensive Income, (ii) the Condensed Consolidated Balance Sheets, (iii) Parenthetical Data to the Condensed Consolidated Balance Sheets, (iv) the Condensed Consolidated Statements of Cash Flows, and (v) Notes to Condensed Consolidated Financial Statements, is furnished electronically herewith.</w:t>
      </w:r>
    </w:p>
    <w:p>
      <w:pPr>
        <w:sectPr>
          <w:pgSz w:w="11900" w:h="16838" w:orient="portrait"/>
          <w:cols w:equalWidth="0" w:num="1">
            <w:col w:w="11380"/>
          </w:cols>
          <w:pgMar w:left="240" w:top="125" w:right="279" w:bottom="1440" w:gutter="0" w:footer="0" w:header="0"/>
        </w:sect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380"/>
          </w:cols>
          <w:pgMar w:left="240" w:top="125" w:right="27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391" w:lineRule="exact"/>
        <w:rPr>
          <w:sz w:val="20"/>
          <w:szCs w:val="20"/>
          <w:color w:val="auto"/>
        </w:rPr>
      </w:pPr>
    </w:p>
    <w:p>
      <w:pPr>
        <w:ind w:left="40"/>
        <w:spacing w:after="0"/>
        <w:tabs>
          <w:tab w:leader="none" w:pos="700" w:val="left"/>
          <w:tab w:leader="none" w:pos="61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30, 2013</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Peter J. Arduini</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p>
      <w:pPr>
        <w:spacing w:after="0" w:line="387" w:lineRule="exact"/>
        <w:rPr>
          <w:sz w:val="20"/>
          <w:szCs w:val="20"/>
          <w:color w:val="auto"/>
        </w:rPr>
      </w:pPr>
    </w:p>
    <w:p>
      <w:pPr>
        <w:ind w:left="40"/>
        <w:spacing w:after="0"/>
        <w:tabs>
          <w:tab w:leader="none" w:pos="700" w:val="left"/>
          <w:tab w:leader="none" w:pos="61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30, 2013</w:t>
      </w:r>
      <w:r>
        <w:rPr>
          <w:sz w:val="20"/>
          <w:szCs w:val="20"/>
          <w:color w:val="auto"/>
        </w:rPr>
        <w:tab/>
      </w:r>
      <w:r>
        <w:rPr>
          <w:rFonts w:ascii="Arial" w:cs="Arial" w:eastAsia="Arial" w:hAnsi="Arial"/>
          <w:sz w:val="16"/>
          <w:szCs w:val="16"/>
          <w:color w:val="auto"/>
        </w:rPr>
        <w:t>/s/ John B. Henneman,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John B. Henneman, III</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Corporate Vice President, Finance and Administration,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and Chief Financial Officer</w:t>
      </w:r>
    </w:p>
    <w:p>
      <w:pPr>
        <w:spacing w:after="0" w:line="200" w:lineRule="exact"/>
        <w:rPr>
          <w:sz w:val="20"/>
          <w:szCs w:val="20"/>
          <w:color w:val="auto"/>
        </w:rPr>
      </w:pPr>
    </w:p>
    <w:p>
      <w:pPr>
        <w:spacing w:after="0" w:line="2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125" w:right="4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1500" w:type="dxa"/>
            <w:vAlign w:val="bottom"/>
            <w:gridSpan w:val="3"/>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970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700" w:type="dxa"/>
            <w:vAlign w:val="bottom"/>
          </w:tcPr>
          <w:p>
            <w:pPr>
              <w:spacing w:after="0" w:line="20" w:lineRule="exact"/>
              <w:rPr>
                <w:sz w:val="1"/>
                <w:szCs w:val="1"/>
                <w:color w:val="auto"/>
              </w:rPr>
            </w:pPr>
          </w:p>
        </w:tc>
      </w:tr>
      <w:tr>
        <w:trPr>
          <w:trHeight w:val="439"/>
        </w:trPr>
        <w:tc>
          <w:tcPr>
            <w:tcW w:w="1500" w:type="dxa"/>
            <w:vAlign w:val="bottom"/>
            <w:gridSpan w:val="3"/>
          </w:tcPr>
          <w:p>
            <w:pPr>
              <w:spacing w:after="0"/>
              <w:rPr>
                <w:sz w:val="20"/>
                <w:szCs w:val="20"/>
                <w:color w:val="auto"/>
              </w:rPr>
            </w:pPr>
            <w:r>
              <w:rPr>
                <w:rFonts w:ascii="Arial" w:cs="Arial" w:eastAsia="Arial" w:hAnsi="Arial"/>
                <w:sz w:val="18"/>
                <w:szCs w:val="18"/>
                <w:b w:val="1"/>
                <w:bCs w:val="1"/>
                <w:color w:val="auto"/>
                <w:w w:val="97"/>
              </w:rPr>
              <w:t>Table of Contents</w:t>
            </w:r>
          </w:p>
        </w:tc>
        <w:tc>
          <w:tcPr>
            <w:tcW w:w="9700" w:type="dxa"/>
            <w:vAlign w:val="bottom"/>
          </w:tcPr>
          <w:p>
            <w:pPr>
              <w:spacing w:after="0"/>
              <w:rPr>
                <w:sz w:val="24"/>
                <w:szCs w:val="24"/>
                <w:color w:val="auto"/>
              </w:rPr>
            </w:pPr>
          </w:p>
        </w:tc>
      </w:tr>
      <w:tr>
        <w:trPr>
          <w:trHeight w:val="588"/>
        </w:trPr>
        <w:tc>
          <w:tcPr>
            <w:tcW w:w="1360" w:type="dxa"/>
            <w:vAlign w:val="bottom"/>
            <w:tcBorders>
              <w:top w:val="single" w:sz="8" w:color="auto"/>
            </w:tcBorders>
            <w:gridSpan w:val="2"/>
          </w:tcPr>
          <w:p>
            <w:pPr>
              <w:ind w:left="660"/>
              <w:spacing w:after="0"/>
              <w:rPr>
                <w:sz w:val="20"/>
                <w:szCs w:val="20"/>
                <w:color w:val="auto"/>
              </w:rPr>
            </w:pPr>
            <w:r>
              <w:rPr>
                <w:rFonts w:ascii="Arial" w:cs="Arial" w:eastAsia="Arial" w:hAnsi="Arial"/>
                <w:sz w:val="18"/>
                <w:szCs w:val="18"/>
                <w:color w:val="auto"/>
              </w:rPr>
              <w:t>Exhibits</w:t>
            </w:r>
          </w:p>
        </w:tc>
        <w:tc>
          <w:tcPr>
            <w:tcW w:w="140" w:type="dxa"/>
            <w:vAlign w:val="bottom"/>
          </w:tcPr>
          <w:p>
            <w:pPr>
              <w:spacing w:after="0"/>
              <w:rPr>
                <w:sz w:val="24"/>
                <w:szCs w:val="24"/>
                <w:color w:val="auto"/>
              </w:rPr>
            </w:pPr>
          </w:p>
        </w:tc>
        <w:tc>
          <w:tcPr>
            <w:tcW w:w="9700" w:type="dxa"/>
            <w:vAlign w:val="bottom"/>
          </w:tcPr>
          <w:p>
            <w:pPr>
              <w:spacing w:after="0"/>
              <w:rPr>
                <w:sz w:val="24"/>
                <w:szCs w:val="24"/>
                <w:color w:val="auto"/>
              </w:rPr>
            </w:pPr>
          </w:p>
        </w:tc>
      </w:tr>
      <w:tr>
        <w:trPr>
          <w:trHeight w:val="580"/>
        </w:trPr>
        <w:tc>
          <w:tcPr>
            <w:tcW w:w="1280" w:type="dxa"/>
            <w:vAlign w:val="bottom"/>
          </w:tcPr>
          <w:p>
            <w:pPr>
              <w:jc w:val="right"/>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700" w:type="dxa"/>
            <w:vAlign w:val="bottom"/>
          </w:tcPr>
          <w:p>
            <w:pPr>
              <w:ind w:left="140"/>
              <w:spacing w:after="0"/>
              <w:rPr>
                <w:sz w:val="20"/>
                <w:szCs w:val="20"/>
                <w:color w:val="auto"/>
              </w:rPr>
            </w:pPr>
            <w:r>
              <w:rPr>
                <w:rFonts w:ascii="Arial" w:cs="Arial" w:eastAsia="Arial" w:hAnsi="Arial"/>
                <w:sz w:val="18"/>
                <w:szCs w:val="18"/>
                <w:color w:val="auto"/>
                <w:w w:val="91"/>
              </w:rPr>
              <w:t>Lease Agreement dated as of July 1, 2013, between 109 Morgan Lane, LLC and Integra LifeSciences Corporation (Incorporated by</w:t>
            </w:r>
          </w:p>
        </w:tc>
      </w:tr>
      <w:tr>
        <w:trPr>
          <w:trHeight w:val="230"/>
        </w:trPr>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700" w:type="dxa"/>
            <w:vAlign w:val="bottom"/>
          </w:tcPr>
          <w:p>
            <w:pPr>
              <w:ind w:left="140"/>
              <w:spacing w:after="0"/>
              <w:rPr>
                <w:sz w:val="20"/>
                <w:szCs w:val="20"/>
                <w:color w:val="auto"/>
              </w:rPr>
            </w:pPr>
            <w:r>
              <w:rPr>
                <w:rFonts w:ascii="Arial" w:cs="Arial" w:eastAsia="Arial" w:hAnsi="Arial"/>
                <w:sz w:val="18"/>
                <w:szCs w:val="18"/>
                <w:color w:val="auto"/>
              </w:rPr>
              <w:t>reference to Exhibit 10.1 to the Company’s Current Report on Form 8-K filed on July 1, 2013)</w:t>
            </w:r>
          </w:p>
        </w:tc>
      </w:tr>
      <w:tr>
        <w:trPr>
          <w:trHeight w:val="918"/>
        </w:trPr>
        <w:tc>
          <w:tcPr>
            <w:tcW w:w="1280" w:type="dxa"/>
            <w:vAlign w:val="bottom"/>
          </w:tcPr>
          <w:p>
            <w:pPr>
              <w:jc w:val="right"/>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700" w:type="dxa"/>
            <w:vAlign w:val="bottom"/>
          </w:tcPr>
          <w:p>
            <w:pPr>
              <w:ind w:left="140"/>
              <w:spacing w:after="0"/>
              <w:rPr>
                <w:sz w:val="20"/>
                <w:szCs w:val="20"/>
                <w:color w:val="auto"/>
              </w:rPr>
            </w:pPr>
            <w:r>
              <w:rPr>
                <w:rFonts w:ascii="Arial" w:cs="Arial" w:eastAsia="Arial" w:hAnsi="Arial"/>
                <w:sz w:val="18"/>
                <w:szCs w:val="18"/>
                <w:color w:val="auto"/>
                <w:w w:val="94"/>
              </w:rPr>
              <w:t>Compensation of Non-Employee Directors of Integra LifeSciences Corporation (Incorporated by reference to Exhibit 10.1 to the</w:t>
            </w:r>
          </w:p>
        </w:tc>
      </w:tr>
      <w:tr>
        <w:trPr>
          <w:trHeight w:val="230"/>
        </w:trPr>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700" w:type="dxa"/>
            <w:vAlign w:val="bottom"/>
          </w:tcPr>
          <w:p>
            <w:pPr>
              <w:ind w:left="140"/>
              <w:spacing w:after="0"/>
              <w:rPr>
                <w:sz w:val="20"/>
                <w:szCs w:val="20"/>
                <w:color w:val="auto"/>
              </w:rPr>
            </w:pPr>
            <w:r>
              <w:rPr>
                <w:rFonts w:ascii="Arial" w:cs="Arial" w:eastAsia="Arial" w:hAnsi="Arial"/>
                <w:sz w:val="18"/>
                <w:szCs w:val="18"/>
                <w:color w:val="auto"/>
              </w:rPr>
              <w:t>Company’s Current Report on Form 8-K filed on July 29, 2013)</w:t>
            </w:r>
          </w:p>
        </w:tc>
      </w:tr>
      <w:tr>
        <w:trPr>
          <w:trHeight w:val="918"/>
        </w:trPr>
        <w:tc>
          <w:tcPr>
            <w:tcW w:w="1280" w:type="dxa"/>
            <w:vAlign w:val="bottom"/>
          </w:tcPr>
          <w:p>
            <w:pPr>
              <w:jc w:val="right"/>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700" w:type="dxa"/>
            <w:vAlign w:val="bottom"/>
          </w:tcPr>
          <w:p>
            <w:pPr>
              <w:ind w:left="140"/>
              <w:spacing w:after="0"/>
              <w:rPr>
                <w:sz w:val="20"/>
                <w:szCs w:val="20"/>
                <w:color w:val="auto"/>
              </w:rPr>
            </w:pPr>
            <w:r>
              <w:rPr>
                <w:rFonts w:ascii="Arial" w:cs="Arial" w:eastAsia="Arial" w:hAnsi="Arial"/>
                <w:sz w:val="18"/>
                <w:szCs w:val="18"/>
                <w:color w:val="auto"/>
                <w:w w:val="94"/>
              </w:rPr>
              <w:t>Annual Executive Physical Medical Exam Arrangement (Incorporated by reference to the Exhibit 10.2 to the Company’s Current</w:t>
            </w:r>
          </w:p>
        </w:tc>
      </w:tr>
      <w:tr>
        <w:trPr>
          <w:trHeight w:val="230"/>
        </w:trPr>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700" w:type="dxa"/>
            <w:vAlign w:val="bottom"/>
          </w:tcPr>
          <w:p>
            <w:pPr>
              <w:ind w:left="140"/>
              <w:spacing w:after="0"/>
              <w:rPr>
                <w:sz w:val="20"/>
                <w:szCs w:val="20"/>
                <w:color w:val="auto"/>
              </w:rPr>
            </w:pPr>
            <w:r>
              <w:rPr>
                <w:rFonts w:ascii="Arial" w:cs="Arial" w:eastAsia="Arial" w:hAnsi="Arial"/>
                <w:sz w:val="18"/>
                <w:szCs w:val="18"/>
                <w:color w:val="auto"/>
              </w:rPr>
              <w:t>Report on Form 8-K filed on July 29, 2013)</w:t>
            </w:r>
          </w:p>
        </w:tc>
      </w:tr>
      <w:tr>
        <w:trPr>
          <w:trHeight w:val="918"/>
        </w:trPr>
        <w:tc>
          <w:tcPr>
            <w:tcW w:w="1280" w:type="dxa"/>
            <w:vAlign w:val="bottom"/>
          </w:tcPr>
          <w:p>
            <w:pPr>
              <w:jc w:val="right"/>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700" w:type="dxa"/>
            <w:vAlign w:val="bottom"/>
          </w:tcPr>
          <w:p>
            <w:pPr>
              <w:ind w:left="140"/>
              <w:spacing w:after="0"/>
              <w:rPr>
                <w:sz w:val="20"/>
                <w:szCs w:val="20"/>
                <w:color w:val="auto"/>
              </w:rPr>
            </w:pPr>
            <w:r>
              <w:rPr>
                <w:rFonts w:ascii="Arial" w:cs="Arial" w:eastAsia="Arial" w:hAnsi="Arial"/>
                <w:sz w:val="18"/>
                <w:szCs w:val="18"/>
                <w:color w:val="auto"/>
                <w:w w:val="90"/>
              </w:rPr>
              <w:t>Reimbursement of Legal Fees Arrangement for CFO (Incorporated by reference to Exhibit 10.3 to the Company’s Current Report on</w:t>
            </w:r>
          </w:p>
        </w:tc>
      </w:tr>
      <w:tr>
        <w:trPr>
          <w:trHeight w:val="230"/>
        </w:trPr>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700" w:type="dxa"/>
            <w:vAlign w:val="bottom"/>
          </w:tcPr>
          <w:p>
            <w:pPr>
              <w:ind w:left="140"/>
              <w:spacing w:after="0"/>
              <w:rPr>
                <w:sz w:val="20"/>
                <w:szCs w:val="20"/>
                <w:color w:val="auto"/>
              </w:rPr>
            </w:pPr>
            <w:r>
              <w:rPr>
                <w:rFonts w:ascii="Arial" w:cs="Arial" w:eastAsia="Arial" w:hAnsi="Arial"/>
                <w:sz w:val="18"/>
                <w:szCs w:val="18"/>
                <w:color w:val="auto"/>
              </w:rPr>
              <w:t>Form 8-K filed on July 29, 2013)</w:t>
            </w:r>
          </w:p>
        </w:tc>
      </w:tr>
      <w:tr>
        <w:trPr>
          <w:trHeight w:val="540"/>
        </w:trPr>
        <w:tc>
          <w:tcPr>
            <w:tcW w:w="1280" w:type="dxa"/>
            <w:vAlign w:val="bottom"/>
          </w:tcPr>
          <w:p>
            <w:pPr>
              <w:jc w:val="right"/>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700" w:type="dxa"/>
            <w:vAlign w:val="bottom"/>
          </w:tcPr>
          <w:p>
            <w:pPr>
              <w:ind w:left="14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540"/>
        </w:trPr>
        <w:tc>
          <w:tcPr>
            <w:tcW w:w="1280" w:type="dxa"/>
            <w:vAlign w:val="bottom"/>
          </w:tcPr>
          <w:p>
            <w:pPr>
              <w:jc w:val="right"/>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700" w:type="dxa"/>
            <w:vAlign w:val="bottom"/>
          </w:tcPr>
          <w:p>
            <w:pPr>
              <w:ind w:left="14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540"/>
        </w:trPr>
        <w:tc>
          <w:tcPr>
            <w:tcW w:w="1280" w:type="dxa"/>
            <w:vAlign w:val="bottom"/>
          </w:tcPr>
          <w:p>
            <w:pPr>
              <w:jc w:val="right"/>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700" w:type="dxa"/>
            <w:vAlign w:val="bottom"/>
          </w:tcPr>
          <w:p>
            <w:pPr>
              <w:ind w:left="140"/>
              <w:spacing w:after="0"/>
              <w:rPr>
                <w:sz w:val="20"/>
                <w:szCs w:val="20"/>
                <w:color w:val="auto"/>
              </w:rPr>
            </w:pPr>
            <w:r>
              <w:rPr>
                <w:rFonts w:ascii="Arial" w:cs="Arial" w:eastAsia="Arial" w:hAnsi="Arial"/>
                <w:sz w:val="18"/>
                <w:szCs w:val="18"/>
                <w:color w:val="auto"/>
              </w:rPr>
              <w:t>Certification of Principal Executive Officer Pursuant to Section 906 of the Sarbanes-Oxley Act of 2002</w:t>
            </w:r>
          </w:p>
        </w:tc>
      </w:tr>
      <w:tr>
        <w:trPr>
          <w:trHeight w:val="540"/>
        </w:trPr>
        <w:tc>
          <w:tcPr>
            <w:tcW w:w="1280" w:type="dxa"/>
            <w:vAlign w:val="bottom"/>
          </w:tcPr>
          <w:p>
            <w:pPr>
              <w:jc w:val="right"/>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700" w:type="dxa"/>
            <w:vAlign w:val="bottom"/>
          </w:tcPr>
          <w:p>
            <w:pPr>
              <w:ind w:left="140"/>
              <w:spacing w:after="0"/>
              <w:rPr>
                <w:sz w:val="20"/>
                <w:szCs w:val="20"/>
                <w:color w:val="auto"/>
              </w:rPr>
            </w:pPr>
            <w:r>
              <w:rPr>
                <w:rFonts w:ascii="Arial" w:cs="Arial" w:eastAsia="Arial" w:hAnsi="Arial"/>
                <w:sz w:val="18"/>
                <w:szCs w:val="18"/>
                <w:color w:val="auto"/>
              </w:rPr>
              <w:t>Certification of Principal Financial Officer Pursuant to Section 906 of the Sarbanes-Oxley Act of 2002</w:t>
            </w:r>
          </w:p>
        </w:tc>
      </w:tr>
      <w:tr>
        <w:trPr>
          <w:trHeight w:val="526"/>
        </w:trPr>
        <w:tc>
          <w:tcPr>
            <w:tcW w:w="1280" w:type="dxa"/>
            <w:vAlign w:val="bottom"/>
          </w:tcPr>
          <w:p>
            <w:pPr>
              <w:jc w:val="right"/>
              <w:spacing w:after="0"/>
              <w:rPr>
                <w:sz w:val="20"/>
                <w:szCs w:val="20"/>
                <w:color w:val="auto"/>
              </w:rPr>
            </w:pPr>
            <w:r>
              <w:rPr>
                <w:rFonts w:ascii="Arial" w:cs="Arial" w:eastAsia="Arial" w:hAnsi="Arial"/>
                <w:sz w:val="18"/>
                <w:szCs w:val="18"/>
                <w:color w:val="auto"/>
              </w:rPr>
              <w:t>99.1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700" w:type="dxa"/>
            <w:vAlign w:val="bottom"/>
          </w:tcPr>
          <w:p>
            <w:pPr>
              <w:ind w:left="140"/>
              <w:spacing w:after="0"/>
              <w:rPr>
                <w:sz w:val="20"/>
                <w:szCs w:val="20"/>
                <w:color w:val="auto"/>
              </w:rPr>
            </w:pPr>
            <w:r>
              <w:rPr>
                <w:rFonts w:ascii="Arial" w:cs="Arial" w:eastAsia="Arial" w:hAnsi="Arial"/>
                <w:sz w:val="18"/>
                <w:szCs w:val="18"/>
                <w:color w:val="auto"/>
                <w:w w:val="96"/>
              </w:rPr>
              <w:t>Letter, dated September 24, 2013, from the United States Food and Drug Administration to Integra LifeSciences Corporation</w:t>
            </w:r>
          </w:p>
        </w:tc>
      </w:tr>
      <w:tr>
        <w:trPr>
          <w:trHeight w:val="230"/>
        </w:trPr>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700" w:type="dxa"/>
            <w:vAlign w:val="bottom"/>
          </w:tcPr>
          <w:p>
            <w:pPr>
              <w:ind w:left="140"/>
              <w:spacing w:after="0"/>
              <w:rPr>
                <w:sz w:val="20"/>
                <w:szCs w:val="20"/>
                <w:color w:val="auto"/>
              </w:rPr>
            </w:pPr>
            <w:r>
              <w:rPr>
                <w:rFonts w:ascii="Arial" w:cs="Arial" w:eastAsia="Arial" w:hAnsi="Arial"/>
                <w:sz w:val="18"/>
                <w:szCs w:val="18"/>
                <w:color w:val="auto"/>
              </w:rPr>
              <w:t>(Incorporated by reference to Exhibit 99.1 to the Company’s Current Report on Form 8-K filed on September 27, 2013)</w:t>
            </w:r>
          </w:p>
        </w:tc>
      </w:tr>
      <w:tr>
        <w:trPr>
          <w:trHeight w:val="540"/>
        </w:trPr>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*†101.INS</w:t>
            </w:r>
          </w:p>
        </w:tc>
        <w:tc>
          <w:tcPr>
            <w:tcW w:w="9700" w:type="dxa"/>
            <w:vAlign w:val="bottom"/>
          </w:tcPr>
          <w:p>
            <w:pPr>
              <w:ind w:left="140"/>
              <w:spacing w:after="0"/>
              <w:rPr>
                <w:sz w:val="20"/>
                <w:szCs w:val="20"/>
                <w:color w:val="auto"/>
              </w:rPr>
            </w:pPr>
            <w:r>
              <w:rPr>
                <w:rFonts w:ascii="Arial" w:cs="Arial" w:eastAsia="Arial" w:hAnsi="Arial"/>
                <w:sz w:val="18"/>
                <w:szCs w:val="18"/>
                <w:color w:val="auto"/>
              </w:rPr>
              <w:t>XBRL Instance Document</w:t>
            </w:r>
          </w:p>
        </w:tc>
      </w:tr>
      <w:tr>
        <w:trPr>
          <w:trHeight w:val="540"/>
        </w:trPr>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*†101.SCH</w:t>
            </w:r>
          </w:p>
        </w:tc>
        <w:tc>
          <w:tcPr>
            <w:tcW w:w="970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540"/>
        </w:trPr>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*†101.CAL</w:t>
            </w:r>
          </w:p>
        </w:tc>
        <w:tc>
          <w:tcPr>
            <w:tcW w:w="9700" w:type="dxa"/>
            <w:vAlign w:val="bottom"/>
          </w:tcPr>
          <w:p>
            <w:pPr>
              <w:ind w:left="1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40"/>
        </w:trPr>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*†101.DEF</w:t>
            </w:r>
          </w:p>
        </w:tc>
        <w:tc>
          <w:tcPr>
            <w:tcW w:w="9700" w:type="dxa"/>
            <w:vAlign w:val="bottom"/>
          </w:tcPr>
          <w:p>
            <w:pPr>
              <w:ind w:left="140"/>
              <w:spacing w:after="0"/>
              <w:rPr>
                <w:sz w:val="20"/>
                <w:szCs w:val="20"/>
                <w:color w:val="auto"/>
              </w:rPr>
            </w:pPr>
            <w:r>
              <w:rPr>
                <w:rFonts w:ascii="Arial" w:cs="Arial" w:eastAsia="Arial" w:hAnsi="Arial"/>
                <w:sz w:val="18"/>
                <w:szCs w:val="18"/>
                <w:color w:val="auto"/>
              </w:rPr>
              <w:t>XBRL Definition Linkbase Document</w:t>
            </w:r>
          </w:p>
        </w:tc>
      </w:tr>
      <w:tr>
        <w:trPr>
          <w:trHeight w:val="540"/>
        </w:trPr>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*†101.LAB</w:t>
            </w:r>
          </w:p>
        </w:tc>
        <w:tc>
          <w:tcPr>
            <w:tcW w:w="9700" w:type="dxa"/>
            <w:vAlign w:val="bottom"/>
          </w:tcPr>
          <w:p>
            <w:pPr>
              <w:ind w:left="140"/>
              <w:spacing w:after="0"/>
              <w:rPr>
                <w:sz w:val="20"/>
                <w:szCs w:val="20"/>
                <w:color w:val="auto"/>
              </w:rPr>
            </w:pPr>
            <w:r>
              <w:rPr>
                <w:rFonts w:ascii="Arial" w:cs="Arial" w:eastAsia="Arial" w:hAnsi="Arial"/>
                <w:sz w:val="18"/>
                <w:szCs w:val="18"/>
                <w:color w:val="auto"/>
              </w:rPr>
              <w:t>XBRL Taxonomy Extension Labels Linkbase Document</w:t>
            </w:r>
          </w:p>
        </w:tc>
      </w:tr>
      <w:tr>
        <w:trPr>
          <w:trHeight w:val="540"/>
        </w:trPr>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*†101.PRE</w:t>
            </w:r>
          </w:p>
        </w:tc>
        <w:tc>
          <w:tcPr>
            <w:tcW w:w="9700" w:type="dxa"/>
            <w:vAlign w:val="bottom"/>
          </w:tcPr>
          <w:p>
            <w:pPr>
              <w:ind w:left="1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91" w:lineRule="exact"/>
        <w:rPr>
          <w:sz w:val="20"/>
          <w:szCs w:val="20"/>
          <w:color w:val="auto"/>
        </w:rPr>
      </w:pPr>
    </w:p>
    <w:p>
      <w:pPr>
        <w:ind w:left="720" w:hanging="685"/>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98" w:lineRule="exact"/>
        <w:rPr>
          <w:sz w:val="20"/>
          <w:szCs w:val="20"/>
          <w:color w:val="auto"/>
        </w:rPr>
      </w:pPr>
    </w:p>
    <w:p>
      <w:pPr>
        <w:ind w:left="720" w:hanging="685"/>
        <w:spacing w:after="0" w:line="257"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financial information of Integra LifeSciences Holdings Corporation Quarterly Report on Form 10-Q for the quarter ended September 30, 2013 filed on October 28, 2013 formatted in XBRL (Extensible Business Reporting Language): (i) the Condensed Consolidated Statements of Operations and Comprehensive Income, (ii) the Condensed Consolidated Balance Sheets, (iii) Parenthetical Data to the Condensed Consolidated Balance Sheets, (iv) the Condensed Consolidated Statements of Cash Flows, and (v) Notes to Condensed Consolidated Financial Statements, is furnished electronically herewith.</w:t>
      </w:r>
    </w:p>
    <w:p>
      <w:pPr>
        <w:sectPr>
          <w:pgSz w:w="11900" w:h="16838" w:orient="portrait"/>
          <w:cols w:equalWidth="0" w:num="1">
            <w:col w:w="11300"/>
          </w:cols>
          <w:pgMar w:left="240" w:top="10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300"/>
          </w:cols>
          <w:pgMar w:left="240" w:top="108" w:right="359" w:bottom="1440" w:gutter="0" w:footer="0" w:header="0"/>
          <w:type w:val="continuous"/>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Peter J. Arduini, certify that:</w:t>
      </w:r>
    </w:p>
    <w:p>
      <w:pPr>
        <w:spacing w:after="0" w:line="117"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ind w:left="1300" w:right="120" w:hanging="320"/>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right="380" w:hanging="320"/>
        <w:spacing w:after="0" w:line="342" w:lineRule="auto"/>
        <w:tabs>
          <w:tab w:leader="none" w:pos="13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100" w:hanging="320"/>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00" w:hanging="328"/>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680" w:hanging="320"/>
        <w:spacing w:after="0" w:line="342" w:lineRule="auto"/>
        <w:tabs>
          <w:tab w:leader="none" w:pos="13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80" w:hanging="320"/>
        <w:spacing w:after="0" w:line="277"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Date: October 30, 2013</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Peter J. Arduini</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John B. Henneman, III, certify that:</w:t>
      </w:r>
    </w:p>
    <w:p>
      <w:pPr>
        <w:spacing w:after="0" w:line="117"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ind w:left="1300" w:right="120" w:hanging="320"/>
        <w:spacing w:after="0" w:line="26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right="380" w:hanging="320"/>
        <w:spacing w:after="0" w:line="342" w:lineRule="auto"/>
        <w:tabs>
          <w:tab w:leader="none" w:pos="13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100" w:hanging="320"/>
        <w:spacing w:after="0" w:line="26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00" w:hanging="328"/>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680" w:hanging="320"/>
        <w:spacing w:after="0" w:line="342" w:lineRule="auto"/>
        <w:tabs>
          <w:tab w:leader="none" w:pos="13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80" w:hanging="320"/>
        <w:spacing w:after="0" w:line="277"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Date: October 30, 2013</w:t>
      </w:r>
      <w:r>
        <w:rPr>
          <w:sz w:val="20"/>
          <w:szCs w:val="20"/>
          <w:color w:val="auto"/>
        </w:rPr>
        <w:tab/>
      </w:r>
      <w:r>
        <w:rPr>
          <w:rFonts w:ascii="Arial" w:cs="Arial" w:eastAsia="Arial" w:hAnsi="Arial"/>
          <w:sz w:val="16"/>
          <w:szCs w:val="16"/>
          <w:color w:val="auto"/>
        </w:rPr>
        <w:t>/s/ John B. Henneman,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John B. Henneman, III</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Corporate Vice President, Finance and Administration,</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and Chief Financial Officer</w:t>
      </w:r>
    </w:p>
    <w:p>
      <w:pPr>
        <w:sectPr>
          <w:pgSz w:w="11900" w:h="16838" w:orient="portrait"/>
          <w:cols w:equalWidth="0" w:num="1">
            <w:col w:w="11420"/>
          </w:cols>
          <w:pgMar w:left="240" w:top="121"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I, Peter J. Arduini, President and Chief Executive Officer of Integra LifeSciences Holdings Corporation (the “Company”), hereby certify that, to my knowledge:</w:t>
      </w:r>
    </w:p>
    <w:p>
      <w:pPr>
        <w:spacing w:after="0" w:line="62" w:lineRule="exact"/>
        <w:rPr>
          <w:sz w:val="20"/>
          <w:szCs w:val="20"/>
          <w:color w:val="auto"/>
        </w:rPr>
      </w:pPr>
    </w:p>
    <w:p>
      <w:pPr>
        <w:ind w:left="660" w:right="20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2013 (the “Report”) fully complies with the requirement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Date: October 30, 2013</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Peter J. Arduini</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 John B. Henneman, III, Corporate Vice President Finance and Administration, and Chief Financial Officer of Integra LifeSciences Holdings Corporation (the “Company”), hereby certify that, to my knowledge:</w:t>
      </w:r>
    </w:p>
    <w:p>
      <w:pPr>
        <w:spacing w:after="0" w:line="62" w:lineRule="exact"/>
        <w:rPr>
          <w:sz w:val="20"/>
          <w:szCs w:val="20"/>
          <w:color w:val="auto"/>
        </w:rPr>
      </w:pPr>
    </w:p>
    <w:p>
      <w:pPr>
        <w:ind w:left="660" w:right="20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2013 (the “Report”) fully complies with the requirement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Date: October 30, 2013</w:t>
      </w:r>
      <w:r>
        <w:rPr>
          <w:sz w:val="20"/>
          <w:szCs w:val="20"/>
          <w:color w:val="auto"/>
        </w:rPr>
        <w:tab/>
      </w:r>
      <w:r>
        <w:rPr>
          <w:rFonts w:ascii="Arial" w:cs="Arial" w:eastAsia="Arial" w:hAnsi="Arial"/>
          <w:sz w:val="16"/>
          <w:szCs w:val="16"/>
          <w:color w:val="auto"/>
        </w:rPr>
        <w:t>/s/ John B. Henneman,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John B. Henneman, III</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Corporate Vice President, Finance and Administration,</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and 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x"/>
      <w:numFmt w:val="bullet"/>
      <w:start w:val="1"/>
    </w:lvl>
  </w:abstractNum>
  <w:abstractNum w:abstractNumId="1">
    <w:nsid w:val="41A7C4C9"/>
    <w:multiLevelType w:val="hybridMultilevel"/>
    <w:lvl w:ilvl="0">
      <w:lvlJc w:val="left"/>
      <w:lvlText w:val="o"/>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decimal"/>
      <w:start w:val="2"/>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lowerRoman"/>
      <w:start w:val="1"/>
    </w:lvl>
  </w:abstractNum>
  <w:abstractNum w:abstractNumId="7">
    <w:nsid w:val="3F2DBA31"/>
    <w:multiLevelType w:val="hybridMultilevel"/>
    <w:lvl w:ilvl="0">
      <w:lvlJc w:val="left"/>
      <w:lvlText w:val="(%1)"/>
      <w:numFmt w:val="lowerLetter"/>
      <w:start w:val="24"/>
    </w:lvl>
  </w:abstractNum>
  <w:abstractNum w:abstractNumId="8">
    <w:nsid w:val="7C83E458"/>
    <w:multiLevelType w:val="hybridMultilevel"/>
    <w:lvl w:ilvl="0">
      <w:lvlJc w:val="left"/>
      <w:lvlText w:val="(%1)"/>
      <w:numFmt w:val="lowerLetter"/>
      <w:start w:val="2"/>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decimal"/>
      <w:start w:val="2"/>
    </w:lvl>
  </w:abstractNum>
  <w:abstractNum w:abstractNumId="11">
    <w:nsid w:val="436C6125"/>
    <w:multiLevelType w:val="hybridMultilevel"/>
    <w:lvl w:ilvl="0">
      <w:lvlJc w:val="left"/>
      <w:lvlText w:val="%1."/>
      <w:numFmt w:val="decimal"/>
      <w:start w:val="12"/>
    </w:lvl>
  </w:abstractNum>
  <w:abstractNum w:abstractNumId="12">
    <w:nsid w:val="628C895D"/>
    <w:multiLevelType w:val="hybridMultilevel"/>
    <w:lvl w:ilvl="0">
      <w:lvlJc w:val="left"/>
      <w:lvlText w:val="(%1)"/>
      <w:numFmt w:val="lowerRoman"/>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2019-12-06T11:02:19Z</dcterms:created>
  <dcterms:modified xsi:type="dcterms:W3CDTF">2019-12-06T11:02:19Z</dcterms:modified>
</cp:coreProperties>
</file>