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7"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9"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52"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46" w:lineRule="exact"/>
        <w:rPr>
          <w:sz w:val="24"/>
          <w:szCs w:val="24"/>
          <w:color w:val="auto"/>
        </w:rPr>
      </w:pPr>
    </w:p>
    <w:tbl>
      <w:tblPr>
        <w:tblLayout w:type="fixed"/>
        <w:tblInd w:w="1020" w:type="dxa"/>
        <w:tblCellMar>
          <w:top w:w="0" w:type="dxa"/>
          <w:left w:w="0" w:type="dxa"/>
          <w:bottom w:w="0" w:type="dxa"/>
          <w:right w:w="0" w:type="dxa"/>
        </w:tblCellMar>
      </w:tblPr>
      <w:tr>
        <w:trPr>
          <w:trHeight w:val="225"/>
        </w:trPr>
        <w:tc>
          <w:tcPr>
            <w:tcW w:w="498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9"/>
        </w:trPr>
        <w:tc>
          <w:tcPr>
            <w:tcW w:w="4980" w:type="dxa"/>
            <w:vAlign w:val="bottom"/>
          </w:tcPr>
          <w:p>
            <w:pPr>
              <w:jc w:val="center"/>
              <w:ind w:right="1519"/>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316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4980" w:type="dxa"/>
            <w:vAlign w:val="bottom"/>
          </w:tcPr>
          <w:p>
            <w:pPr>
              <w:jc w:val="center"/>
              <w:ind w:right="1499"/>
              <w:spacing w:after="0"/>
              <w:rPr>
                <w:sz w:val="20"/>
                <w:szCs w:val="20"/>
                <w:color w:val="auto"/>
              </w:rPr>
            </w:pPr>
            <w:r>
              <w:rPr>
                <w:rFonts w:ascii="Arial" w:cs="Arial" w:eastAsia="Arial" w:hAnsi="Arial"/>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07"/>
        </w:trPr>
        <w:tc>
          <w:tcPr>
            <w:tcW w:w="4980" w:type="dxa"/>
            <w:vAlign w:val="bottom"/>
          </w:tcPr>
          <w:p>
            <w:pPr>
              <w:jc w:val="center"/>
              <w:ind w:right="1499"/>
              <w:spacing w:after="0"/>
              <w:rPr>
                <w:sz w:val="20"/>
                <w:szCs w:val="20"/>
                <w:color w:val="auto"/>
              </w:rPr>
            </w:pPr>
            <w:r>
              <w:rPr>
                <w:rFonts w:ascii="Arial" w:cs="Arial" w:eastAsia="Arial" w:hAnsi="Arial"/>
                <w:sz w:val="18"/>
                <w:szCs w:val="18"/>
                <w:b w:val="1"/>
                <w:bCs w:val="1"/>
                <w:color w:val="auto"/>
                <w:w w:val="89"/>
              </w:rPr>
              <w:t>1100 Campus Road</w:t>
            </w:r>
          </w:p>
        </w:tc>
        <w:tc>
          <w:tcPr>
            <w:tcW w:w="31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5"/>
        </w:trPr>
        <w:tc>
          <w:tcPr>
            <w:tcW w:w="4980" w:type="dxa"/>
            <w:vAlign w:val="bottom"/>
          </w:tcPr>
          <w:p>
            <w:pPr>
              <w:jc w:val="center"/>
              <w:ind w:right="1519"/>
              <w:spacing w:after="0"/>
              <w:rPr>
                <w:sz w:val="20"/>
                <w:szCs w:val="20"/>
                <w:color w:val="auto"/>
              </w:rPr>
            </w:pPr>
            <w:r>
              <w:rPr>
                <w:rFonts w:ascii="Arial" w:cs="Arial" w:eastAsia="Arial" w:hAnsi="Arial"/>
                <w:sz w:val="18"/>
                <w:szCs w:val="18"/>
                <w:b w:val="1"/>
                <w:bCs w:val="1"/>
                <w:color w:val="auto"/>
                <w:w w:val="90"/>
              </w:rPr>
              <w:t>Princeton ,  New Jersey</w:t>
            </w:r>
          </w:p>
        </w:tc>
        <w:tc>
          <w:tcPr>
            <w:tcW w:w="3160" w:type="dxa"/>
            <w:vAlign w:val="bottom"/>
            <w:vMerge w:val="restart"/>
          </w:tcPr>
          <w:p>
            <w:pPr>
              <w:jc w:val="center"/>
              <w:ind w:left="154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4980" w:type="dxa"/>
            <w:vAlign w:val="bottom"/>
            <w:vMerge w:val="restart"/>
          </w:tcPr>
          <w:p>
            <w:pPr>
              <w:jc w:val="center"/>
              <w:ind w:right="1519"/>
              <w:spacing w:after="0"/>
              <w:rPr>
                <w:sz w:val="20"/>
                <w:szCs w:val="20"/>
                <w:color w:val="auto"/>
              </w:rPr>
            </w:pPr>
            <w:r>
              <w:rPr>
                <w:rFonts w:ascii="Arial" w:cs="Arial" w:eastAsia="Arial" w:hAnsi="Arial"/>
                <w:sz w:val="14"/>
                <w:szCs w:val="14"/>
                <w:b w:val="1"/>
                <w:bCs w:val="1"/>
                <w:color w:val="auto"/>
              </w:rPr>
              <w:t>(ADDRESS OF PRINCIPAL EXECUTIVE OFFICES)</w:t>
            </w: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39" w:right="339" w:bottom="1440" w:gutter="0" w:footer="0" w:header="0"/>
        </w:sectPr>
      </w:pPr>
    </w:p>
    <w:p>
      <w:pPr>
        <w:spacing w:after="0" w:line="167"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36" w:lineRule="exact"/>
        <w:rPr>
          <w:sz w:val="24"/>
          <w:szCs w:val="24"/>
          <w:color w:val="auto"/>
        </w:rPr>
      </w:pPr>
    </w:p>
    <w:p>
      <w:pPr>
        <w:sectPr>
          <w:pgSz w:w="11900" w:h="16838" w:orient="portrait"/>
          <w:cols w:equalWidth="0" w:num="3">
            <w:col w:w="3220" w:space="720"/>
            <w:col w:w="1720" w:space="720"/>
            <w:col w:w="4860"/>
          </w:cols>
          <w:pgMar w:left="320" w:top="1039"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11" w:lineRule="exact"/>
        <w:rPr>
          <w:sz w:val="24"/>
          <w:szCs w:val="24"/>
          <w:color w:val="auto"/>
        </w:rPr>
      </w:pPr>
    </w:p>
    <w:p>
      <w:pPr>
        <w:sectPr>
          <w:pgSz w:w="11900" w:h="16838" w:orient="portrait"/>
          <w:cols w:equalWidth="0" w:num="3">
            <w:col w:w="3800" w:space="720"/>
            <w:col w:w="2320" w:space="720"/>
            <w:col w:w="3680"/>
          </w:cols>
          <w:pgMar w:left="320" w:top="1039" w:right="339" w:bottom="1440" w:gutter="0" w:footer="0" w:header="0"/>
          <w:type w:val="continuous"/>
        </w:sectPr>
      </w:pPr>
    </w:p>
    <w:p>
      <w:pPr>
        <w:spacing w:after="0" w:line="127" w:lineRule="exact"/>
        <w:rPr>
          <w:sz w:val="24"/>
          <w:szCs w:val="24"/>
          <w:color w:val="auto"/>
        </w:rPr>
      </w:pPr>
    </w:p>
    <w:p>
      <w:pPr>
        <w:spacing w:after="0" w:line="29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ind w:right="40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ind w:right="1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937895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72"/>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94" w:lineRule="exact"/>
        <w:rPr>
          <w:sz w:val="20"/>
          <w:szCs w:val="20"/>
          <w:color w:val="auto"/>
        </w:rPr>
      </w:pPr>
    </w:p>
    <w:p>
      <w:pPr>
        <w:ind w:right="1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0"/>
          <w:szCs w:val="20"/>
          <w:color w:val="auto"/>
        </w:rPr>
      </w:pPr>
    </w:p>
    <w:p>
      <w:pPr>
        <w:ind w:right="2260"/>
        <w:spacing w:after="0" w:line="27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$0.01 par value, outstanding as of October 24, 2023 was 78,175,803.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94" w:right="7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6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INTEGRA LIFESCIENCES HOLDINGS CORPORATION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6"/>
          </w:tcPr>
          <w:p>
            <w:pPr>
              <w:jc w:val="center"/>
              <w:ind w:right="3160"/>
              <w:spacing w:after="0"/>
              <w:rPr>
                <w:sz w:val="20"/>
                <w:szCs w:val="20"/>
                <w:color w:val="auto"/>
              </w:rPr>
            </w:pPr>
            <w:r>
              <w:rPr>
                <w:rFonts w:ascii="Arial" w:cs="Arial" w:eastAsia="Arial" w:hAnsi="Arial"/>
                <w:sz w:val="18"/>
                <w:szCs w:val="18"/>
                <w:b w:val="1"/>
                <w:bCs w:val="1"/>
                <w:color w:val="auto"/>
              </w:rPr>
              <w:t>INDEX</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960" w:type="dxa"/>
            <w:vAlign w:val="bottom"/>
            <w:gridSpan w:val="18"/>
          </w:tcPr>
          <w:p>
            <w:pPr>
              <w:spacing w:after="0" w:line="161" w:lineRule="exact"/>
              <w:rPr>
                <w:sz w:val="20"/>
                <w:szCs w:val="20"/>
                <w:color w:val="auto"/>
              </w:rPr>
            </w:pPr>
            <w:r>
              <w:rPr>
                <w:rFonts w:ascii="Arial" w:cs="Arial" w:eastAsia="Arial" w:hAnsi="Arial"/>
                <w:sz w:val="16"/>
                <w:szCs w:val="16"/>
                <w:color w:val="0000FF"/>
              </w:rPr>
              <w:t>PART I. FINANCIAL INFORMATION</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0"/>
              </w:rPr>
              <w:t>Item 1. Financial Statements</w:t>
            </w:r>
          </w:p>
        </w:tc>
        <w:tc>
          <w:tcPr>
            <w:tcW w:w="740" w:type="dxa"/>
            <w:vAlign w:val="bottom"/>
            <w:tcBorders>
              <w:top w:val="single" w:sz="8" w:color="0000FF"/>
            </w:tcBorders>
            <w:gridSpan w:val="3"/>
          </w:tcPr>
          <w:p>
            <w:pPr>
              <w:spacing w:after="0"/>
              <w:rPr>
                <w:sz w:val="21"/>
                <w:szCs w:val="21"/>
                <w:color w:val="auto"/>
              </w:rPr>
            </w:pPr>
          </w:p>
        </w:tc>
        <w:tc>
          <w:tcPr>
            <w:tcW w:w="7360" w:type="dxa"/>
            <w:vAlign w:val="bottom"/>
            <w:gridSpan w:val="8"/>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Arial" w:cs="Arial" w:eastAsia="Arial" w:hAnsi="Arial"/>
                <w:sz w:val="16"/>
                <w:szCs w:val="16"/>
                <w:color w:val="0000FF"/>
                <w:w w:val="93"/>
              </w:rPr>
              <w:t>Condensed Consolidated Statements of Operations and Comprehensive Income for the Three and Nine Months Ended September 30, 2023 and 2022</w:t>
            </w:r>
          </w:p>
        </w:tc>
        <w:tc>
          <w:tcPr>
            <w:tcW w:w="1240" w:type="dxa"/>
            <w:vAlign w:val="bottom"/>
            <w:gridSpan w:val="3"/>
            <w:vMerge w:val="restart"/>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(Unaudited)</w:t>
            </w:r>
          </w:p>
        </w:tc>
        <w:tc>
          <w:tcPr>
            <w:tcW w:w="3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Arial" w:cs="Arial" w:eastAsia="Arial" w:hAnsi="Arial"/>
                <w:sz w:val="16"/>
                <w:szCs w:val="16"/>
                <w:color w:val="0000FF"/>
              </w:rPr>
              <w:t>Condensed Consolidated Balance Sheets as of September 30, 2023 and December 31, 2022 (Unaudited)</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Arial" w:cs="Arial" w:eastAsia="Arial" w:hAnsi="Arial"/>
                <w:sz w:val="16"/>
                <w:szCs w:val="16"/>
                <w:color w:val="0000FF"/>
              </w:rPr>
              <w:t>Condensed Consolidated Statements of Cash Flows for the Nine Months Ended September 30, 2023 and 2022 (Unaudited)</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3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0"/>
              </w:rPr>
              <w:t>Condensed Consolidated Statements of Changes in Shareholders' Equity for the Nine Months Ended September 30, 2023 and 2022 (Unaudited)</w:t>
            </w:r>
          </w:p>
        </w:tc>
        <w:tc>
          <w:tcPr>
            <w:tcW w:w="6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0"/>
              </w:rPr>
              <w:t>Notes to Unaudited Condensed Consolidated Financial Statements</w:t>
            </w:r>
          </w:p>
        </w:tc>
        <w:tc>
          <w:tcPr>
            <w:tcW w:w="5640" w:type="dxa"/>
            <w:vAlign w:val="bottom"/>
            <w:gridSpan w:val="7"/>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2"/>
              </w:rPr>
              <w:t>Item 2. Management’s Discussion and Analysis of Financial Condition and Results of Operations</w:t>
            </w:r>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w w:val="90"/>
              </w:rPr>
              <w:t>Item 4. Controls and Procedures</w:t>
            </w:r>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Arial" w:cs="Arial" w:eastAsia="Arial" w:hAnsi="Arial"/>
                <w:sz w:val="16"/>
                <w:szCs w:val="16"/>
                <w:color w:val="0000FF"/>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Item 1. Legal Proceedings</w:t>
            </w:r>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2"/>
              </w:rPr>
              <w:t>Item 1A. Risk Factors</w:t>
            </w:r>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0"/>
              </w:rPr>
              <w:t>Item 2. Unregistered Sales of Equity Securities and Use of Proceeds</w:t>
            </w: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2"/>
              </w:rPr>
              <w:t>Item 3. Defaults Upon Senior Securities</w:t>
            </w:r>
          </w:p>
        </w:tc>
        <w:tc>
          <w:tcPr>
            <w:tcW w:w="7360" w:type="dxa"/>
            <w:vAlign w:val="bottom"/>
            <w:gridSpan w:val="8"/>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2"/>
              </w:rPr>
              <w:t>Item 4. Mine Safety Disclosures</w:t>
            </w:r>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Arial" w:cs="Arial" w:eastAsia="Arial" w:hAnsi="Arial"/>
                <w:sz w:val="16"/>
                <w:szCs w:val="16"/>
                <w:color w:val="0000FF"/>
              </w:rPr>
              <w:t>Item 5. Other Information</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Item 6. Exhibits</w:t>
            </w:r>
          </w:p>
        </w:tc>
        <w:tc>
          <w:tcPr>
            <w:tcW w:w="8280" w:type="dxa"/>
            <w:vAlign w:val="bottom"/>
            <w:gridSpan w:val="13"/>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98"/>
              </w:rPr>
              <w:t>SIGNATURES</w:t>
            </w:r>
          </w:p>
        </w:tc>
        <w:tc>
          <w:tcPr>
            <w:tcW w:w="892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1,144,534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1,159,644</w:t>
            </w: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148,445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486,292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439,418</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74,410</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161,948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493,513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464,397</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10,339</w:t>
            </w:r>
          </w:p>
        </w:tc>
      </w:tr>
      <w:tr>
        <w:trPr>
          <w:trHeight w:val="207"/>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355,828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1,069,055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988,564</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171,080</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6,606</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(36,700)</w:t>
            </w:r>
          </w:p>
        </w:tc>
      </w:tr>
      <w:tr>
        <w:trPr>
          <w:trHeight w:val="230"/>
        </w:trPr>
        <w:tc>
          <w:tcPr>
            <w:tcW w:w="5240" w:type="dxa"/>
            <w:vAlign w:val="bottom"/>
          </w:tcPr>
          <w:p>
            <w:pPr>
              <w:ind w:left="20"/>
              <w:spacing w:after="0"/>
              <w:rPr>
                <w:sz w:val="20"/>
                <w:szCs w:val="20"/>
                <w:color w:val="auto"/>
              </w:rPr>
            </w:pPr>
            <w:r>
              <w:rPr>
                <w:rFonts w:ascii="Arial" w:cs="Arial" w:eastAsia="Arial" w:hAnsi="Arial"/>
                <w:sz w:val="16"/>
                <w:szCs w:val="16"/>
                <w:color w:val="auto"/>
              </w:rPr>
              <w:t>Gain (loss) from the sale of business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8,056</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58,796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149,686</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47,907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127,604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52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73"/>
        </w:trPr>
        <w:tc>
          <w:tcPr>
            <w:tcW w:w="5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(See Note 13):</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82,955</w:t>
            </w:r>
          </w:p>
        </w:tc>
      </w:tr>
      <w:tr>
        <w:trPr>
          <w:trHeight w:val="21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81,112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83,476</w:t>
            </w: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(See Note 14)</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39,387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165,320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Trade accounts receivable, net of allowances of $5,630 and $4,304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256,270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263,465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324,583</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116,789</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1,161,498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318,718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311,302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 - operating leases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1,067,023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1,126,609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1,038,881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45,994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57,190</w:t>
            </w:r>
          </w:p>
        </w:tc>
        <w:tc>
          <w:tcPr>
            <w:tcW w:w="0" w:type="dxa"/>
            <w:vAlign w:val="bottom"/>
          </w:tcPr>
          <w:p>
            <w:pPr>
              <w:spacing w:after="0"/>
              <w:rPr>
                <w:sz w:val="1"/>
                <w:szCs w:val="1"/>
                <w:color w:val="auto"/>
              </w:rPr>
            </w:pP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3,739,371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3,889,758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borrowings under senior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38,125</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Current portion of borrowings under securitization facility</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lease liability - operating leases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14,624</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Accounts payable, trade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93,550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102,100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7,253</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63,869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78,771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80,033</w:t>
            </w:r>
          </w:p>
        </w:tc>
        <w:tc>
          <w:tcPr>
            <w:tcW w:w="0" w:type="dxa"/>
            <w:vAlign w:val="bottom"/>
          </w:tcPr>
          <w:p>
            <w:pPr>
              <w:spacing w:after="0"/>
              <w:rPr>
                <w:sz w:val="1"/>
                <w:szCs w:val="1"/>
                <w:color w:val="auto"/>
              </w:rPr>
            </w:pPr>
          </w:p>
        </w:tc>
      </w:tr>
      <w:tr>
        <w:trPr>
          <w:trHeight w:val="207"/>
        </w:trPr>
        <w:tc>
          <w:tcPr>
            <w:tcW w:w="78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355,712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320,906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under senior credit facility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733,149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Long-term borrowings under securitization facility</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104,700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convertible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567,341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Lease liability - operating leases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157,420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63,338</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138,501</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2,160,150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2,085,355</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4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240,000 authorized shares; 90,935 and 90,477 issued at September 30, 2023 and</w:t>
            </w: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09"/>
        </w:trPr>
        <w:tc>
          <w:tcPr>
            <w:tcW w:w="7840" w:type="dxa"/>
            <w:vAlign w:val="bottom"/>
          </w:tcPr>
          <w:p>
            <w:pPr>
              <w:ind w:left="520"/>
              <w:spacing w:after="0"/>
              <w:rPr>
                <w:sz w:val="20"/>
                <w:szCs w:val="20"/>
                <w:color w:val="auto"/>
              </w:rPr>
            </w:pPr>
            <w:r>
              <w:rPr>
                <w:rFonts w:ascii="Arial" w:cs="Arial" w:eastAsia="Arial" w:hAnsi="Arial"/>
                <w:sz w:val="16"/>
                <w:szCs w:val="16"/>
                <w:color w:val="auto"/>
              </w:rPr>
              <w:t>December 31, 2022, respectively</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1,276,977</w:t>
            </w:r>
          </w:p>
        </w:tc>
        <w:tc>
          <w:tcPr>
            <w:tcW w:w="0" w:type="dxa"/>
            <w:vAlign w:val="bottom"/>
          </w:tcPr>
          <w:p>
            <w:pPr>
              <w:spacing w:after="0"/>
              <w:rPr>
                <w:sz w:val="1"/>
                <w:szCs w:val="1"/>
                <w:color w:val="auto"/>
              </w:rPr>
            </w:pPr>
          </w:p>
        </w:tc>
      </w:tr>
      <w:tr>
        <w:trPr>
          <w:trHeight w:val="166"/>
        </w:trPr>
        <w:tc>
          <w:tcPr>
            <w:tcW w:w="7840" w:type="dxa"/>
            <w:vAlign w:val="bottom"/>
          </w:tcPr>
          <w:p>
            <w:pPr>
              <w:ind w:left="360"/>
              <w:spacing w:after="0" w:line="166" w:lineRule="exact"/>
              <w:rPr>
                <w:sz w:val="20"/>
                <w:szCs w:val="20"/>
                <w:color w:val="auto"/>
              </w:rPr>
            </w:pPr>
            <w:r>
              <w:rPr>
                <w:rFonts w:ascii="Arial" w:cs="Arial" w:eastAsia="Arial" w:hAnsi="Arial"/>
                <w:sz w:val="16"/>
                <w:szCs w:val="16"/>
                <w:color w:val="auto"/>
                <w:w w:val="99"/>
              </w:rPr>
              <w:t>Treasury stock, at cost; 11,823 shares and 6,823 shares at September 30, 2023 and December 31, 2022,</w:t>
            </w: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(612,777)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(362,862)</w:t>
            </w:r>
          </w:p>
        </w:tc>
        <w:tc>
          <w:tcPr>
            <w:tcW w:w="0" w:type="dxa"/>
            <w:vAlign w:val="bottom"/>
          </w:tcPr>
          <w:p>
            <w:pPr>
              <w:spacing w:after="0"/>
              <w:rPr>
                <w:sz w:val="1"/>
                <w:szCs w:val="1"/>
                <w:color w:val="auto"/>
              </w:rPr>
            </w:pPr>
          </w:p>
        </w:tc>
      </w:tr>
      <w:tr>
        <w:trPr>
          <w:trHeight w:val="209"/>
        </w:trPr>
        <w:tc>
          <w:tcPr>
            <w:tcW w:w="7840" w:type="dxa"/>
            <w:vAlign w:val="bottom"/>
          </w:tcPr>
          <w:p>
            <w:pPr>
              <w:ind w:left="52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10,265</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879,118</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1,579,221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1,804,403</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3,739,371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3,889,758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0" w:type="dxa"/>
            <w:vAlign w:val="bottom"/>
            <w:gridSpan w:val="5"/>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47,907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127,604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92,527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88,803</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 provision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21,994</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 and expenses associated with debt refinancing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3,040</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(gain) on disposal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Gain from the sale of business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contingent consideration and others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(19,481)</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(23,870)</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(24,443)</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Other non-current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9,575</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Contract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2,524</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(14,288)</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81,205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179,135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(42,330)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(27,887)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Business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Acquired in-process research and development milestone</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(4,742)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swaps designated as net investment hedges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4,909</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(36,949)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(3,760)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borrowings of long-term indebtedness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146,900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34,250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(275,000)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exercised stock options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taxes paid in net equity settlement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(24,346)</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(223,035)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(154,254)</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(22,632)</w:t>
            </w: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(182,929)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513,448</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273,732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511,937</w:t>
            </w:r>
          </w:p>
        </w:tc>
      </w:tr>
      <w:tr>
        <w:trPr>
          <w:trHeight w:val="24"/>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5168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 net of tax</w:t>
      </w:r>
    </w:p>
    <w:p>
      <w:pPr>
        <w:spacing w:after="0" w:line="42" w:lineRule="exact"/>
        <w:rPr>
          <w:sz w:val="20"/>
          <w:szCs w:val="20"/>
          <w:color w:val="auto"/>
        </w:rPr>
      </w:pPr>
    </w:p>
    <w:p>
      <w:pPr>
        <w:ind w:left="20" w:right="100"/>
        <w:spacing w:after="0" w:line="251"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1" w:lineRule="exact"/>
        <w:rPr>
          <w:sz w:val="20"/>
          <w:szCs w:val="20"/>
          <w:color w:val="auto"/>
        </w:rPr>
      </w:pPr>
    </w:p>
    <w:p>
      <w:pPr>
        <w:ind w:left="20" w:right="1240"/>
        <w:spacing w:after="0" w:line="356" w:lineRule="auto"/>
        <w:rPr>
          <w:sz w:val="20"/>
          <w:szCs w:val="20"/>
          <w:color w:val="auto"/>
        </w:rPr>
      </w:pPr>
      <w:r>
        <w:rPr>
          <w:rFonts w:ascii="Arial" w:cs="Arial" w:eastAsia="Arial" w:hAnsi="Arial"/>
          <w:sz w:val="12"/>
          <w:szCs w:val="12"/>
          <w:color w:val="auto"/>
        </w:rPr>
        <w:t>Share-based compensation Accelerated shares repurchased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7"/>
                <w:szCs w:val="7"/>
                <w:color w:val="auto"/>
              </w:rPr>
            </w:pPr>
          </w:p>
        </w:tc>
        <w:tc>
          <w:tcPr>
            <w:tcW w:w="1260" w:type="dxa"/>
            <w:vAlign w:val="bottom"/>
            <w:gridSpan w:val="2"/>
          </w:tcPr>
          <w:p>
            <w:pPr>
              <w:jc w:val="center"/>
              <w:ind w:right="220"/>
              <w:spacing w:after="0" w:line="85"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780" w:type="dxa"/>
            <w:vAlign w:val="bottom"/>
            <w:gridSpan w:val="2"/>
            <w:vMerge w:val="restart"/>
          </w:tcPr>
          <w:p>
            <w:pPr>
              <w:ind w:left="20"/>
              <w:spacing w:after="0" w:line="12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90,476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(362,862)</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1,276,977</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10,265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879,118</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1,804,403</w:t>
            </w:r>
          </w:p>
        </w:tc>
        <w:tc>
          <w:tcPr>
            <w:tcW w:w="0" w:type="dxa"/>
            <w:vAlign w:val="bottom"/>
          </w:tcPr>
          <w:p>
            <w:pPr>
              <w:spacing w:after="0"/>
              <w:rPr>
                <w:sz w:val="1"/>
                <w:szCs w:val="1"/>
                <w:color w:val="auto"/>
              </w:rPr>
            </w:pPr>
          </w:p>
        </w:tc>
      </w:tr>
      <w:tr>
        <w:trPr>
          <w:trHeight w:val="197"/>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24,226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24,226</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338"/>
        </w:trPr>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(4,011)</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3"/>
                <w:szCs w:val="23"/>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(119,662)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(31,538)</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-1062990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-797560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-454660</wp:posOffset>
            </wp:positionV>
            <wp:extent cx="713232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-111760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90,813</w:t>
            </w:r>
          </w:p>
        </w:tc>
        <w:tc>
          <w:tcPr>
            <w:tcW w:w="4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908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(8,918)</w:t>
            </w:r>
          </w:p>
        </w:tc>
        <w:tc>
          <w:tcPr>
            <w:tcW w:w="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(481,678)</w:t>
            </w: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1,245,297</w:t>
            </w:r>
          </w:p>
        </w:tc>
        <w:tc>
          <w:tcPr>
            <w:tcW w:w="5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7,067</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903,344</w:t>
            </w:r>
          </w:p>
        </w:tc>
        <w:tc>
          <w:tcPr>
            <w:tcW w:w="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1,674,938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4,184</w:t>
            </w: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(2,237)</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985</w:t>
            </w:r>
          </w:p>
        </w:tc>
        <w:tc>
          <w:tcPr>
            <w:tcW w:w="5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01"/>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0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5,268</w:t>
            </w:r>
          </w:p>
        </w:tc>
        <w:tc>
          <w:tcPr>
            <w:tcW w:w="5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(32,125)</w:t>
            </w: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32,125</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Arial" w:cs="Arial" w:eastAsia="Arial" w:hAnsi="Arial"/>
                <w:sz w:val="14"/>
                <w:szCs w:val="14"/>
                <w:color w:val="auto"/>
              </w:rPr>
              <w:t>Balance, June 30, 2023</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90,881</w:t>
            </w:r>
          </w:p>
        </w:tc>
        <w:tc>
          <w:tcPr>
            <w:tcW w:w="4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909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(9,527)</w:t>
            </w:r>
          </w:p>
        </w:tc>
        <w:tc>
          <w:tcPr>
            <w:tcW w:w="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(513,782)</w:t>
            </w: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1,283,675</w:t>
            </w:r>
          </w:p>
        </w:tc>
        <w:tc>
          <w:tcPr>
            <w:tcW w:w="5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4,830</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907,528</w:t>
            </w:r>
          </w:p>
        </w:tc>
        <w:tc>
          <w:tcPr>
            <w:tcW w:w="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1,683,160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19,497</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19,497</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right="740"/>
        <w:spacing w:after="0" w:line="297" w:lineRule="auto"/>
        <w:rPr>
          <w:sz w:val="20"/>
          <w:szCs w:val="20"/>
          <w:color w:val="auto"/>
        </w:rPr>
      </w:pPr>
      <w:r>
        <w:rPr>
          <w:rFonts w:ascii="Arial" w:cs="Arial" w:eastAsia="Arial" w:hAnsi="Arial"/>
          <w:sz w:val="14"/>
          <w:szCs w:val="14"/>
          <w:color w:val="auto"/>
        </w:rPr>
        <w:t>Other comprehensive income, net of tax Treasury shares retirement</w:t>
      </w:r>
    </w:p>
    <w:p>
      <w:pPr>
        <w:spacing w:after="0" w:line="1"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40" w:type="dxa"/>
            <w:vAlign w:val="bottom"/>
          </w:tcPr>
          <w:p>
            <w:pPr>
              <w:ind w:left="360"/>
              <w:spacing w:after="0"/>
              <w:rPr>
                <w:sz w:val="20"/>
                <w:szCs w:val="20"/>
                <w:color w:val="auto"/>
              </w:rPr>
            </w:pPr>
            <w:r>
              <w:rPr>
                <w:rFonts w:ascii="Arial" w:cs="Arial" w:eastAsia="Arial" w:hAnsi="Arial"/>
                <w:sz w:val="14"/>
                <w:szCs w:val="14"/>
                <w:color w:val="auto"/>
              </w:rPr>
              <w:t>—</w:t>
            </w:r>
          </w:p>
        </w:tc>
        <w:tc>
          <w:tcPr>
            <w:tcW w:w="1020" w:type="dxa"/>
            <w:vAlign w:val="bottom"/>
          </w:tcPr>
          <w:p>
            <w:pPr>
              <w:ind w:left="4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(3,085)</w:t>
            </w:r>
          </w:p>
        </w:tc>
        <w:tc>
          <w:tcPr>
            <w:tcW w:w="88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(3,085)</w:t>
            </w:r>
          </w:p>
        </w:tc>
      </w:tr>
      <w:tr>
        <w:trPr>
          <w:trHeight w:val="197"/>
        </w:trPr>
        <w:tc>
          <w:tcPr>
            <w:tcW w:w="5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40" w:type="dxa"/>
            <w:vAlign w:val="bottom"/>
          </w:tcPr>
          <w:p>
            <w:pPr>
              <w:ind w:left="360"/>
              <w:spacing w:after="0"/>
              <w:rPr>
                <w:sz w:val="20"/>
                <w:szCs w:val="20"/>
                <w:color w:val="auto"/>
              </w:rPr>
            </w:pPr>
            <w:r>
              <w:rPr>
                <w:rFonts w:ascii="Arial" w:cs="Arial" w:eastAsia="Arial" w:hAnsi="Arial"/>
                <w:sz w:val="14"/>
                <w:szCs w:val="14"/>
                <w:color w:val="auto"/>
              </w:rPr>
              <w:t>—</w:t>
            </w:r>
          </w:p>
        </w:tc>
        <w:tc>
          <w:tcPr>
            <w:tcW w:w="1020" w:type="dxa"/>
            <w:vAlign w:val="bottom"/>
          </w:tcPr>
          <w:p>
            <w:pPr>
              <w:ind w:left="4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580" w:type="dxa"/>
            <w:vAlign w:val="bottom"/>
          </w:tcPr>
          <w:p>
            <w:pPr>
              <w:spacing w:after="0"/>
              <w:rPr>
                <w:sz w:val="20"/>
                <w:szCs w:val="20"/>
                <w:color w:val="auto"/>
              </w:rPr>
            </w:pPr>
            <w:r>
              <w:rPr>
                <w:rFonts w:ascii="Arial" w:cs="Arial" w:eastAsia="Arial" w:hAnsi="Arial"/>
                <w:sz w:val="14"/>
                <w:szCs w:val="14"/>
                <w:color w:val="auto"/>
              </w:rPr>
              <w:t>54</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940" w:type="dxa"/>
            <w:vAlign w:val="bottom"/>
          </w:tcPr>
          <w:p>
            <w:pPr>
              <w:ind w:left="360"/>
              <w:spacing w:after="0"/>
              <w:rPr>
                <w:sz w:val="20"/>
                <w:szCs w:val="20"/>
                <w:color w:val="auto"/>
              </w:rPr>
            </w:pPr>
            <w:r>
              <w:rPr>
                <w:rFonts w:ascii="Arial" w:cs="Arial" w:eastAsia="Arial" w:hAnsi="Arial"/>
                <w:sz w:val="14"/>
                <w:szCs w:val="14"/>
                <w:color w:val="auto"/>
              </w:rPr>
              <w:t>—</w:t>
            </w:r>
          </w:p>
        </w:tc>
        <w:tc>
          <w:tcPr>
            <w:tcW w:w="1020" w:type="dxa"/>
            <w:vAlign w:val="bottom"/>
          </w:tcPr>
          <w:p>
            <w:pPr>
              <w:ind w:left="440"/>
              <w:spacing w:after="0"/>
              <w:rPr>
                <w:sz w:val="20"/>
                <w:szCs w:val="20"/>
                <w:color w:val="auto"/>
              </w:rPr>
            </w:pPr>
            <w:r>
              <w:rPr>
                <w:rFonts w:ascii="Arial" w:cs="Arial" w:eastAsia="Arial" w:hAnsi="Arial"/>
                <w:sz w:val="14"/>
                <w:szCs w:val="14"/>
                <w:color w:val="auto"/>
              </w:rPr>
              <w:t>17</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424</w:t>
            </w:r>
          </w:p>
        </w:tc>
        <w:tc>
          <w:tcPr>
            <w:tcW w:w="1280" w:type="dxa"/>
            <w:vAlign w:val="bottom"/>
          </w:tcPr>
          <w:p>
            <w:pPr>
              <w:ind w:left="740"/>
              <w:spacing w:after="0"/>
              <w:rPr>
                <w:sz w:val="20"/>
                <w:szCs w:val="20"/>
                <w:color w:val="auto"/>
              </w:rPr>
            </w:pPr>
            <w:r>
              <w:rPr>
                <w:rFonts w:ascii="Arial" w:cs="Arial" w:eastAsia="Arial" w:hAnsi="Arial"/>
                <w:sz w:val="14"/>
                <w:szCs w:val="14"/>
                <w:color w:val="auto"/>
              </w:rPr>
              <w:t>—</w:t>
            </w:r>
          </w:p>
        </w:tc>
        <w:tc>
          <w:tcPr>
            <w:tcW w:w="88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-283210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3080" w:space="560"/>
            <w:col w:w="7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5,457</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5,457</w:t>
            </w: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Accelerated shares repurchased</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(2,296)</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(99,012)</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(27,237)</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(126,249)</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1"/>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2023</w:t>
            </w:r>
          </w:p>
        </w:tc>
        <w:tc>
          <w:tcPr>
            <w:tcW w:w="10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90,935</w:t>
            </w:r>
          </w:p>
        </w:tc>
        <w:tc>
          <w:tcPr>
            <w:tcW w:w="8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909</w:t>
            </w:r>
          </w:p>
        </w:tc>
        <w:tc>
          <w:tcPr>
            <w:tcW w:w="9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(11,823)</w:t>
            </w:r>
          </w:p>
        </w:tc>
        <w:tc>
          <w:tcPr>
            <w:tcW w:w="10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(612,777)</w:t>
            </w:r>
          </w:p>
        </w:tc>
        <w:tc>
          <w:tcPr>
            <w:tcW w:w="1360" w:type="dxa"/>
            <w:vAlign w:val="bottom"/>
            <w:tcBorders>
              <w:bottom w:val="single" w:sz="8" w:color="CCEEFF"/>
            </w:tcBorders>
            <w:shd w:val="clear" w:color="auto" w:fill="CCEEFF"/>
          </w:tcPr>
          <w:p>
            <w:pPr>
              <w:jc w:val="right"/>
              <w:ind w:right="468"/>
              <w:spacing w:after="0"/>
              <w:rPr>
                <w:sz w:val="20"/>
                <w:szCs w:val="20"/>
                <w:color w:val="auto"/>
              </w:rPr>
            </w:pPr>
            <w:r>
              <w:rPr>
                <w:rFonts w:ascii="Arial" w:cs="Arial" w:eastAsia="Arial" w:hAnsi="Arial"/>
                <w:sz w:val="14"/>
                <w:szCs w:val="14"/>
                <w:color w:val="auto"/>
              </w:rPr>
              <w:t>1,262,319</w:t>
            </w:r>
          </w:p>
        </w:tc>
        <w:tc>
          <w:tcPr>
            <w:tcW w:w="10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1,745</w:t>
            </w:r>
          </w:p>
        </w:tc>
        <w:tc>
          <w:tcPr>
            <w:tcW w:w="9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927,025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1,579,221</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840"/>
        <w:spacing w:after="0"/>
        <w:rPr>
          <w:sz w:val="20"/>
          <w:szCs w:val="20"/>
          <w:color w:val="auto"/>
        </w:rPr>
      </w:pPr>
      <w:r>
        <w:rPr>
          <w:rFonts w:ascii="Arial" w:cs="Arial" w:eastAsia="Arial" w:hAnsi="Arial"/>
          <w:sz w:val="14"/>
          <w:szCs w:val="14"/>
          <w:b w:val="1"/>
          <w:bCs w:val="1"/>
          <w:color w:val="auto"/>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32385</wp:posOffset>
            </wp:positionV>
            <wp:extent cx="5168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 net of tax</w:t>
      </w:r>
    </w:p>
    <w:p>
      <w:pPr>
        <w:spacing w:after="0" w:line="42" w:lineRule="exact"/>
        <w:rPr>
          <w:sz w:val="20"/>
          <w:szCs w:val="20"/>
          <w:color w:val="auto"/>
        </w:rPr>
      </w:pPr>
    </w:p>
    <w:p>
      <w:pPr>
        <w:ind w:left="20" w:right="100"/>
        <w:spacing w:after="0" w:line="251"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1" w:lineRule="exact"/>
        <w:rPr>
          <w:sz w:val="20"/>
          <w:szCs w:val="20"/>
          <w:color w:val="auto"/>
        </w:rPr>
      </w:pPr>
    </w:p>
    <w:p>
      <w:pPr>
        <w:ind w:left="20" w:right="1240"/>
        <w:spacing w:after="0" w:line="356" w:lineRule="auto"/>
        <w:rPr>
          <w:sz w:val="20"/>
          <w:szCs w:val="20"/>
          <w:color w:val="auto"/>
        </w:rPr>
      </w:pPr>
      <w:r>
        <w:rPr>
          <w:rFonts w:ascii="Arial" w:cs="Arial" w:eastAsia="Arial" w:hAnsi="Arial"/>
          <w:sz w:val="12"/>
          <w:szCs w:val="12"/>
          <w:color w:val="auto"/>
        </w:rPr>
        <w:t>Share-based compensation Accelerated shares repurchased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jc w:val="right"/>
              <w:ind w:right="120"/>
              <w:spacing w:after="0" w:line="129" w:lineRule="exact"/>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7"/>
                <w:szCs w:val="7"/>
                <w:color w:val="auto"/>
              </w:rPr>
            </w:pPr>
          </w:p>
        </w:tc>
        <w:tc>
          <w:tcPr>
            <w:tcW w:w="1260" w:type="dxa"/>
            <w:vAlign w:val="bottom"/>
            <w:gridSpan w:val="2"/>
          </w:tcPr>
          <w:p>
            <w:pPr>
              <w:jc w:val="center"/>
              <w:ind w:right="220"/>
              <w:spacing w:after="0" w:line="85" w:lineRule="exact"/>
              <w:rPr>
                <w:sz w:val="20"/>
                <w:szCs w:val="20"/>
                <w:color w:val="auto"/>
              </w:rPr>
            </w:pPr>
            <w:r>
              <w:rPr>
                <w:rFonts w:ascii="Arial" w:cs="Arial" w:eastAsia="Arial" w:hAnsi="Arial"/>
                <w:sz w:val="9"/>
                <w:szCs w:val="9"/>
                <w:b w:val="1"/>
                <w:bCs w:val="1"/>
                <w:color w:val="auto"/>
              </w:rPr>
              <w:t>Comprehensive</w:t>
            </w:r>
          </w:p>
        </w:tc>
        <w:tc>
          <w:tcPr>
            <w:tcW w:w="880" w:type="dxa"/>
            <w:vAlign w:val="bottom"/>
            <w:gridSpan w:val="2"/>
            <w:vMerge w:val="restart"/>
          </w:tcPr>
          <w:p>
            <w:pPr>
              <w:ind w:left="120"/>
              <w:spacing w:after="0" w:line="12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94"/>
              </w:rPr>
              <w:t>(4,899)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(234,448)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1,264,943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(45,155)</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9"/>
              </w:rPr>
              <w:t>$   698,568</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1,684,804</w:t>
            </w:r>
          </w:p>
        </w:tc>
        <w:tc>
          <w:tcPr>
            <w:tcW w:w="0" w:type="dxa"/>
            <w:vAlign w:val="bottom"/>
          </w:tcPr>
          <w:p>
            <w:pPr>
              <w:spacing w:after="0"/>
              <w:rPr>
                <w:sz w:val="1"/>
                <w:szCs w:val="1"/>
                <w:color w:val="auto"/>
              </w:rPr>
            </w:pPr>
          </w:p>
        </w:tc>
      </w:tr>
      <w:tr>
        <w:trPr>
          <w:trHeight w:val="197"/>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32,901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32,901</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24,130</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24,130</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338"/>
        </w:trPr>
        <w:tc>
          <w:tcPr>
            <w:tcW w:w="760" w:type="dxa"/>
            <w:vAlign w:val="bottom"/>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(9,040)</w:t>
            </w:r>
          </w:p>
        </w:tc>
        <w:tc>
          <w:tcPr>
            <w:tcW w:w="0" w:type="dxa"/>
            <w:vAlign w:val="bottom"/>
          </w:tcPr>
          <w:p>
            <w:pPr>
              <w:spacing w:after="0"/>
              <w:rPr>
                <w:sz w:val="1"/>
                <w:szCs w:val="1"/>
                <w:color w:val="auto"/>
              </w:rPr>
            </w:pPr>
          </w:p>
        </w:tc>
      </w:tr>
      <w:tr>
        <w:trPr>
          <w:trHeight w:val="270"/>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320"/>
              <w:spacing w:after="0"/>
              <w:rPr>
                <w:sz w:val="20"/>
                <w:szCs w:val="20"/>
                <w:color w:val="auto"/>
              </w:rPr>
            </w:pPr>
            <w:r>
              <w:rPr>
                <w:rFonts w:ascii="Arial" w:cs="Arial" w:eastAsia="Arial" w:hAnsi="Arial"/>
                <w:sz w:val="14"/>
                <w:szCs w:val="14"/>
                <w:color w:val="auto"/>
                <w:w w:val="94"/>
              </w:rPr>
              <w:t>(1,938)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-1062990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-797560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-454660</wp:posOffset>
            </wp:positionV>
            <wp:extent cx="71323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-111760</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3080" w:space="20"/>
            <w:col w:w="81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310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89,956</w:t>
            </w:r>
          </w:p>
        </w:tc>
        <w:tc>
          <w:tcPr>
            <w:tcW w:w="4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900</w:t>
            </w:r>
          </w:p>
        </w:tc>
        <w:tc>
          <w:tcPr>
            <w:tcW w:w="72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(6,823)</w:t>
            </w:r>
          </w:p>
        </w:tc>
        <w:tc>
          <w:tcPr>
            <w:tcW w:w="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(362,886)</w:t>
            </w: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1,266,739</w:t>
            </w:r>
          </w:p>
        </w:tc>
        <w:tc>
          <w:tcPr>
            <w:tcW w:w="4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(21,025)</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731,469</w:t>
            </w:r>
          </w:p>
        </w:tc>
        <w:tc>
          <w:tcPr>
            <w:tcW w:w="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1,615,197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44,788</w:t>
            </w: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44,788</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7,810</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7,810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(13,655)</w:t>
            </w:r>
          </w:p>
        </w:tc>
        <w:tc>
          <w:tcPr>
            <w:tcW w:w="4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(13,646)</w:t>
            </w:r>
          </w:p>
        </w:tc>
        <w:tc>
          <w:tcPr>
            <w:tcW w:w="0" w:type="dxa"/>
            <w:vAlign w:val="bottom"/>
          </w:tcPr>
          <w:p>
            <w:pPr>
              <w:spacing w:after="0"/>
              <w:rPr>
                <w:sz w:val="1"/>
                <w:szCs w:val="1"/>
                <w:color w:val="auto"/>
              </w:rPr>
            </w:pPr>
          </w:p>
        </w:tc>
      </w:tr>
      <w:tr>
        <w:trPr>
          <w:trHeight w:val="101"/>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0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6,768</w:t>
            </w:r>
          </w:p>
        </w:tc>
        <w:tc>
          <w:tcPr>
            <w:tcW w:w="4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90,334</w:t>
            </w:r>
          </w:p>
        </w:tc>
        <w:tc>
          <w:tcPr>
            <w:tcW w:w="42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903</w:t>
            </w:r>
          </w:p>
        </w:tc>
        <w:tc>
          <w:tcPr>
            <w:tcW w:w="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(6,823)</w:t>
            </w:r>
          </w:p>
        </w:tc>
        <w:tc>
          <w:tcPr>
            <w:tcW w:w="2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(362,880)</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1,259,852</w:t>
            </w:r>
          </w:p>
        </w:tc>
        <w:tc>
          <w:tcPr>
            <w:tcW w:w="4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(13,215)</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776,257</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1,660,917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vMerge w:val="continue"/>
          </w:tcPr>
          <w:p>
            <w:pPr>
              <w:spacing w:after="0"/>
              <w:rPr>
                <w:sz w:val="13"/>
                <w:szCs w:val="13"/>
                <w:color w:val="auto"/>
              </w:rPr>
            </w:pPr>
          </w:p>
        </w:tc>
        <w:tc>
          <w:tcPr>
            <w:tcW w:w="78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720" w:type="dxa"/>
            <w:vAlign w:val="bottom"/>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720" w:type="dxa"/>
            <w:vAlign w:val="bottom"/>
          </w:tcPr>
          <w:p>
            <w:pPr>
              <w:ind w:left="480"/>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00" w:type="dxa"/>
            <w:vAlign w:val="bottom"/>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Pr>
          <w:p>
            <w:pPr>
              <w:jc w:val="right"/>
              <w:ind w:right="28"/>
              <w:spacing w:after="0" w:line="156" w:lineRule="exact"/>
              <w:rPr>
                <w:sz w:val="20"/>
                <w:szCs w:val="20"/>
                <w:color w:val="auto"/>
              </w:rPr>
            </w:pPr>
            <w:r>
              <w:rPr>
                <w:rFonts w:ascii="Arial" w:cs="Arial" w:eastAsia="Arial" w:hAnsi="Arial"/>
                <w:sz w:val="14"/>
                <w:szCs w:val="14"/>
                <w:color w:val="auto"/>
              </w:rPr>
              <w:t>49,915</w:t>
            </w:r>
          </w:p>
        </w:tc>
        <w:tc>
          <w:tcPr>
            <w:tcW w:w="3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49,915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5,776</w:t>
            </w: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5,776</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Treasury shares retirement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2"/>
              </w:rPr>
              <w:t>Issuance of common stock for vesting of share based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4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01"/>
        </w:trPr>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8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00" w:type="dxa"/>
            <w:vAlign w:val="bottom"/>
            <w:vMerge w:val="continue"/>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8,949</w:t>
            </w:r>
          </w:p>
        </w:tc>
        <w:tc>
          <w:tcPr>
            <w:tcW w:w="4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8,949</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2022</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90,341</w:t>
            </w: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903</w:t>
            </w:r>
          </w:p>
        </w:tc>
        <w:tc>
          <w:tcPr>
            <w:tcW w:w="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(6,823)</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(362,863)</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1,267,641</w:t>
            </w: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(7,439)</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826,172</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1,724,414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September 30, 2023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2022 included in the Company’s Annual Report on Form 10-K. The December 31, 2022 consolidated balance sheet was derived from audited financial statements, but does not include all disclosures required by GAAP. Operating results for the three and nine-month periods ended September 30, 2023 are not necessarily indicative of the results to be expected for the entire year.</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2020, the Financial Accounting Standards Board ("FASB") issued ASU 2020-04, Reference Rate Reform (Topic 848), and subsequent amendment to the initial guidance: ASU 2021-01, Reference Rate Reform (Topic 848): Scope (collectively,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The guidance generally can be applied through December 31, 2024. The Alternative Reference Rates Committee, a group of private-market participants convened by the U.S. Federal Reserve Board and the New York Federal Reserve, has recommended the use of the Secured Overnight Financing Rate ("SOFR") as a more robust reference rate alternative to LIBOR.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In addition, on April 17, 2023 the Company entered into an amendment (the "April 2023 Amendment") of the Securitization Facility (as defined below) and amended the interest rate from LIBOR to SOFR indexed rate. (See Note 6). In March 2023, the Company entered into a basis swap where the Company receives Term SOFR and pays LIBOR to convert the portfolio of interest rate swaps from LIBOR to SOFR. Integra has elected to adopt the optional expedient under ASC 848, which will allow the interest rate swap hedging relationship to continue, without de-designation, due to the change in the indexed rate from LIBOR to SOFR.</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640" w:firstLine="8"/>
        <w:spacing w:after="0" w:line="518" w:lineRule="auto"/>
        <w:tabs>
          <w:tab w:leader="none" w:pos="1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b w:val="1"/>
          <w:bCs w:val="1"/>
          <w:i w:val="1"/>
          <w:iCs w:val="1"/>
          <w:color w:val="auto"/>
        </w:rPr>
        <w:t>Surgical Innovation Associates, Inc. Acquisition</w:t>
      </w:r>
    </w:p>
    <w:p>
      <w:pPr>
        <w:spacing w:after="0" w:line="11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On December 6, 2022, the Company completed its acquisition of Surgical Innovation Associates, Inc. ("SIA") for an acquisition purchase price of $51.5 million (the "SIA Acquisition") plus contingent consideration of up to $90.0 million.The contingent consideration includes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SIA's core technology, DuraSorb, is a fully resorbable scaffold of a globally accepted polymer, which is cleared for use in hernia repair, abdominal wall, and other soft tissue reinforcement. DuraSorb sales are reported within Integra’s Tissue Technologies ("TT") segment as part of its Wound Reconstruction and Care franchise.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SIA Acquisition has been accounted for using the acquisition method of accounting. This method requires that assets acquired, and liabilities assumed in a business combination to be recognized at their fair values as of the acquisition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6"/>
                <w:szCs w:val="16"/>
                <w:color w:val="auto"/>
              </w:rPr>
            </w:pPr>
          </w:p>
        </w:tc>
        <w:tc>
          <w:tcPr>
            <w:tcW w:w="1720" w:type="dxa"/>
            <w:vAlign w:val="bottom"/>
          </w:tcPr>
          <w:p>
            <w:pPr>
              <w:jc w:val="right"/>
              <w:ind w:right="455"/>
              <w:spacing w:after="0"/>
              <w:rPr>
                <w:sz w:val="20"/>
                <w:szCs w:val="20"/>
                <w:color w:val="auto"/>
              </w:rPr>
            </w:pPr>
            <w:r>
              <w:rPr>
                <w:rFonts w:ascii="Arial" w:cs="Arial" w:eastAsia="Arial" w:hAnsi="Arial"/>
                <w:sz w:val="14"/>
                <w:szCs w:val="14"/>
                <w:b w:val="1"/>
                <w:bCs w:val="1"/>
                <w:color w:val="auto"/>
              </w:rPr>
              <w:t>Final Valuation</w:t>
            </w:r>
          </w:p>
        </w:tc>
        <w:tc>
          <w:tcPr>
            <w:tcW w:w="100" w:type="dxa"/>
            <w:vAlign w:val="bottom"/>
          </w:tcPr>
          <w:p>
            <w:pPr>
              <w:spacing w:after="0"/>
              <w:rPr>
                <w:sz w:val="16"/>
                <w:szCs w:val="16"/>
                <w:color w:val="auto"/>
              </w:rPr>
            </w:pPr>
          </w:p>
        </w:tc>
        <w:tc>
          <w:tcPr>
            <w:tcW w:w="1760" w:type="dxa"/>
            <w:vAlign w:val="bottom"/>
          </w:tcPr>
          <w:p>
            <w:pPr>
              <w:ind w:left="180"/>
              <w:spacing w:after="0"/>
              <w:rPr>
                <w:sz w:val="20"/>
                <w:szCs w:val="20"/>
                <w:color w:val="auto"/>
              </w:rPr>
            </w:pPr>
            <w:r>
              <w:rPr>
                <w:rFonts w:ascii="Arial" w:cs="Arial" w:eastAsia="Arial" w:hAnsi="Arial"/>
                <w:sz w:val="14"/>
                <w:szCs w:val="14"/>
                <w:b w:val="1"/>
                <w:bCs w:val="1"/>
                <w:color w:val="auto"/>
              </w:rPr>
              <w:t>Weighted Average Life</w:t>
            </w:r>
          </w:p>
        </w:tc>
      </w:tr>
      <w:tr>
        <w:trPr>
          <w:trHeight w:val="26"/>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3"/>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26"/>
        </w:trPr>
        <w:tc>
          <w:tcPr>
            <w:tcW w:w="7340" w:type="dxa"/>
            <w:vAlign w:val="bottom"/>
          </w:tcPr>
          <w:p>
            <w:pPr>
              <w:ind w:left="240"/>
              <w:spacing w:after="0"/>
              <w:rPr>
                <w:sz w:val="20"/>
                <w:szCs w:val="20"/>
                <w:color w:val="auto"/>
              </w:rPr>
            </w:pPr>
            <w:r>
              <w:rPr>
                <w:rFonts w:ascii="Arial" w:cs="Arial" w:eastAsia="Arial" w:hAnsi="Arial"/>
                <w:sz w:val="16"/>
                <w:szCs w:val="16"/>
                <w:color w:val="auto"/>
              </w:rPr>
              <w:t>Cash</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net</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3"/>
        </w:trPr>
        <w:tc>
          <w:tcPr>
            <w:tcW w:w="734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10,543</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6"/>
              </w:rPr>
              <w:t>14 years</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126,923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13"/>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11,325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3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70,976</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7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55,947</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
        </w:trPr>
        <w:tc>
          <w:tcPr>
            <w:tcW w:w="7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Technology</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estimated fair value of the developed technology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working capital, and contributory asset charges, the appropriate discount rate to select in order to measure the risk inherent in each future cash flow stream, the assessment of the asset’s life cycle, and competitive trends impacting the asset and the cash flow stream.</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used a discount rate of 18%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allocated goodwill related to the SIA Acquisition to the TT segment. Goodwill is the excess of the consideration transferred over the net assets recognized and represents the expected revenue and cost synergies of the combined company and assembled workforce. A key factor that contributes to the recognition of goodwill, and a driver for the Company’s acquisition of SIA, is the attractive growth opportunities presented by the surgical matrix business in the breast reconstruction market. Goodwill recognized as a result of this acquisition is non-deductible for income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resulting most likely payouts are discounted using an appropriate effective annual interest rate. At each reporting date, the contingent consideration obligation will be revalued to estimated fair value and changes in fair value will be reflected as income or expense in the consolidated statement of operations. Changes in the fair value of the contingent considerations may result from changes in discount periods and rates and changes in the timing and amount of revenue estimates. Changes in assumptions utilized in the contingent consideration fair value estimates could result in an increase in the contingent consideration obligation and a corresponding charge to operating results.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part of the SIA Acquisition, the Company is required to pay to the former shareholders of SIA up to $90.0 million for two separate payments, which are dependent on 1) achieving certain revenue-based performance milestones in 2023, 2024, and 2025 (up to $50.0 million in additional payments), as well as</w:t>
      </w:r>
    </w:p>
    <w:p>
      <w:pPr>
        <w:spacing w:after="0" w:line="1" w:lineRule="exact"/>
        <w:rPr>
          <w:sz w:val="20"/>
          <w:szCs w:val="20"/>
          <w:color w:val="auto"/>
        </w:rPr>
      </w:pPr>
    </w:p>
    <w:p>
      <w:pPr>
        <w:jc w:val="both"/>
        <w:ind w:firstLine="8"/>
        <w:spacing w:after="0" w:line="259" w:lineRule="auto"/>
        <w:tabs>
          <w:tab w:leader="none" w:pos="19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approval by the FDA of the PMA for DuraSorb for certain uses by certain timing targets (up to $40.0 million in additional payments).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at the acquisition date. The company recorded a total of $51.2 million in other liabilities as of September 30, 2023 and $13.0 million in accrued expenses and other current liabilities at September 30, 2023 in the consolidated balance sheet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non-core traditional wound care business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31, 2022, the Company completed its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transaction included the sale of the Company's TWC products, such as sponges, gauze and conforming bandages, and certain advanced wound care dressings, such as supportive, calcium alginate, hydrogel, and foam dressings.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divestiture did not represent a strategic shift that had a major effect on the Company's operations and financial statements. Goodwill was allocated to the assets and liabilities divested using the relative fair value method of the TWC business to the Company's TT reportable business segment. In connection with the sale, the Company recognized $0.6 million as a gain from the sale of the business in the condensed consolidated statement of operations for the year ended December 31, 2022. The transaction is subject to final working capital adjustments.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purchase and sale agreement, the Company also entered into a contract manufacturing agreement with Gentell. Under the terms of the agreement, Gentell received inventory, equipment, and tooling to manufacture certain MediHoney® and TCC-EZ® products on behalf of the Company. On the close date of this transaction, the Company transferred manufacturing inventory associated with these products to Gentell and recognized an asset of $11.1 million, as a form of a deposit for the inventory transferred, which based on the expected timing of inventory purchases, was primarily included within prepaid expenses and other current assets in the consolidated balance sheet. This deposit will be utilized by the Company on future orders placed to Gentell for such products. As of September 30, 2023, the Company had a deposit remaining of $6.0 million which is included in prepaid assets. In addition, there are outstanding balances related to the Company's ongoing purchase of MediHoney® and TCC-EZ® products subsequent to the close of the TWC divestiture.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Accounting Policies on Revenue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Estimates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the voluntary recall of all products manufactured at the Boston facility, including Primatrix®, Surgimend®, Revize™, and TissueMend™ ("The Boston recall") the Company recorded a total of $6.8 million and $19.7 million provision for product returns, as a reduction of net revenue during the three and nine months ended September 30, 2023, respectively. Additionally, the Company has credited $8.3 million and $9.0 million to customers during the three and nine months ended September 30, 2023, respectively. As of September 30, 2023, the return reserve was $10.7 million.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 and Liability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nine months ended September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9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89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Contract Asset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Arial" w:cs="Arial" w:eastAsia="Arial" w:hAnsi="Arial"/>
                <w:sz w:val="16"/>
                <w:szCs w:val="16"/>
                <w:color w:val="auto"/>
              </w:rPr>
              <w:t>Contract asset, January 1, 2023</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10,122</w:t>
            </w:r>
          </w:p>
        </w:tc>
      </w:tr>
      <w:tr>
        <w:trPr>
          <w:trHeight w:val="219"/>
        </w:trPr>
        <w:tc>
          <w:tcPr>
            <w:tcW w:w="20" w:type="dxa"/>
            <w:vAlign w:val="bottom"/>
            <w:shd w:val="clear" w:color="auto" w:fill="CCEEFF"/>
          </w:tcPr>
          <w:p>
            <w:pPr>
              <w:spacing w:after="0"/>
              <w:rPr>
                <w:sz w:val="19"/>
                <w:szCs w:val="19"/>
                <w:color w:val="auto"/>
              </w:rPr>
            </w:pPr>
          </w:p>
        </w:tc>
        <w:tc>
          <w:tcPr>
            <w:tcW w:w="89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Transferred to trade receivable from contract asset included in beginning of the year contract asset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w:t>
            </w:r>
          </w:p>
        </w:tc>
      </w:tr>
      <w:tr>
        <w:trPr>
          <w:trHeight w:val="213"/>
        </w:trPr>
        <w:tc>
          <w:tcPr>
            <w:tcW w:w="20" w:type="dxa"/>
            <w:vAlign w:val="bottom"/>
          </w:tcPr>
          <w:p>
            <w:pPr>
              <w:spacing w:after="0"/>
              <w:rPr>
                <w:sz w:val="18"/>
                <w:szCs w:val="18"/>
                <w:color w:val="auto"/>
              </w:rPr>
            </w:pPr>
          </w:p>
        </w:tc>
        <w:tc>
          <w:tcPr>
            <w:tcW w:w="8960" w:type="dxa"/>
            <w:vAlign w:val="bottom"/>
            <w:gridSpan w:val="3"/>
          </w:tcPr>
          <w:p>
            <w:pPr>
              <w:ind w:left="620"/>
              <w:spacing w:after="0"/>
              <w:rPr>
                <w:sz w:val="20"/>
                <w:szCs w:val="20"/>
                <w:color w:val="auto"/>
              </w:rPr>
            </w:pPr>
            <w:r>
              <w:rPr>
                <w:rFonts w:ascii="Arial" w:cs="Arial" w:eastAsia="Arial" w:hAnsi="Arial"/>
                <w:sz w:val="16"/>
                <w:szCs w:val="16"/>
                <w:color w:val="auto"/>
              </w:rPr>
              <w:t>Written off from beginning of the year contract asset due to Boston recall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(2,379)</w:t>
            </w:r>
          </w:p>
        </w:tc>
      </w:tr>
      <w:tr>
        <w:trPr>
          <w:trHeight w:val="216"/>
        </w:trPr>
        <w:tc>
          <w:tcPr>
            <w:tcW w:w="2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Contract asset, net of transferred to trade receivables on contracts during the period</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10,392</w:t>
            </w:r>
          </w:p>
        </w:tc>
      </w:tr>
      <w:tr>
        <w:trPr>
          <w:trHeight w:val="213"/>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Arial" w:cs="Arial" w:eastAsia="Arial" w:hAnsi="Arial"/>
                <w:sz w:val="16"/>
                <w:szCs w:val="16"/>
                <w:color w:val="auto"/>
              </w:rPr>
              <w:t>Contract asset, September 30, 2023</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10,392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8960" w:type="dxa"/>
            <w:vAlign w:val="bottom"/>
            <w:gridSpan w:val="3"/>
          </w:tcPr>
          <w:p>
            <w:pPr>
              <w:spacing w:after="0" w:line="175" w:lineRule="exact"/>
              <w:rPr>
                <w:sz w:val="20"/>
                <w:szCs w:val="20"/>
                <w:color w:val="auto"/>
              </w:rPr>
            </w:pPr>
            <w:r>
              <w:rPr>
                <w:rFonts w:ascii="Arial" w:cs="Arial" w:eastAsia="Arial" w:hAnsi="Arial"/>
                <w:sz w:val="16"/>
                <w:szCs w:val="16"/>
                <w:color w:val="auto"/>
              </w:rPr>
              <w:t>Contract Liability</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Contract liability, January 1, 2023</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16,127</w:t>
            </w:r>
          </w:p>
        </w:tc>
      </w:tr>
      <w:tr>
        <w:trPr>
          <w:trHeight w:val="213"/>
        </w:trPr>
        <w:tc>
          <w:tcPr>
            <w:tcW w:w="20" w:type="dxa"/>
            <w:vAlign w:val="bottom"/>
          </w:tcPr>
          <w:p>
            <w:pPr>
              <w:spacing w:after="0"/>
              <w:rPr>
                <w:sz w:val="18"/>
                <w:szCs w:val="18"/>
                <w:color w:val="auto"/>
              </w:rPr>
            </w:pPr>
          </w:p>
        </w:tc>
        <w:tc>
          <w:tcPr>
            <w:tcW w:w="8960" w:type="dxa"/>
            <w:vAlign w:val="bottom"/>
            <w:gridSpan w:val="3"/>
          </w:tcPr>
          <w:p>
            <w:pPr>
              <w:ind w:left="620"/>
              <w:spacing w:after="0"/>
              <w:rPr>
                <w:sz w:val="20"/>
                <w:szCs w:val="20"/>
                <w:color w:val="auto"/>
              </w:rPr>
            </w:pPr>
            <w:r>
              <w:rPr>
                <w:rFonts w:ascii="Arial" w:cs="Arial" w:eastAsia="Arial" w:hAnsi="Arial"/>
                <w:sz w:val="16"/>
                <w:szCs w:val="16"/>
                <w:color w:val="auto"/>
              </w:rPr>
              <w:t>Recognition of revenue included in beginning of year contract liability</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(6,159)</w:t>
            </w:r>
          </w:p>
        </w:tc>
      </w:tr>
      <w:tr>
        <w:trPr>
          <w:trHeight w:val="219"/>
        </w:trPr>
        <w:tc>
          <w:tcPr>
            <w:tcW w:w="20" w:type="dxa"/>
            <w:vAlign w:val="bottom"/>
            <w:shd w:val="clear" w:color="auto" w:fill="CCEEFF"/>
          </w:tcPr>
          <w:p>
            <w:pPr>
              <w:spacing w:after="0"/>
              <w:rPr>
                <w:sz w:val="19"/>
                <w:szCs w:val="19"/>
                <w:color w:val="auto"/>
              </w:rPr>
            </w:pPr>
          </w:p>
        </w:tc>
        <w:tc>
          <w:tcPr>
            <w:tcW w:w="89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Contract liability, net of revenue recognized on contracts during the period</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6,282</w:t>
            </w:r>
          </w:p>
        </w:tc>
      </w:tr>
      <w:tr>
        <w:trPr>
          <w:trHeight w:val="213"/>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gridSpan w:val="3"/>
          </w:tcPr>
          <w:p>
            <w:pPr>
              <w:ind w:left="620"/>
              <w:spacing w:after="0"/>
              <w:rPr>
                <w:sz w:val="20"/>
                <w:szCs w:val="20"/>
                <w:color w:val="auto"/>
              </w:rPr>
            </w:pPr>
            <w:r>
              <w:rPr>
                <w:rFonts w:ascii="Arial" w:cs="Arial" w:eastAsia="Arial" w:hAnsi="Arial"/>
                <w:sz w:val="16"/>
                <w:szCs w:val="16"/>
                <w:color w:val="auto"/>
              </w:rPr>
              <w:t>Foreign currency translation</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9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Contract liability, September 30, 2023</w:t>
            </w:r>
          </w:p>
        </w:tc>
        <w:tc>
          <w:tcPr>
            <w:tcW w:w="6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the short-term portion of the contract liability of $8.1 million and the long-term portion of $8.1 million are included in current liabilities and other liabilities, respectively,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is expected to recognize revenue of approximately 50% of unsatisfied (or partially unsatisfied) performance obligations as revenue within 12 months, with the remaining balance to be recognized thereafter.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nine months ended September 30, 2023 and 2022 (dollar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40" w:type="dxa"/>
            <w:vAlign w:val="bottom"/>
          </w:tcPr>
          <w:p>
            <w:pPr>
              <w:jc w:val="right"/>
              <w:ind w:right="12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Nine Months Ended</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41"/>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September 30, 2023</w:t>
            </w:r>
          </w:p>
        </w:tc>
        <w:tc>
          <w:tcPr>
            <w:tcW w:w="160" w:type="dxa"/>
            <w:vAlign w:val="bottom"/>
          </w:tcPr>
          <w:p>
            <w:pPr>
              <w:spacing w:after="0"/>
              <w:rPr>
                <w:sz w:val="16"/>
                <w:szCs w:val="16"/>
                <w:color w:val="auto"/>
              </w:rPr>
            </w:pPr>
          </w:p>
        </w:tc>
        <w:tc>
          <w:tcPr>
            <w:tcW w:w="154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September 30, 2022</w:t>
            </w: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September 30, 2023</w:t>
            </w:r>
          </w:p>
        </w:tc>
        <w:tc>
          <w:tcPr>
            <w:tcW w:w="1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September 30, 2022</w:t>
            </w: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Neurosurgery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209,229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193,848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588,818</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58,976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55,948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166,149</w:t>
            </w:r>
          </w:p>
        </w:tc>
      </w:tr>
      <w:tr>
        <w:trPr>
          <w:trHeight w:val="212"/>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Codman Specialty Surgical</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268,205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249,796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754,967</w:t>
            </w:r>
          </w:p>
        </w:tc>
      </w:tr>
      <w:tr>
        <w:trPr>
          <w:trHeight w:val="216"/>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Wound Reconstruction and Care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88,071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304,149</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Label</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26,145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100,528</w:t>
            </w:r>
          </w:p>
        </w:tc>
      </w:tr>
      <w:tr>
        <w:trPr>
          <w:trHeight w:val="209"/>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Tissue Technologies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114,216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135,395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404,677</w:t>
            </w:r>
          </w:p>
        </w:tc>
      </w:tr>
      <w:tr>
        <w:trPr>
          <w:trHeight w:val="212"/>
        </w:trPr>
        <w:tc>
          <w:tcPr>
            <w:tcW w:w="42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382,421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385,191</w:t>
            </w:r>
          </w:p>
        </w:tc>
        <w:tc>
          <w:tcPr>
            <w:tcW w:w="2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1,144,534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1,159,644</w:t>
            </w:r>
          </w:p>
        </w:tc>
      </w:tr>
      <w:tr>
        <w:trPr>
          <w:trHeight w:val="21"/>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172,088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76,072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70,598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81,897</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366,251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324,583</w:t>
            </w:r>
          </w:p>
        </w:tc>
      </w:tr>
      <w:tr>
        <w:trPr>
          <w:trHeight w:val="24"/>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Recall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nine months ended September 30, 2023, due to the Boston recall, the Company recorded a $24.6 million write off of inventory to cost of goods sold that was no longer able to be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Write-off</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a tornado that struck the LeLocle, Switzerland area on July 24, 2023. After review of the damage to the product caused by the tornado, it was determined that the inventory write-off was $0.8 million.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2023 were as follows: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at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SIA Acquisition Working Capital Adjustment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at September 30, 2023</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Codman Specialty</w:t>
            </w:r>
          </w:p>
        </w:tc>
        <w:tc>
          <w:tcPr>
            <w:tcW w:w="14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Tissue Technologies</w:t>
            </w:r>
          </w:p>
        </w:tc>
        <w:tc>
          <w:tcPr>
            <w:tcW w:w="360" w:type="dxa"/>
            <w:vAlign w:val="bottom"/>
          </w:tcPr>
          <w:p>
            <w:pPr>
              <w:spacing w:after="0"/>
              <w:rPr>
                <w:sz w:val="14"/>
                <w:szCs w:val="14"/>
                <w:color w:val="auto"/>
              </w:rPr>
            </w:pPr>
          </w:p>
        </w:tc>
        <w:tc>
          <w:tcPr>
            <w:tcW w:w="122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Surgical</w:t>
            </w: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656,219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382,662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1,038,881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654,733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381,413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1,036,146</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-599440</wp:posOffset>
            </wp:positionV>
            <wp:extent cx="706374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-316230</wp:posOffset>
            </wp:positionV>
            <wp:extent cx="70637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020"/>
          </w:cols>
          <w:pgMar w:left="320" w:top="121" w:right="339" w:bottom="1440" w:gutter="0" w:footer="0" w:header="0"/>
          <w:type w:val="continuous"/>
        </w:sectPr>
      </w:pP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third quarter in accordance with ASC Topic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estimates the fair value of the reporting unit using a discounted cash flow model, which incorporates significant estimates and assumptions made by management which, by their nature, are characterized by uncertainty</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2023, due to the Boston recall, as well as the associated drop in the Company's stock price in that quarter, the Company elected to perform a quantitative analysis for its TT reporting unit. The quantitative test utilized a long-term growth rate of 2% and a discount rate of 10%. The Company determined, after performing the quantitative analysis, that the fair value of the goodwill of the reporting unit was not less than the carrying amount, with more than 20% headroom.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2023, the Company performed the annual qualitative analysis for its three reporting units and intangible assets with indefinite lives. The Company determined, after performing the qualitative analysis, that there was no evidence that it is more likely than not that the fair value was less than the carrying amounts, therefore, it was not necessary to perform a quantitative impairment test.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8"/>
          </w:tcPr>
          <w:p>
            <w:pPr>
              <w:ind w:left="620"/>
              <w:spacing w:after="0"/>
              <w:rPr>
                <w:sz w:val="20"/>
                <w:szCs w:val="20"/>
                <w:color w:val="auto"/>
              </w:rPr>
            </w:pPr>
            <w:r>
              <w:rPr>
                <w:rFonts w:ascii="Arial" w:cs="Arial" w:eastAsia="Arial" w:hAnsi="Arial"/>
                <w:sz w:val="14"/>
                <w:szCs w:val="14"/>
                <w:b w:val="1"/>
                <w:bCs w:val="1"/>
                <w:color w:val="auto"/>
              </w:rPr>
              <w:t>September 30, 2023</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Cost</w:t>
            </w:r>
          </w:p>
        </w:tc>
        <w:tc>
          <w:tcPr>
            <w:tcW w:w="24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CEEFF"/>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18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1,206,522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782,278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Arial" w:cs="Arial" w:eastAsia="Arial" w:hAnsi="Arial"/>
                <w:sz w:val="16"/>
                <w:szCs w:val="16"/>
                <w:color w:val="auto"/>
                <w:w w:val="91"/>
              </w:rPr>
              <w:t>12 years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192,566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(149,243)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43,323</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28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97,228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59,865</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Arial" w:cs="Arial" w:eastAsia="Arial" w:hAnsi="Arial"/>
                <w:sz w:val="16"/>
                <w:szCs w:val="16"/>
                <w:color w:val="auto"/>
                <w:w w:val="98"/>
              </w:rPr>
              <w:t>Indefinite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167,520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167,520</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Arial" w:cs="Arial" w:eastAsia="Arial" w:hAnsi="Arial"/>
                <w:sz w:val="16"/>
                <w:szCs w:val="16"/>
                <w:color w:val="auto"/>
                <w:w w:val="91"/>
              </w:rPr>
              <w:t>30 years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12,307</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Arial" w:cs="Arial" w:eastAsia="Arial" w:hAnsi="Arial"/>
                <w:sz w:val="16"/>
                <w:szCs w:val="16"/>
                <w:color w:val="auto"/>
                <w:w w:val="87"/>
              </w:rPr>
              <w:t>11 years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5,932</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(4,202)</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w:t>
            </w:r>
          </w:p>
        </w:tc>
        <w:tc>
          <w:tcPr>
            <w:tcW w:w="0" w:type="dxa"/>
            <w:vAlign w:val="bottom"/>
          </w:tcPr>
          <w:p>
            <w:pPr>
              <w:spacing w:after="0"/>
              <w:rPr>
                <w:sz w:val="1"/>
                <w:szCs w:val="1"/>
                <w:color w:val="auto"/>
              </w:rPr>
            </w:pPr>
          </w:p>
        </w:tc>
      </w:tr>
      <w:tr>
        <w:trPr>
          <w:trHeight w:val="235"/>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1,699,979</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(632,956)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1,067,023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8"/>
          </w:tcPr>
          <w:p>
            <w:pPr>
              <w:ind w:left="620"/>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80" w:type="dxa"/>
            <w:vAlign w:val="bottom"/>
            <w:vMerge w:val="restart"/>
          </w:tcPr>
          <w:p>
            <w:pPr>
              <w:spacing w:after="0"/>
              <w:rPr>
                <w:sz w:val="12"/>
                <w:szCs w:val="12"/>
                <w:color w:val="auto"/>
              </w:rPr>
            </w:pPr>
          </w:p>
        </w:tc>
        <w:tc>
          <w:tcPr>
            <w:tcW w:w="15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Completed technology</w:t>
            </w:r>
          </w:p>
        </w:tc>
        <w:tc>
          <w:tcPr>
            <w:tcW w:w="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18 years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(370,968)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833,357</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Arial" w:cs="Arial" w:eastAsia="Arial" w:hAnsi="Arial"/>
                <w:sz w:val="16"/>
                <w:szCs w:val="16"/>
                <w:color w:val="auto"/>
                <w:w w:val="87"/>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193,081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(144,040)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49,041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(34,674)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62,591</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Arial" w:cs="Arial" w:eastAsia="Arial" w:hAnsi="Arial"/>
                <w:sz w:val="16"/>
                <w:szCs w:val="16"/>
                <w:color w:val="auto"/>
                <w:w w:val="98"/>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166,693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166,693</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(17,170)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13,041</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w:t>
            </w:r>
          </w:p>
        </w:tc>
        <w:tc>
          <w:tcPr>
            <w:tcW w:w="1540" w:type="dxa"/>
            <w:vAlign w:val="bottom"/>
            <w:tcBorders>
              <w:bottom w:val="single" w:sz="8" w:color="CCEEFF"/>
            </w:tcBorders>
            <w:gridSpan w:val="3"/>
          </w:tcPr>
          <w:p>
            <w:pPr>
              <w:jc w:val="center"/>
              <w:ind w:right="320"/>
              <w:spacing w:after="0"/>
              <w:rPr>
                <w:sz w:val="20"/>
                <w:szCs w:val="20"/>
                <w:color w:val="auto"/>
              </w:rPr>
            </w:pPr>
            <w:r>
              <w:rPr>
                <w:rFonts w:ascii="Arial" w:cs="Arial" w:eastAsia="Arial" w:hAnsi="Arial"/>
                <w:sz w:val="16"/>
                <w:szCs w:val="16"/>
                <w:color w:val="auto"/>
                <w:w w:val="87"/>
              </w:rPr>
              <w:t>11 years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5,957</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(4,071)</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1,697,532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(570,923)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1,126,609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amortization of intangible assets for the three and nine months ended September 30, 2023 was $20.9 million and $62.1 million, respectively. Of these amounts, $17.7 million and $52.8 million, respectively was related to amortization of technology based intangibles and included in cost of goods sold, with the remainder included in intangible amortization in the statement of operations.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amortization of intangible assets for the three and nine months ended September 30, 2022 was $19.2 million and $58.7 million, respectively. Of these amounts, $16.1 million and $48.3 million, respectively was related to amortization of technology based intangibles and included in cost of goods sold, with the remainder included in intangible amortization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goods sold) is expected to be approximately $20.7 million for the remainder of 2023, $82.2 million in 2024, $82.1 million in 2025, $82.0 million in 2026, $80.0 million in 2027, $78.5 million in 2028 and $477.1 million thereafter.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periodically performs testing for impairment on certain long-lived assets whenever events or changes in circumstances indicate that the carrying amount of an asset may not be recoverable.</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second quarter of 2023, due to the Boston recall, the Company elected to perform impairment testing on certain definite lived intangibles. The intangible components associated with the recalled products include completed technology and customer relationships with a net book value of $29.9 million and $8.1 million, respectively, as of September 30, 2023. The company used an undiscounted cash flow methodology and obtained revenue projections through the useful life of the intangibles. After performing the analysis, no impairment was noted. The Company will continue to monitor these intangibles as we return to the market and evaluate any changes that would impact our sales of these products.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Seventh Amended and Restated Senior Credit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24, 2023, the Company entered into the seventh amendment and restatement (the "March 2023 Amendment") of the Senior Credit Facility (the "Senior Credit Facility") with a syndicate of lending banks with Bank of America, N.A., as Administrative Agent. The March 2023 Amendment extended the maturity date to March 24, 2028, amended the contractual repayments of the term loan component, and amended the interest rate from LIBOR to SOFR-indexed interest. The Company continues to have the aggregate principal amount of up to approximately $2.1 billion available to it through the following facilities: (i) a $775.0 million term loan facility, and (ii) a $1.3 billion revolving credit facility, which includes a $60 million sublimit for the issuance of standby letters of credit and a $60 million sublimit for swingline loans.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maximum consolidated total leverage ratio in the financial covenants (as defined in the Senior Credit Facility) was modified to the following:</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40" w:type="dxa"/>
            <w:vAlign w:val="bottom"/>
            <w:vMerge w:val="restart"/>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7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15"/>
        </w:trPr>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March 31,</w:t>
            </w:r>
          </w:p>
        </w:tc>
        <w:tc>
          <w:tcPr>
            <w:tcW w:w="6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 through December 31, 2024</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 to 1.00</w:t>
            </w:r>
          </w:p>
        </w:tc>
        <w:tc>
          <w:tcPr>
            <w:tcW w:w="0" w:type="dxa"/>
            <w:vAlign w:val="bottom"/>
          </w:tcPr>
          <w:p>
            <w:pPr>
              <w:spacing w:after="0"/>
              <w:rPr>
                <w:sz w:val="1"/>
                <w:szCs w:val="1"/>
                <w:color w:val="auto"/>
              </w:rPr>
            </w:pPr>
          </w:p>
        </w:tc>
      </w:tr>
      <w:tr>
        <w:trPr>
          <w:trHeight w:val="213"/>
        </w:trPr>
        <w:tc>
          <w:tcPr>
            <w:tcW w:w="720" w:type="dxa"/>
            <w:vAlign w:val="bottom"/>
          </w:tcPr>
          <w:p>
            <w:pPr>
              <w:ind w:left="20"/>
              <w:spacing w:after="0"/>
              <w:rPr>
                <w:sz w:val="20"/>
                <w:szCs w:val="20"/>
                <w:color w:val="auto"/>
              </w:rPr>
            </w:pPr>
            <w:r>
              <w:rPr>
                <w:rFonts w:ascii="Arial" w:cs="Arial" w:eastAsia="Arial" w:hAnsi="Arial"/>
                <w:sz w:val="16"/>
                <w:szCs w:val="16"/>
                <w:color w:val="auto"/>
                <w:w w:val="95"/>
              </w:rPr>
              <w:t>March 31,</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2025 through June 30, 2026</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4.25 to 1.00</w:t>
            </w:r>
          </w:p>
        </w:tc>
        <w:tc>
          <w:tcPr>
            <w:tcW w:w="0" w:type="dxa"/>
            <w:vAlign w:val="bottom"/>
          </w:tcPr>
          <w:p>
            <w:pPr>
              <w:spacing w:after="0"/>
              <w:rPr>
                <w:sz w:val="1"/>
                <w:szCs w:val="1"/>
                <w:color w:val="auto"/>
              </w:rPr>
            </w:pPr>
          </w:p>
        </w:tc>
      </w:tr>
      <w:tr>
        <w:trPr>
          <w:trHeight w:val="219"/>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September 30, 2026 and the last day of each fiscal quarter thereafter</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 to 1.00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 SOFR in effect from time to time plus 0.10% plus the applicable rate (ranging from 1.00% to 1.75%),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Term SOFR plus 1.00%</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amended Seventh Amended and Restated Credit Agreement (the "Credit Agreement")), for the period of four consecutive fiscal quarters ending on such date).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2023,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2023 there was $90.0 million outstanding under the revolving portion of the Senior Credit Facility. At December 31, 2022 there was no outstanding balance under the revolving portion of the Senior Credit Facility. At September 30, 2023 and December 31, 2022, there was $775.0 million outstanding under the term loan component of the Senior Credit Facility at a weighted average interest rate of 6.8% and 5.6%, respectively. The liability related to the Senior Credit Facility shown on the balance sheet at September 30, 2023 and December 31, 2022 is reflected net of $5.2 million and $3.7 million, respectively, in deferred financing costs. As of September 30, 2023 and December 31, 2022 there was $9.7 million and $38.1 million of the term loan component of the Senior Credit Facility classified as current on the condensed consolidated balance sheet, respectively.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term loan component at September 30, 2023 was $752.3 million. This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Letters of credit outstanding as of September 30, 2023 and December 31, 2022 totaled $1.7 million and $1.6 million, respectively. There were no amounts drawn as of September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6800" w:type="dxa"/>
            <w:vAlign w:val="bottom"/>
            <w:gridSpan w:val="3"/>
          </w:tcPr>
          <w:p>
            <w:pPr>
              <w:jc w:val="right"/>
              <w:ind w:right="4040"/>
              <w:spacing w:after="0"/>
              <w:rPr>
                <w:sz w:val="20"/>
                <w:szCs w:val="20"/>
                <w:color w:val="auto"/>
              </w:rPr>
            </w:pPr>
            <w:r>
              <w:rPr>
                <w:rFonts w:ascii="Arial" w:cs="Arial" w:eastAsia="Arial" w:hAnsi="Arial"/>
                <w:sz w:val="14"/>
                <w:szCs w:val="14"/>
                <w:b w:val="1"/>
                <w:bCs w:val="1"/>
                <w:color w:val="auto"/>
              </w:rPr>
              <w:t>As of September 30, 2023</w:t>
            </w:r>
          </w:p>
        </w:tc>
        <w:tc>
          <w:tcPr>
            <w:tcW w:w="1960" w:type="dxa"/>
            <w:vAlign w:val="bottom"/>
          </w:tcPr>
          <w:p>
            <w:pPr>
              <w:jc w:val="right"/>
              <w:ind w:right="379"/>
              <w:spacing w:after="0"/>
              <w:rPr>
                <w:sz w:val="20"/>
                <w:szCs w:val="20"/>
                <w:color w:val="auto"/>
              </w:rPr>
            </w:pPr>
            <w:r>
              <w:rPr>
                <w:rFonts w:ascii="Arial" w:cs="Arial" w:eastAsia="Arial" w:hAnsi="Arial"/>
                <w:sz w:val="14"/>
                <w:szCs w:val="14"/>
                <w:b w:val="1"/>
                <w:bCs w:val="1"/>
                <w:color w:val="auto"/>
              </w:rPr>
              <w:t>Principal Repayment</w:t>
            </w:r>
          </w:p>
        </w:tc>
      </w:tr>
      <w:tr>
        <w:trPr>
          <w:trHeight w:val="26"/>
        </w:trPr>
        <w:tc>
          <w:tcPr>
            <w:tcW w:w="24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
        </w:trPr>
        <w:tc>
          <w:tcPr>
            <w:tcW w:w="24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6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2024</w:t>
            </w:r>
          </w:p>
        </w:tc>
        <w:tc>
          <w:tcPr>
            <w:tcW w:w="6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14,531</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33,906</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2026</w:t>
            </w:r>
          </w:p>
        </w:tc>
        <w:tc>
          <w:tcPr>
            <w:tcW w:w="6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38,750</w:t>
            </w:r>
          </w:p>
        </w:tc>
      </w:tr>
      <w:tr>
        <w:trPr>
          <w:trHeight w:val="23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6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687,813</w:t>
            </w:r>
          </w:p>
        </w:tc>
      </w:tr>
      <w:tr>
        <w:trPr>
          <w:trHeight w:val="206"/>
        </w:trPr>
        <w:tc>
          <w:tcPr>
            <w:tcW w:w="2480" w:type="dxa"/>
            <w:vAlign w:val="bottom"/>
          </w:tcPr>
          <w:p>
            <w:pPr>
              <w:spacing w:after="0"/>
              <w:rPr>
                <w:sz w:val="17"/>
                <w:szCs w:val="17"/>
                <w:color w:val="auto"/>
              </w:rPr>
            </w:pPr>
          </w:p>
        </w:tc>
        <w:tc>
          <w:tcPr>
            <w:tcW w:w="6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775,000</w:t>
            </w:r>
          </w:p>
        </w:tc>
      </w:tr>
      <w:tr>
        <w:trPr>
          <w:trHeight w:val="24"/>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Future interest payments on the term loan component of the Senior Credit Facility based on current interest rates are expected to approximate $13.5 million for remainder of 2023, $53.4 million in 2024, $51.6 million in 2025, $48.9 million in 2026, and $55.9 million thereafter. Interest is calculated on the term loan portion of the Senior Credit Facility based on SOFR plus the certain amounts set forth in the Credit Agreement. As the revolving credit facility and Securitization Facility (defined below) can be repaid at any time, no interest has been included in the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outstanding borrowings on the revolving credit component of the Senior Credit Facility is due on March 24,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if the Company calls the notes for optional redemption as defined in the indenture; or (4) if specified corporate transactions occur. As of September 30, 2023, none of these conditions existed and the 2025 Notes are classified as long term obligations.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9, 2020, the Company entered into the First Supplemental Indenture to the original indenture dated as of February 4, 2020 (The "Indenture")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(as defined in the indenture) for a conversion of the 2025 Notes, the Specified Dollar Amount (as defined in the indenture) that will be settled in cash per $1,000 principal amount of the 2025 Notes shall be no lower than $1,000.</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Holders of the 2025 Notes will have the right to require the Company to repurchase for cash all or a portion of their 2025 Notes at 100% of their principal amount, plus any accrued and unpaid interest, upon the occurrence of a fundamental change (as defined in the indenture relating to the 2025 Notes). The Company will also be required to increase the conversion rate for holders who convert their 2025 Notes in connection with certain fundamental changes occurring prior to the maturity date or following delivery by the Company of a notice of redemption.</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carrying amount of the liability was $575.0 million. The fair value of the 2025 Notes at September 30, 2023 was $524.7 million. Factors that the Company considered when estimating the fair value of the 2025 Notes included recent quoted market prices or dealer quotes. The level of the 2025 Notes is considered as Level 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2023, the Company was in compliance with the covenants and none of the termination events had occurred.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28, 2021, the Company entered into an amendment (the "May 2021 Amendment") of the Securitization Facility which extended the maturity date from December 21, 2021 to May 28, 2024. In addition, on April 17, 2023 the company entered into an amendment (the "April 2023 Amendment") of the Securitization Facility and amended the interest rate from LIBOR to SOFR indexed rate. The April 2023 Amendment and the May 2021 Amendment do not increase the Company’s total indebtedness.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Securitization Facility is currently indexed to SOFR. At September 30, 2023 and December 31, 2022, the Company had $75.7 million and $104.7 million, respectively, of outstanding borrowings under its Securitization Facility at a weighted average interest rate of 6.6% and 5.0%, respectively. At September 30, 2023, the total amount outstanding under the Securitization Facility is classified as current on the consolidated balance sheet as the total amount is due on May 28, 2024.</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outstanding borrowing of the Securitization Facility at September 30, 2023 was $74.8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connection with the March 2023 Amendment to the Senior Credit Facility, the Company amended its interest rate from LIBOR to SOFR-indexed interest. In March 2023, the Company entered into a basis swap where the Company receives Term SOFR and pays LIBOR to convert the portfolio of swaps from LIBOR to SOFR.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September 30, 2023 and December 31, 2022 (dollar amounts in thousands):</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 2023</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 2023</w:t>
            </w:r>
          </w:p>
        </w:tc>
      </w:tr>
      <w:tr>
        <w:trPr>
          <w:trHeight w:val="26"/>
        </w:trPr>
        <w:tc>
          <w:tcPr>
            <w:tcW w:w="192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1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Hedged Item</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Notional Amount</w:t>
            </w:r>
          </w:p>
        </w:tc>
        <w:tc>
          <w:tcPr>
            <w:tcW w:w="1540" w:type="dxa"/>
            <w:vAlign w:val="bottom"/>
            <w:tcBorders>
              <w:top w:val="single" w:sz="8" w:color="auto"/>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0"/>
              </w:rPr>
              <w:t>Designation Date</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8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Fixed Interest Rate</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Estimated Fair Value</w:t>
            </w:r>
          </w:p>
        </w:tc>
      </w:tr>
      <w:tr>
        <w:trPr>
          <w:trHeight w:val="196"/>
        </w:trPr>
        <w:tc>
          <w:tcPr>
            <w:tcW w:w="1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Asset (Liability)</w:t>
            </w:r>
          </w:p>
        </w:tc>
      </w:tr>
      <w:tr>
        <w:trPr>
          <w:trHeight w:val="183"/>
        </w:trPr>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December 13, 2017</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July 1, 2019</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30, 2024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3,395</w:t>
            </w:r>
          </w:p>
        </w:tc>
      </w:tr>
      <w:tr>
        <w:trPr>
          <w:trHeight w:val="182"/>
        </w:trPr>
        <w:tc>
          <w:tcPr>
            <w:tcW w:w="1920" w:type="dxa"/>
            <w:vAlign w:val="bottom"/>
            <w:gridSpan w:val="3"/>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Pr>
          <w:p>
            <w:pPr>
              <w:jc w:val="right"/>
              <w:spacing w:after="0"/>
              <w:rPr>
                <w:sz w:val="20"/>
                <w:szCs w:val="20"/>
                <w:color w:val="auto"/>
              </w:rPr>
            </w:pPr>
            <w:r>
              <w:rPr>
                <w:rFonts w:ascii="Arial" w:cs="Arial" w:eastAsia="Arial" w:hAnsi="Arial"/>
                <w:sz w:val="14"/>
                <w:szCs w:val="14"/>
                <w:color w:val="auto"/>
              </w:rPr>
              <w:t>200,000</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1"/>
              </w:rPr>
              <w:t>December 13, 2017</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January 1, 2018</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December 31, 2024</w:t>
            </w:r>
          </w:p>
        </w:tc>
        <w:tc>
          <w:tcPr>
            <w:tcW w:w="1240" w:type="dxa"/>
            <w:vAlign w:val="bottom"/>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7,440</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October 10, 2018</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July 1, 2020</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30, 2025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2,381</w:t>
            </w:r>
          </w:p>
        </w:tc>
      </w:tr>
      <w:tr>
        <w:trPr>
          <w:trHeight w:val="182"/>
        </w:trPr>
        <w:tc>
          <w:tcPr>
            <w:tcW w:w="1920" w:type="dxa"/>
            <w:vAlign w:val="bottom"/>
            <w:gridSpan w:val="3"/>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Pr>
          <w:p>
            <w:pPr>
              <w:jc w:val="right"/>
              <w:spacing w:after="0"/>
              <w:rPr>
                <w:sz w:val="20"/>
                <w:szCs w:val="20"/>
                <w:color w:val="auto"/>
              </w:rPr>
            </w:pPr>
            <w:r>
              <w:rPr>
                <w:rFonts w:ascii="Arial" w:cs="Arial" w:eastAsia="Arial" w:hAnsi="Arial"/>
                <w:sz w:val="14"/>
                <w:szCs w:val="14"/>
                <w:color w:val="auto"/>
              </w:rPr>
              <w:t>75,000</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2"/>
              </w:rPr>
              <w:t>October 10, 2018</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July 1, 2020</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June 30, 2025</w:t>
            </w:r>
          </w:p>
        </w:tc>
        <w:tc>
          <w:tcPr>
            <w:tcW w:w="1240" w:type="dxa"/>
            <w:vAlign w:val="bottom"/>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2,486</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October 10, 2018</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July 1, 2020</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30, 2025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2,339</w:t>
            </w:r>
          </w:p>
        </w:tc>
      </w:tr>
      <w:tr>
        <w:trPr>
          <w:trHeight w:val="182"/>
        </w:trPr>
        <w:tc>
          <w:tcPr>
            <w:tcW w:w="1920" w:type="dxa"/>
            <w:vAlign w:val="bottom"/>
            <w:gridSpan w:val="3"/>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Pr>
          <w:p>
            <w:pPr>
              <w:jc w:val="right"/>
              <w:spacing w:after="0"/>
              <w:rPr>
                <w:sz w:val="20"/>
                <w:szCs w:val="20"/>
                <w:color w:val="auto"/>
              </w:rPr>
            </w:pPr>
            <w:r>
              <w:rPr>
                <w:rFonts w:ascii="Arial" w:cs="Arial" w:eastAsia="Arial" w:hAnsi="Arial"/>
                <w:sz w:val="14"/>
                <w:szCs w:val="14"/>
                <w:color w:val="auto"/>
              </w:rPr>
              <w:t>100,000</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1"/>
              </w:rPr>
              <w:t>December 18, 2018</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30, 2022</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December 31,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6,052</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December 18, 2018</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December 30, 2022</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31, 2027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6,187</w:t>
            </w:r>
          </w:p>
        </w:tc>
      </w:tr>
      <w:tr>
        <w:trPr>
          <w:trHeight w:val="182"/>
        </w:trPr>
        <w:tc>
          <w:tcPr>
            <w:tcW w:w="1920" w:type="dxa"/>
            <w:vAlign w:val="bottom"/>
            <w:gridSpan w:val="3"/>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Pr>
          <w:p>
            <w:pPr>
              <w:jc w:val="right"/>
              <w:spacing w:after="0"/>
              <w:rPr>
                <w:sz w:val="20"/>
                <w:szCs w:val="20"/>
                <w:color w:val="auto"/>
              </w:rPr>
            </w:pPr>
            <w:r>
              <w:rPr>
                <w:rFonts w:ascii="Arial" w:cs="Arial" w:eastAsia="Arial" w:hAnsi="Arial"/>
                <w:sz w:val="14"/>
                <w:szCs w:val="14"/>
                <w:color w:val="auto"/>
              </w:rPr>
              <w:t>575,000</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1"/>
              </w:rPr>
              <w:t>December 15, 2020</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July 31, 2025</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December 31,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31,528</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1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1-month Term SOFR Loan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December 15, 2020</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July 1, 2025</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December 31, 2027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7,369</w:t>
            </w:r>
          </w:p>
        </w:tc>
      </w:tr>
      <w:tr>
        <w:trPr>
          <w:trHeight w:val="203"/>
        </w:trPr>
        <w:tc>
          <w:tcPr>
            <w:tcW w:w="192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Basis Swap </w:t>
            </w:r>
            <w:r>
              <w:rPr>
                <w:rFonts w:ascii="Arial" w:cs="Arial" w:eastAsia="Arial" w:hAnsi="Arial"/>
                <w:sz w:val="18"/>
                <w:szCs w:val="18"/>
                <w:color w:val="auto"/>
                <w:vertAlign w:val="superscript"/>
              </w:rPr>
              <w:t>(1)</w:t>
            </w:r>
          </w:p>
        </w:tc>
        <w:tc>
          <w:tcPr>
            <w:tcW w:w="11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w w:val="94"/>
              </w:rPr>
              <w:t>March 31, 2023</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March 24, 2023</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December 31, 2027</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(1,923)</w:t>
            </w:r>
          </w:p>
        </w:tc>
      </w:tr>
      <w:tr>
        <w:trPr>
          <w:trHeight w:val="176"/>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1,475,000</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-123825</wp:posOffset>
            </wp:positionV>
            <wp:extent cx="67976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7675" cy="154305"/>
                    </a:xfrm>
                    <a:prstGeom prst="rect">
                      <a:avLst/>
                    </a:prstGeom>
                    <a:noFill/>
                  </pic:spPr>
                </pic:pic>
              </a:graphicData>
            </a:graphic>
          </wp:anchor>
        </w:drawing>
      </w:r>
    </w:p>
    <w:p>
      <w:pPr>
        <w:ind w:left="520" w:hanging="150"/>
        <w:spacing w:after="0"/>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notional of the basis swap amortizes to match the total notional of the interest rate swap portfolio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-103505</wp:posOffset>
            </wp:positionV>
            <wp:extent cx="1028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-103505</wp:posOffset>
            </wp:positionV>
            <wp:extent cx="7886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Hedged Item</w:t>
            </w: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Designation Date</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Termination Date</w:t>
            </w:r>
          </w:p>
        </w:tc>
        <w:tc>
          <w:tcPr>
            <w:tcW w:w="1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Fixed 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05"/>
        </w:trPr>
        <w:tc>
          <w:tcPr>
            <w:tcW w:w="1960" w:type="dxa"/>
            <w:vAlign w:val="bottom"/>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36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w w:val="92"/>
              </w:rPr>
              <w:t>Rate</w:t>
            </w: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6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96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7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13, 2017</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July 1, 2019</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30,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2.423 %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82"/>
        </w:trPr>
        <w:tc>
          <w:tcPr>
            <w:tcW w:w="196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13, 2017</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January 1, 2018</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31, 2024</w:t>
            </w:r>
          </w:p>
        </w:tc>
        <w:tc>
          <w:tcPr>
            <w:tcW w:w="1160" w:type="dxa"/>
            <w:vAlign w:val="bottom"/>
          </w:tcPr>
          <w:p>
            <w:pPr>
              <w:jc w:val="right"/>
              <w:spacing w:after="0"/>
              <w:rPr>
                <w:sz w:val="20"/>
                <w:szCs w:val="20"/>
                <w:color w:val="auto"/>
              </w:rPr>
            </w:pPr>
            <w:r>
              <w:rPr>
                <w:rFonts w:ascii="Arial" w:cs="Arial" w:eastAsia="Arial" w:hAnsi="Arial"/>
                <w:sz w:val="14"/>
                <w:szCs w:val="14"/>
                <w:color w:val="auto"/>
              </w:rPr>
              <w:t>2.313 %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October 10, 2018</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July 1, 2020</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30, 2025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3.220 %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82"/>
        </w:trPr>
        <w:tc>
          <w:tcPr>
            <w:tcW w:w="196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October 10, 2018</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July 1, 2020</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June 30, 2025</w:t>
            </w:r>
          </w:p>
        </w:tc>
        <w:tc>
          <w:tcPr>
            <w:tcW w:w="1160" w:type="dxa"/>
            <w:vAlign w:val="bottom"/>
          </w:tcPr>
          <w:p>
            <w:pPr>
              <w:jc w:val="right"/>
              <w:spacing w:after="0"/>
              <w:rPr>
                <w:sz w:val="20"/>
                <w:szCs w:val="20"/>
                <w:color w:val="auto"/>
              </w:rPr>
            </w:pPr>
            <w:r>
              <w:rPr>
                <w:rFonts w:ascii="Arial" w:cs="Arial" w:eastAsia="Arial" w:hAnsi="Arial"/>
                <w:sz w:val="14"/>
                <w:szCs w:val="14"/>
                <w:color w:val="auto"/>
              </w:rPr>
              <w:t>3.199 %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October 10, 2018</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July 1, 2020</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June 30, 2025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3.209 %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182"/>
        </w:trPr>
        <w:tc>
          <w:tcPr>
            <w:tcW w:w="196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18, 2018</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30, 2022</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31, 2027</w:t>
            </w:r>
          </w:p>
        </w:tc>
        <w:tc>
          <w:tcPr>
            <w:tcW w:w="1160" w:type="dxa"/>
            <w:vAlign w:val="bottom"/>
          </w:tcPr>
          <w:p>
            <w:pPr>
              <w:jc w:val="right"/>
              <w:spacing w:after="0"/>
              <w:rPr>
                <w:sz w:val="20"/>
                <w:szCs w:val="20"/>
                <w:color w:val="auto"/>
              </w:rPr>
            </w:pPr>
            <w:r>
              <w:rPr>
                <w:rFonts w:ascii="Arial" w:cs="Arial" w:eastAsia="Arial" w:hAnsi="Arial"/>
                <w:sz w:val="14"/>
                <w:szCs w:val="14"/>
                <w:color w:val="auto"/>
              </w:rPr>
              <w:t>2.885 %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18, 2018</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30, 2022</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31, 2027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2.867 %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182"/>
        </w:trPr>
        <w:tc>
          <w:tcPr>
            <w:tcW w:w="1960" w:type="dxa"/>
            <w:vAlign w:val="bottom"/>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15, 2020</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July 31, 2025</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31, 2027</w:t>
            </w:r>
          </w:p>
        </w:tc>
        <w:tc>
          <w:tcPr>
            <w:tcW w:w="1160" w:type="dxa"/>
            <w:vAlign w:val="bottom"/>
          </w:tcPr>
          <w:p>
            <w:pPr>
              <w:jc w:val="right"/>
              <w:spacing w:after="0"/>
              <w:rPr>
                <w:sz w:val="20"/>
                <w:szCs w:val="20"/>
                <w:color w:val="auto"/>
              </w:rPr>
            </w:pPr>
            <w:r>
              <w:rPr>
                <w:rFonts w:ascii="Arial" w:cs="Arial" w:eastAsia="Arial" w:hAnsi="Arial"/>
                <w:sz w:val="14"/>
                <w:szCs w:val="14"/>
                <w:color w:val="auto"/>
              </w:rPr>
              <w:t>1.415 %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23,742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15, 2020</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July 1, 2025</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31, 2027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1.404 %</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5,467</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1,475,000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56,712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22, 2023, the Company amended the Swiss Franc ("CHF")-denominated intercompany loan to partially settle CHF 20.0 million and extend the termination date to September 2024 and as a result, the Company terminated the cross-currency swap designated as cash flow hedge of an intercompany loan with aggregate notional amount of $48.5 million. Simultaneously, the Company entered into a cross-currency swap agreement to hedge a notional amount of CHF 28.5 million equivalent to $31.5 million of this amended intercompany loan into U.S. dollars. The loss recorded by the Company upon the settlement of the swap was not material for the period.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the following cross-currency rate swaps as of September 30, 2023 and December 31, 2022 (dollar amounts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September 30, 2023 December 31, 2022  September 30, 2023</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Effective Date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Fixed Rate</w:t>
            </w:r>
          </w:p>
        </w:tc>
        <w:tc>
          <w:tcPr>
            <w:tcW w:w="660" w:type="dxa"/>
            <w:vAlign w:val="bottom"/>
          </w:tcPr>
          <w:p>
            <w:pPr>
              <w:spacing w:after="0"/>
              <w:rPr>
                <w:sz w:val="11"/>
                <w:szCs w:val="11"/>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Aggregate Notional Amount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gridSpan w:val="2"/>
          </w:tcPr>
          <w:p>
            <w:pPr>
              <w:jc w:val="center"/>
              <w:ind w:left="142"/>
              <w:spacing w:after="0" w:line="133" w:lineRule="exact"/>
              <w:rPr>
                <w:sz w:val="20"/>
                <w:szCs w:val="20"/>
                <w:color w:val="auto"/>
              </w:rPr>
            </w:pPr>
            <w:r>
              <w:rPr>
                <w:rFonts w:ascii="Arial" w:cs="Arial" w:eastAsia="Arial" w:hAnsi="Arial"/>
                <w:sz w:val="14"/>
                <w:szCs w:val="14"/>
                <w:b w:val="1"/>
                <w:bCs w:val="1"/>
                <w:color w:val="auto"/>
                <w:w w:val="98"/>
              </w:rPr>
              <w:t>Fair Value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20" w:type="dxa"/>
            <w:vAlign w:val="bottom"/>
            <w:gridSpan w:val="2"/>
            <w:vMerge w:val="restart"/>
          </w:tcPr>
          <w:p>
            <w:pPr>
              <w:jc w:val="center"/>
              <w:ind w:left="142"/>
              <w:spacing w:after="0"/>
              <w:rPr>
                <w:sz w:val="20"/>
                <w:szCs w:val="20"/>
                <w:color w:val="auto"/>
              </w:rPr>
            </w:pPr>
            <w:r>
              <w:rPr>
                <w:rFonts w:ascii="Arial" w:cs="Arial" w:eastAsia="Arial" w:hAnsi="Arial"/>
                <w:sz w:val="14"/>
                <w:szCs w:val="14"/>
                <w:b w:val="1"/>
                <w:bCs w:val="1"/>
                <w:color w:val="auto"/>
                <w:w w:val="93"/>
              </w:rPr>
              <w:t>Asset (Liability)</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gridSpan w:val="2"/>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December 21, 2020</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December 22, 2025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84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356,886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374,137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(9,326)</w:t>
            </w:r>
          </w:p>
        </w:tc>
        <w:tc>
          <w:tcPr>
            <w:tcW w:w="6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3.98%</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CEEFF"/>
          </w:tcPr>
          <w:p>
            <w:pPr>
              <w:jc w:val="right"/>
              <w:ind w:right="581"/>
              <w:spacing w:after="0"/>
              <w:rPr>
                <w:sz w:val="20"/>
                <w:szCs w:val="20"/>
                <w:color w:val="auto"/>
              </w:rPr>
            </w:pPr>
            <w:r>
              <w:rPr>
                <w:rFonts w:ascii="Arial" w:cs="Arial" w:eastAsia="Arial" w:hAnsi="Arial"/>
                <w:sz w:val="16"/>
                <w:szCs w:val="16"/>
                <w:color w:val="auto"/>
              </w:rPr>
              <w:t>400,637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420,001</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2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September 28, 2022</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29, 2023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84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5.32%</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CEEFF"/>
          </w:tcPr>
          <w:p>
            <w:pPr>
              <w:jc w:val="right"/>
              <w:ind w:right="581"/>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49,142</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CHF</w:t>
            </w:r>
          </w:p>
        </w:tc>
        <w:tc>
          <w:tcPr>
            <w:tcW w:w="8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September 22, 2023</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29, 2024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84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rPr>
              <w:t>28,500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342</w:t>
            </w:r>
          </w:p>
        </w:tc>
        <w:tc>
          <w:tcPr>
            <w:tcW w:w="6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Receive U.S.$</w:t>
            </w:r>
          </w:p>
        </w:tc>
        <w:tc>
          <w:tcPr>
            <w:tcW w:w="8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6.27%</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vMerge w:val="restart"/>
            <w:shd w:val="clear" w:color="auto" w:fill="CCEEFF"/>
          </w:tcPr>
          <w:p>
            <w:pPr>
              <w:jc w:val="right"/>
              <w:ind w:right="581"/>
              <w:spacing w:after="0"/>
              <w:rPr>
                <w:sz w:val="20"/>
                <w:szCs w:val="20"/>
                <w:color w:val="auto"/>
              </w:rPr>
            </w:pPr>
            <w:r>
              <w:rPr>
                <w:rFonts w:ascii="Arial" w:cs="Arial" w:eastAsia="Arial" w:hAnsi="Arial"/>
                <w:sz w:val="16"/>
                <w:szCs w:val="16"/>
                <w:color w:val="auto"/>
              </w:rPr>
              <w:t>31,457</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40" w:type="dxa"/>
            <w:vAlign w:val="bottom"/>
            <w:vMerge w:val="continue"/>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Borders>
              <w:bottom w:val="single" w:sz="8" w:color="CCEEFF"/>
            </w:tcBorders>
            <w:gridSpan w:val="2"/>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(8,984)</w:t>
            </w:r>
          </w:p>
        </w:tc>
        <w:tc>
          <w:tcPr>
            <w:tcW w:w="66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cross-currency swaps are carried on the consolidated balance sheet at fair value, and changes in the fair values are recorded as unrealized gains or losses in AOCI. For the three and nine months ended September 30, 2023 the Company recorded gains of $15.3 million and $3.3 million, respectively, in other income, net related to change in fair value related to the foreign currency rate translation to offset the losses recognized on the intercompany loans. For the three and nine months ended September 30, 2022, the Company recorded gains of $16.5 million and $42.2 million, respectively, in other income, net related to change in fair value related to the foreign currency rate translation to offset the losses recognized on the intercompany loans.</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September 30, 2023, the Company recorded gains of $13.8 million and $3.1 million in AOCI, respectively, related to change in fair value of the cross-currency swaps. For the three and nine months ended September 30, 2022, the Company recorded a loss of $12.3 million and a gain of $33.8 million in AOCI, respectively, related to change in fair value of the cross-currency swaps.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2023, the Company recorded gains of $1.5 million and $4.4 million, respectively, in other income, net included in the consolidated statements of operations related to the interest rate differential of the cross-currency swaps. For the three and nine months ended September 30, 2022, the Company recorded gains of $1.1 million and $5.0 million, respectively, in other income, net included in the consolidated statements of operations related to the interest rate differential of the cross-currency swaps.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AOCI as of September 30, 2023 within the next twelve months is $4.2 million. As of September 30, 2023, the Company does not expect any gains or losses will be reclassified into earnings because the original forecasted transactions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September 30, 2023 and December 31, 2022, respectively (dollar amounts in thousands):</w:t>
      </w: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4"/>
                <w:szCs w:val="14"/>
                <w:b w:val="1"/>
                <w:bCs w:val="1"/>
                <w:color w:val="auto"/>
                <w:w w:val="96"/>
              </w:rPr>
              <w:t>September 30,</w:t>
            </w: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0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Fixed Rate</w:t>
            </w:r>
          </w:p>
        </w:tc>
        <w:tc>
          <w:tcPr>
            <w:tcW w:w="29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Aggregate Notional Amount</w:t>
            </w:r>
          </w:p>
        </w:tc>
        <w:tc>
          <w:tcPr>
            <w:tcW w:w="1720" w:type="dxa"/>
            <w:vAlign w:val="bottom"/>
            <w:gridSpan w:val="3"/>
          </w:tcPr>
          <w:p>
            <w:pPr>
              <w:jc w:val="center"/>
              <w:ind w:left="484"/>
              <w:spacing w:after="0" w:line="139" w:lineRule="exact"/>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920" w:type="dxa"/>
            <w:vAlign w:val="bottom"/>
            <w:gridSpan w:val="5"/>
            <w:vMerge w:val="continue"/>
          </w:tcPr>
          <w:p>
            <w:pPr>
              <w:spacing w:after="0"/>
              <w:rPr>
                <w:sz w:val="9"/>
                <w:szCs w:val="9"/>
                <w:color w:val="auto"/>
              </w:rPr>
            </w:pPr>
          </w:p>
        </w:tc>
        <w:tc>
          <w:tcPr>
            <w:tcW w:w="1720" w:type="dxa"/>
            <w:vAlign w:val="bottom"/>
            <w:gridSpan w:val="3"/>
            <w:vMerge w:val="restart"/>
          </w:tcPr>
          <w:p>
            <w:pPr>
              <w:jc w:val="center"/>
              <w:ind w:left="484"/>
              <w:spacing w:after="0"/>
              <w:rPr>
                <w:sz w:val="20"/>
                <w:szCs w:val="20"/>
                <w:color w:val="auto"/>
              </w:rPr>
            </w:pPr>
            <w:r>
              <w:rPr>
                <w:rFonts w:ascii="Arial" w:cs="Arial" w:eastAsia="Arial" w:hAnsi="Arial"/>
                <w:sz w:val="14"/>
                <w:szCs w:val="14"/>
                <w:b w:val="1"/>
                <w:bCs w:val="1"/>
                <w:color w:val="auto"/>
                <w:w w:val="95"/>
              </w:rPr>
              <w:t>Asset (Liability)</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gridSpan w:val="3"/>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Pay EUR</w:t>
            </w:r>
          </w:p>
        </w:tc>
        <w:tc>
          <w:tcPr>
            <w:tcW w:w="10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EUR</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2.57%</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Pay EUR</w:t>
            </w:r>
          </w:p>
        </w:tc>
        <w:tc>
          <w:tcPr>
            <w:tcW w:w="10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September 30, 2025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EUR</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38,820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2.19%</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45,000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Pay CHF</w:t>
            </w:r>
          </w:p>
        </w:tc>
        <w:tc>
          <w:tcPr>
            <w:tcW w:w="10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2"/>
              </w:rPr>
              <w:t>May 26, 2022</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December 16, 2028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CHF</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288,210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Receive U.S.$</w:t>
            </w:r>
          </w:p>
        </w:tc>
        <w:tc>
          <w:tcPr>
            <w:tcW w:w="10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1.94%</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300,000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(25,294)</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(14,663)</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tcBorders>
              <w:bottom w:val="single" w:sz="8" w:color="CCEEFF"/>
            </w:tcBorders>
            <w:gridSpan w:val="2"/>
          </w:tcPr>
          <w:p>
            <w:pPr>
              <w:spacing w:after="0"/>
              <w:rPr>
                <w:sz w:val="9"/>
                <w:szCs w:val="9"/>
                <w:color w:val="auto"/>
              </w:rPr>
            </w:pPr>
          </w:p>
        </w:tc>
        <w:tc>
          <w:tcPr>
            <w:tcW w:w="13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cross-currency swaps were carried on the consolidated balance sheet at fair value and changes in the fair values were recorded as unrealized gains or losses in AOCI. For the three and nine months ended September 30, 2023, the Company recorded a gain of $6.1 million and a loss of $4.1 million, respectively, in AOCI related to the change in fair value of the cross-currency swaps. For the three and nine months ended September 30, 2022, the Company recorded gains of $9.4 million and $21.5 million in AOCI, respectively, related to change in fair value of the cross-currency swaps.</w:t>
      </w:r>
    </w:p>
    <w:p>
      <w:pPr>
        <w:spacing w:after="0" w:line="4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three and nine months ended September 30, 2023, the Company recorded gains of $1.8 million and $6.0 million, respectively, in interest income included in the consolidated statements of operations related to the interest rate differential of the cross-currency swaps. For the three and nine months ended September 30, 2022, the Company recorded gains of $2.4 million and $4.7 million, respectively, in interest income included in the consolidated statements of operations related to the interest rate differential of the cross-currency swaps.</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estimated gain that is expected to be reclassified to interest income from AOCI as of September 30, 2023 within the next twelve months is $6.9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2023, the Company entered into foreign currency forward Contracts to mitigate the risk of foreign currency on intercompany purchases in CHF. These contracts typically settle at various dates within twelve months of execution. As of September 30, 2023 the notional amount of foreign currency forward contracts was $3.5 million. During the three and nine months ended September 30, 2023 the Company recorded gains of $0.1 million and $0.3 million, respectively in AOCI related to the change in fair value of the foreign currency forward contracts.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the company recorded a gain of $0.1 million and $0.4 million, respectively, in cost of goods sold included in the consolidated statements of operations related to the foreign currency forward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800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thousands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jc w:val="center"/>
        <w:ind w:right="500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jc w:val="center"/>
        <w:ind w:right="498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09803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designated as hedges —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980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expenses and other current liabilities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ind w:left="360"/>
        <w:spacing w:after="0"/>
        <w:rPr>
          <w:sz w:val="20"/>
          <w:szCs w:val="20"/>
          <w:color w:val="auto"/>
        </w:rPr>
      </w:pPr>
      <w:r>
        <w:rPr>
          <w:rFonts w:ascii="Arial" w:cs="Arial" w:eastAsia="Arial" w:hAnsi="Arial"/>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Foreign currency forward contracts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Cash Flow Hedges</w:t>
      </w:r>
    </w:p>
    <w:p>
      <w:pPr>
        <w:spacing w:after="0" w:line="21" w:lineRule="exact"/>
        <w:rPr>
          <w:sz w:val="20"/>
          <w:szCs w:val="20"/>
          <w:color w:val="auto"/>
        </w:rPr>
      </w:pPr>
    </w:p>
    <w:p>
      <w:pPr>
        <w:jc w:val="center"/>
        <w:ind w:right="500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18" w:lineRule="exact"/>
        <w:rPr>
          <w:sz w:val="20"/>
          <w:szCs w:val="20"/>
          <w:color w:val="auto"/>
        </w:rPr>
      </w:pPr>
    </w:p>
    <w:p>
      <w:pPr>
        <w:jc w:val="center"/>
        <w:ind w:right="498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Cross-currency swap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derivatives designated as hedges — Liabilities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2237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5"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4"/>
          <w:szCs w:val="14"/>
          <w:b w:val="1"/>
          <w:bCs w:val="1"/>
          <w:color w:val="auto"/>
        </w:rPr>
        <w:t>September 30, 2023</w:t>
      </w:r>
      <w:r>
        <w:rPr>
          <w:sz w:val="20"/>
          <w:szCs w:val="20"/>
          <w:color w:val="auto"/>
        </w:rPr>
        <w:tab/>
      </w:r>
      <w:r>
        <w:rPr>
          <w:rFonts w:ascii="Arial" w:cs="Arial" w:eastAsia="Arial" w:hAnsi="Arial"/>
          <w:sz w:val="13"/>
          <w:szCs w:val="13"/>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2237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160" w:val="left"/>
          <w:tab w:leader="none" w:pos="1780" w:val="left"/>
          <w:tab w:leader="none" w:pos="2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19,938</w:t>
        <w:tab/>
        <w:t>$</w:t>
      </w:r>
      <w:r>
        <w:rPr>
          <w:sz w:val="20"/>
          <w:szCs w:val="20"/>
          <w:color w:val="auto"/>
        </w:rPr>
        <w:tab/>
      </w:r>
      <w:r>
        <w:rPr>
          <w:rFonts w:ascii="Arial" w:cs="Arial" w:eastAsia="Arial" w:hAnsi="Arial"/>
          <w:sz w:val="14"/>
          <w:szCs w:val="14"/>
          <w:color w:val="auto"/>
        </w:rPr>
        <w:t>16,682</w:t>
      </w:r>
    </w:p>
    <w:p>
      <w:pPr>
        <w:spacing w:after="0" w:line="32" w:lineRule="exact"/>
        <w:rPr>
          <w:sz w:val="20"/>
          <w:szCs w:val="20"/>
          <w:color w:val="auto"/>
        </w:rPr>
      </w:pPr>
    </w:p>
    <w:p>
      <w:pPr>
        <w:ind w:left="1260"/>
        <w:spacing w:after="0"/>
        <w:tabs>
          <w:tab w:leader="none" w:pos="3060" w:val="left"/>
        </w:tabs>
        <w:rPr>
          <w:sz w:val="20"/>
          <w:szCs w:val="20"/>
          <w:color w:val="auto"/>
        </w:rPr>
      </w:pPr>
      <w:r>
        <w:rPr>
          <w:rFonts w:ascii="Arial" w:cs="Arial" w:eastAsia="Arial" w:hAnsi="Arial"/>
          <w:sz w:val="14"/>
          <w:szCs w:val="14"/>
          <w:color w:val="auto"/>
        </w:rPr>
        <w:t>4,242</w:t>
      </w:r>
      <w:r>
        <w:rPr>
          <w:sz w:val="20"/>
          <w:szCs w:val="20"/>
          <w:color w:val="auto"/>
        </w:rPr>
        <w:tab/>
      </w:r>
      <w:r>
        <w:rPr>
          <w:rFonts w:ascii="Arial" w:cs="Arial" w:eastAsia="Arial" w:hAnsi="Arial"/>
          <w:sz w:val="14"/>
          <w:szCs w:val="14"/>
          <w:color w:val="auto"/>
        </w:rPr>
        <w:t>4,497</w:t>
      </w:r>
    </w:p>
    <w:p>
      <w:pPr>
        <w:spacing w:after="0" w:line="271" w:lineRule="exact"/>
        <w:rPr>
          <w:sz w:val="20"/>
          <w:szCs w:val="20"/>
          <w:color w:val="auto"/>
        </w:rPr>
      </w:pPr>
    </w:p>
    <w:p>
      <w:pPr>
        <w:jc w:val="both"/>
        <w:ind w:left="1260"/>
        <w:spacing w:after="0"/>
        <w:tabs>
          <w:tab w:leader="none" w:pos="2980" w:val="left"/>
        </w:tabs>
        <w:rPr>
          <w:sz w:val="20"/>
          <w:szCs w:val="20"/>
          <w:color w:val="auto"/>
        </w:rPr>
      </w:pPr>
      <w:r>
        <w:rPr>
          <w:rFonts w:ascii="Arial" w:cs="Arial" w:eastAsia="Arial" w:hAnsi="Arial"/>
          <w:sz w:val="16"/>
          <w:szCs w:val="16"/>
          <w:color w:val="auto"/>
        </w:rPr>
        <w:t>2,380</w:t>
      </w:r>
      <w:r>
        <w:rPr>
          <w:sz w:val="20"/>
          <w:szCs w:val="20"/>
          <w:color w:val="auto"/>
        </w:rPr>
        <w:tab/>
      </w:r>
      <w:r>
        <w:rPr>
          <w:rFonts w:ascii="Arial" w:cs="Arial" w:eastAsia="Arial" w:hAnsi="Arial"/>
          <w:sz w:val="16"/>
          <w:szCs w:val="16"/>
          <w:color w:val="auto"/>
        </w:rPr>
        <w:t>11,653</w:t>
      </w:r>
    </w:p>
    <w:p>
      <w:pPr>
        <w:spacing w:after="0" w:line="200" w:lineRule="exact"/>
        <w:rPr>
          <w:sz w:val="20"/>
          <w:szCs w:val="20"/>
          <w:color w:val="auto"/>
        </w:rPr>
      </w:pPr>
    </w:p>
    <w:p>
      <w:pPr>
        <w:spacing w:after="0" w:line="264" w:lineRule="exact"/>
        <w:rPr>
          <w:sz w:val="20"/>
          <w:szCs w:val="20"/>
          <w:color w:val="auto"/>
        </w:rPr>
      </w:pPr>
    </w:p>
    <w:p>
      <w:pPr>
        <w:ind w:left="1180"/>
        <w:spacing w:after="0"/>
        <w:tabs>
          <w:tab w:leader="none" w:pos="2980" w:val="left"/>
        </w:tabs>
        <w:rPr>
          <w:sz w:val="20"/>
          <w:szCs w:val="20"/>
          <w:color w:val="auto"/>
        </w:rPr>
      </w:pPr>
      <w:r>
        <w:rPr>
          <w:rFonts w:ascii="Arial" w:cs="Arial" w:eastAsia="Arial" w:hAnsi="Arial"/>
          <w:sz w:val="14"/>
          <w:szCs w:val="14"/>
          <w:color w:val="auto"/>
        </w:rPr>
        <w:t>49,240</w:t>
      </w:r>
      <w:r>
        <w:rPr>
          <w:sz w:val="20"/>
          <w:szCs w:val="20"/>
          <w:color w:val="auto"/>
        </w:rPr>
        <w:tab/>
      </w:r>
      <w:r>
        <w:rPr>
          <w:rFonts w:ascii="Arial" w:cs="Arial" w:eastAsia="Arial" w:hAnsi="Arial"/>
          <w:sz w:val="14"/>
          <w:szCs w:val="14"/>
          <w:color w:val="auto"/>
        </w:rPr>
        <w:t>40,030</w:t>
      </w:r>
    </w:p>
    <w:p>
      <w:pPr>
        <w:spacing w:after="0" w:line="55" w:lineRule="exact"/>
        <w:rPr>
          <w:sz w:val="20"/>
          <w:szCs w:val="20"/>
          <w:color w:val="auto"/>
        </w:rPr>
      </w:pPr>
    </w:p>
    <w:p>
      <w:pPr>
        <w:ind w:left="1460"/>
        <w:spacing w:after="0"/>
        <w:tabs>
          <w:tab w:leader="none" w:pos="3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48" w:lineRule="exact"/>
        <w:rPr>
          <w:sz w:val="20"/>
          <w:szCs w:val="20"/>
          <w:color w:val="auto"/>
        </w:rPr>
      </w:pPr>
    </w:p>
    <w:p>
      <w:pPr>
        <w:jc w:val="both"/>
        <w:ind w:left="1260"/>
        <w:spacing w:after="0"/>
        <w:tabs>
          <w:tab w:leader="none" w:pos="3060" w:val="left"/>
        </w:tabs>
        <w:rPr>
          <w:sz w:val="20"/>
          <w:szCs w:val="20"/>
          <w:color w:val="auto"/>
        </w:rPr>
      </w:pPr>
      <w:r>
        <w:rPr>
          <w:rFonts w:ascii="Arial" w:cs="Arial" w:eastAsia="Arial" w:hAnsi="Arial"/>
          <w:sz w:val="16"/>
          <w:szCs w:val="16"/>
          <w:color w:val="auto"/>
        </w:rPr>
        <w:t>3,220</w:t>
      </w:r>
      <w:r>
        <w:rPr>
          <w:sz w:val="20"/>
          <w:szCs w:val="20"/>
          <w:color w:val="auto"/>
        </w:rPr>
        <w:tab/>
      </w:r>
      <w:r>
        <w:rPr>
          <w:rFonts w:ascii="Arial" w:cs="Arial" w:eastAsia="Arial" w:hAnsi="Arial"/>
          <w:sz w:val="16"/>
          <w:szCs w:val="16"/>
          <w:color w:val="auto"/>
        </w:rPr>
        <w:t>3,311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22371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6" w:lineRule="exact"/>
        <w:rPr>
          <w:sz w:val="20"/>
          <w:szCs w:val="20"/>
          <w:color w:val="auto"/>
        </w:rPr>
      </w:pPr>
    </w:p>
    <w:p>
      <w:pPr>
        <w:spacing w:after="0"/>
        <w:tabs>
          <w:tab w:leader="none" w:pos="1160" w:val="left"/>
          <w:tab w:leader="none" w:pos="1780" w:val="left"/>
          <w:tab w:leader="none" w:pos="2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79,020</w:t>
        <w:tab/>
        <w:t>$</w:t>
      </w:r>
      <w:r>
        <w:rPr>
          <w:sz w:val="20"/>
          <w:szCs w:val="20"/>
          <w:color w:val="auto"/>
        </w:rPr>
        <w:tab/>
      </w:r>
      <w:r>
        <w:rPr>
          <w:rFonts w:ascii="Arial" w:cs="Arial" w:eastAsia="Arial" w:hAnsi="Arial"/>
          <w:sz w:val="14"/>
          <w:szCs w:val="14"/>
          <w:color w:val="auto"/>
        </w:rPr>
        <w:t>76,173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22371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1360" w:val="left"/>
          <w:tab w:leader="none" w:pos="1780" w:val="left"/>
          <w:tab w:leader="none" w:pos="3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663</w:t>
        <w:tab/>
        <w:t>$</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1460"/>
        <w:spacing w:after="0"/>
        <w:tabs>
          <w:tab w:leader="none" w:pos="30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3,528</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127</w:t>
      </w:r>
    </w:p>
    <w:p>
      <w:pPr>
        <w:spacing w:after="0" w:line="248" w:lineRule="exact"/>
        <w:rPr>
          <w:sz w:val="20"/>
          <w:szCs w:val="20"/>
          <w:color w:val="auto"/>
        </w:rPr>
      </w:pPr>
    </w:p>
    <w:p>
      <w:pPr>
        <w:ind w:left="1460"/>
        <w:spacing w:after="0"/>
        <w:tabs>
          <w:tab w:leader="none" w:pos="3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ind w:left="1260"/>
        <w:spacing w:after="0"/>
        <w:tabs>
          <w:tab w:leader="none" w:pos="3260" w:val="left"/>
        </w:tabs>
        <w:rPr>
          <w:sz w:val="20"/>
          <w:szCs w:val="20"/>
          <w:color w:val="auto"/>
        </w:rPr>
      </w:pPr>
      <w:r>
        <w:rPr>
          <w:rFonts w:ascii="Arial" w:cs="Arial" w:eastAsia="Arial" w:hAnsi="Arial"/>
          <w:sz w:val="16"/>
          <w:szCs w:val="16"/>
          <w:color w:val="auto"/>
        </w:rPr>
        <w:t>1,261</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1180"/>
        <w:spacing w:after="0"/>
        <w:tabs>
          <w:tab w:leader="none" w:pos="3060" w:val="left"/>
        </w:tabs>
        <w:rPr>
          <w:sz w:val="20"/>
          <w:szCs w:val="20"/>
          <w:color w:val="auto"/>
        </w:rPr>
      </w:pPr>
      <w:r>
        <w:rPr>
          <w:rFonts w:ascii="Arial" w:cs="Arial" w:eastAsia="Arial" w:hAnsi="Arial"/>
          <w:sz w:val="14"/>
          <w:szCs w:val="14"/>
          <w:color w:val="auto"/>
        </w:rPr>
        <w:t>13,226</w:t>
      </w:r>
      <w:r>
        <w:rPr>
          <w:sz w:val="20"/>
          <w:szCs w:val="20"/>
          <w:color w:val="auto"/>
        </w:rPr>
        <w:tab/>
      </w:r>
      <w:r>
        <w:rPr>
          <w:rFonts w:ascii="Arial" w:cs="Arial" w:eastAsia="Arial" w:hAnsi="Arial"/>
          <w:sz w:val="14"/>
          <w:szCs w:val="14"/>
          <w:color w:val="auto"/>
        </w:rPr>
        <w:t>8,738</w:t>
      </w:r>
    </w:p>
    <w:p>
      <w:pPr>
        <w:spacing w:after="0" w:line="271" w:lineRule="exact"/>
        <w:rPr>
          <w:sz w:val="20"/>
          <w:szCs w:val="20"/>
          <w:color w:val="auto"/>
        </w:rPr>
      </w:pPr>
    </w:p>
    <w:p>
      <w:pPr>
        <w:ind w:left="1180"/>
        <w:spacing w:after="0"/>
        <w:tabs>
          <w:tab w:leader="none" w:pos="2980" w:val="left"/>
        </w:tabs>
        <w:rPr>
          <w:sz w:val="20"/>
          <w:szCs w:val="20"/>
          <w:color w:val="auto"/>
        </w:rPr>
      </w:pPr>
      <w:r>
        <w:rPr>
          <w:rFonts w:ascii="Arial" w:cs="Arial" w:eastAsia="Arial" w:hAnsi="Arial"/>
          <w:sz w:val="14"/>
          <w:szCs w:val="14"/>
          <w:color w:val="auto"/>
        </w:rPr>
        <w:t>26,671</w:t>
      </w:r>
      <w:r>
        <w:rPr>
          <w:sz w:val="20"/>
          <w:szCs w:val="20"/>
          <w:color w:val="auto"/>
        </w:rPr>
        <w:tab/>
      </w:r>
      <w:r>
        <w:rPr>
          <w:rFonts w:ascii="Arial" w:cs="Arial" w:eastAsia="Arial" w:hAnsi="Arial"/>
          <w:sz w:val="14"/>
          <w:szCs w:val="14"/>
          <w:color w:val="auto"/>
        </w:rPr>
        <w:t>20,608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22371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49" w:lineRule="exact"/>
        <w:rPr>
          <w:sz w:val="20"/>
          <w:szCs w:val="20"/>
          <w:color w:val="auto"/>
        </w:rPr>
      </w:pPr>
    </w:p>
    <w:p>
      <w:pPr>
        <w:spacing w:after="0"/>
        <w:tabs>
          <w:tab w:leader="none" w:pos="1160" w:val="left"/>
          <w:tab w:leader="none" w:pos="1780" w:val="left"/>
          <w:tab w:leader="none" w:pos="2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41,948</w:t>
        <w:tab/>
        <w:t>$</w:t>
      </w:r>
      <w:r>
        <w:rPr>
          <w:sz w:val="20"/>
          <w:szCs w:val="20"/>
          <w:color w:val="auto"/>
        </w:rPr>
        <w:tab/>
      </w:r>
      <w:r>
        <w:rPr>
          <w:rFonts w:ascii="Arial" w:cs="Arial" w:eastAsia="Arial" w:hAnsi="Arial"/>
          <w:sz w:val="14"/>
          <w:szCs w:val="14"/>
          <w:color w:val="auto"/>
        </w:rPr>
        <w:t>32,874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22371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43815</wp:posOffset>
            </wp:positionV>
            <wp:extent cx="22371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spacing w:after="0" w:line="17"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Company classifies derivative assets and liabilities as current based on the cash flows expected to be incurred within the following 12 months.</w:t>
      </w:r>
    </w:p>
    <w:p>
      <w:pPr>
        <w:ind w:left="180" w:hanging="172"/>
        <w:spacing w:after="0" w:line="223" w:lineRule="auto"/>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At September 30, 2023 and December 31, 2022, the total notional amounts related to the Company’s interest rate swaps were both $1.5 billion, respectively.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condensed consolidated statement of operations during the three and nine months ended September 30, 2023 and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Balance in AOCI</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5"/>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88"/>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5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rPr>
              <w:t>AOCI into</w:t>
            </w:r>
          </w:p>
        </w:tc>
        <w:tc>
          <w:tcPr>
            <w:tcW w:w="108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05"/>
        </w:trPr>
        <w:tc>
          <w:tcPr>
            <w:tcW w:w="350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2023</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67,254</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13,796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(20,476)</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32"/>
        </w:trPr>
        <w:tc>
          <w:tcPr>
            <w:tcW w:w="140" w:type="dxa"/>
            <w:vAlign w:val="bottom"/>
            <w:shd w:val="clear" w:color="auto" w:fill="CCEEFF"/>
          </w:tcPr>
          <w:p>
            <w:pPr>
              <w:spacing w:after="0"/>
              <w:rPr>
                <w:sz w:val="20"/>
                <w:szCs w:val="20"/>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Foreign Currency Forward Contract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6,051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35,262</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22,170</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29,706</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2022</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60,604</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12,332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(23,130)</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8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2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9,403</w:t>
            </w: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2,378</w:t>
            </w:r>
          </w:p>
        </w:tc>
        <w:tc>
          <w:tcPr>
            <w:tcW w:w="1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14,531</w:t>
            </w:r>
          </w:p>
        </w:tc>
        <w:tc>
          <w:tcPr>
            <w:tcW w:w="100" w:type="dxa"/>
            <w:vAlign w:val="bottom"/>
            <w:tcBorders>
              <w:top w:val="single" w:sz="8" w:color="CCEEFF"/>
              <w:bottom w:val="single" w:sz="8" w:color="CCEEFF"/>
            </w:tcBorders>
          </w:tcPr>
          <w:p>
            <w:pPr>
              <w:spacing w:after="0"/>
              <w:rPr>
                <w:sz w:val="18"/>
                <w:szCs w:val="18"/>
                <w:color w:val="auto"/>
              </w:rPr>
            </w:pPr>
          </w:p>
        </w:tc>
        <w:tc>
          <w:tcPr>
            <w:tcW w:w="196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54,674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52,005</w:t>
            </w: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Balance in AOCI</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5"/>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88"/>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5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rPr>
              <w:t>AOCI into</w:t>
            </w:r>
          </w:p>
        </w:tc>
        <w:tc>
          <w:tcPr>
            <w:tcW w:w="108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End of Quarter</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05"/>
        </w:trPr>
        <w:tc>
          <w:tcPr>
            <w:tcW w:w="3500" w:type="dxa"/>
            <w:vAlign w:val="bottom"/>
            <w:gridSpan w:val="4"/>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2023</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67,254</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(20,476)</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w w:val="96"/>
              </w:rPr>
              <w:t>Other income (expense),net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22,858</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22,679</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29,706</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60,604</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Arial" w:cs="Arial" w:eastAsia="Arial" w:hAnsi="Arial"/>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(23,130)</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w w:val="94"/>
              </w:rPr>
              <w:t>Other income (expense), net</w:t>
            </w:r>
          </w:p>
        </w:tc>
        <w:tc>
          <w:tcPr>
            <w:tcW w:w="0" w:type="dxa"/>
            <w:vAlign w:val="bottom"/>
          </w:tcPr>
          <w:p>
            <w:pPr>
              <w:spacing w:after="0"/>
              <w:rPr>
                <w:sz w:val="1"/>
                <w:szCs w:val="1"/>
                <w:color w:val="auto"/>
              </w:rPr>
            </w:pPr>
          </w:p>
        </w:tc>
      </w:tr>
      <w:tr>
        <w:trPr>
          <w:trHeight w:val="199"/>
        </w:trPr>
        <w:tc>
          <w:tcPr>
            <w:tcW w:w="140" w:type="dxa"/>
            <w:vAlign w:val="bottom"/>
            <w:shd w:val="clear" w:color="auto" w:fill="CCEEFF"/>
          </w:tcPr>
          <w:p>
            <w:pPr>
              <w:spacing w:after="0"/>
              <w:rPr>
                <w:sz w:val="17"/>
                <w:szCs w:val="17"/>
                <w:color w:val="auto"/>
              </w:rPr>
            </w:pPr>
          </w:p>
        </w:tc>
        <w:tc>
          <w:tcPr>
            <w:tcW w:w="336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0" w:type="dxa"/>
            <w:vAlign w:val="bottom"/>
            <w:tcBorders>
              <w:top w:val="single" w:sz="8" w:color="CCEEFF"/>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gridSpan w:val="2"/>
          </w:tcPr>
          <w:p>
            <w:pPr>
              <w:ind w:left="80"/>
              <w:spacing w:after="0"/>
              <w:rPr>
                <w:sz w:val="20"/>
                <w:szCs w:val="20"/>
                <w:color w:val="auto"/>
              </w:rPr>
            </w:pPr>
            <w:r>
              <w:rPr>
                <w:rFonts w:ascii="Arial" w:cs="Arial" w:eastAsia="Arial" w:hAnsi="Arial"/>
                <w:sz w:val="16"/>
                <w:szCs w:val="16"/>
                <w:color w:val="auto"/>
                <w:w w:val="94"/>
              </w:rPr>
              <w:t>Cross-currency swap</w:t>
            </w:r>
          </w:p>
        </w:tc>
        <w:tc>
          <w:tcPr>
            <w:tcW w:w="18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3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220" w:type="dxa"/>
            <w:vAlign w:val="bottom"/>
            <w:tcBorders>
              <w:top w:val="single" w:sz="8" w:color="CCEEFF"/>
              <w:bottom w:val="single" w:sz="8" w:color="auto"/>
            </w:tcBorders>
          </w:tcPr>
          <w:p>
            <w:pPr>
              <w:jc w:val="right"/>
              <w:ind w:right="1"/>
              <w:spacing w:after="0"/>
              <w:rPr>
                <w:sz w:val="20"/>
                <w:szCs w:val="20"/>
                <w:color w:val="auto"/>
              </w:rPr>
            </w:pPr>
            <w:r>
              <w:rPr>
                <w:rFonts w:ascii="Arial" w:cs="Arial" w:eastAsia="Arial" w:hAnsi="Arial"/>
                <w:sz w:val="16"/>
                <w:szCs w:val="16"/>
                <w:color w:val="auto"/>
              </w:rPr>
              <w:t>21,528</w:t>
            </w: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4,676</w:t>
            </w:r>
          </w:p>
        </w:tc>
        <w:tc>
          <w:tcPr>
            <w:tcW w:w="1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14,531</w:t>
            </w:r>
          </w:p>
        </w:tc>
        <w:tc>
          <w:tcPr>
            <w:tcW w:w="100" w:type="dxa"/>
            <w:vAlign w:val="bottom"/>
            <w:tcBorders>
              <w:top w:val="single" w:sz="8" w:color="CCEEFF"/>
              <w:bottom w:val="single" w:sz="8" w:color="CCEEFF"/>
            </w:tcBorders>
          </w:tcPr>
          <w:p>
            <w:pPr>
              <w:spacing w:after="0"/>
              <w:rPr>
                <w:sz w:val="18"/>
                <w:szCs w:val="18"/>
                <w:color w:val="auto"/>
              </w:rPr>
            </w:pPr>
          </w:p>
        </w:tc>
        <w:tc>
          <w:tcPr>
            <w:tcW w:w="196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150,041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52,005</w:t>
            </w: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not designated hedges: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2021, the Company entered into a foreign currency swap, with a notional amount of $7.3 millions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$5.5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gains (losses) of derivative instruments not designated as hedges on the condensed consolidated statements of income, which was included in other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8"/>
                <w:szCs w:val="18"/>
                <w:color w:val="auto"/>
              </w:rPr>
            </w:pPr>
          </w:p>
        </w:tc>
        <w:tc>
          <w:tcPr>
            <w:tcW w:w="33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210"/>
        </w:trPr>
        <w:tc>
          <w:tcPr>
            <w:tcW w:w="4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swaps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2023,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Plans vests over specified periods, generally three years after the date of grant. The vesting of performance stock issued under the 2003 Plans is subject to service and performance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there were approximately $4.3 million of total unrecognized compensation costs related to unvested stock options. These costs are expected to be recognized over a weighted-average period of approximately three years. There were 151,293 stock options granted during the nine months ended September 30, 2023. For the nine months ended September 30, 2023, the weighted average grant date fair value for stock options granted was $21.58 per option.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September 30, 2023, there was approximately $37.7 million of total unrecognized compensation costs related to these unvested awards. The Company expects to recognize these costs over a weighted-average period of approximately two years. The Company granted 466,636 restricted stock awards and 161,218 performance stock awards during the nine months ended September 30, 2023. For the nine months ended September 30, 2023, the weighted average grant date fair value for restricted stock awards and performance stock units granted was $51.24 and $52.87 per award, respectively.</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nine months ended September 30, 2023 were $0.3 million and $0.9 million. The components of the net periodic benefit costs other than the service cost component of $0.5 million and $1.6 million for the three and nine months ended September 30, 2023 are included in other income, net in the consolidated statements of operations.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nine months ended September 30, 2022 were $0.3 million and $0.8 million. The components of the net periodic benefit costs other than the service cost component of $0.6 million and $1.9 million for the three and nine months ended September 30, 2022 are included in other income,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$38.2 million and $38.1 million as of September 30, 2023 and December 31, 2022, respectively. The net plan assets of the pension plans are invested in common trusts as of September 30, 2023 and December 31, 2022.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$5.4 million and $4.7 million as of September 30, 2023 and December 31, 2022, respectively. Offsetting liabilities relating to the deferred compensation plan are included in other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administrative, manufacturing, research and distribution facilities and vehicles through operating lease agreements. The Company has no finance leases as of September 30, 2023.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lease expense for the nine months ended September 30, 2023 and September 30, 2022 was $17.9 million and $16.6 million respectively, which includes $0.2 million, in related party operating lease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Dollars in thousands, except lease term and discount rate</w:t>
            </w:r>
          </w:p>
        </w:tc>
        <w:tc>
          <w:tcPr>
            <w:tcW w:w="320" w:type="dxa"/>
            <w:vAlign w:val="bottom"/>
          </w:tcPr>
          <w:p>
            <w:pPr>
              <w:spacing w:after="0"/>
              <w:rPr>
                <w:sz w:val="16"/>
                <w:szCs w:val="16"/>
                <w:color w:val="auto"/>
              </w:rPr>
            </w:pP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6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156,760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148,284</w:t>
            </w:r>
          </w:p>
        </w:tc>
      </w:tr>
      <w:tr>
        <w:trPr>
          <w:trHeight w:val="270"/>
        </w:trPr>
        <w:tc>
          <w:tcPr>
            <w:tcW w:w="6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14,461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14,624</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168,017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157,420</w:t>
            </w:r>
          </w:p>
        </w:tc>
      </w:tr>
      <w:tr>
        <w:trPr>
          <w:trHeight w:val="238"/>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182,478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172,044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32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6"/>
                <w:szCs w:val="16"/>
                <w:color w:val="auto"/>
              </w:rPr>
              <w:t>16.6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16.9 years</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years</w:t>
            </w:r>
          </w:p>
        </w:tc>
      </w:tr>
      <w:tr>
        <w:trPr>
          <w:trHeight w:val="270"/>
        </w:trPr>
        <w:tc>
          <w:tcPr>
            <w:tcW w:w="6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Leased facilities</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Leased vehicles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nine months ended September 30, 2023 and 2022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4"/>
              </w:rPr>
              <w:t>September 30, 2022</w:t>
            </w:r>
          </w:p>
        </w:tc>
        <w:tc>
          <w:tcPr>
            <w:tcW w:w="0" w:type="dxa"/>
            <w:vAlign w:val="bottom"/>
          </w:tcPr>
          <w:p>
            <w:pPr>
              <w:spacing w:after="0"/>
              <w:rPr>
                <w:sz w:val="1"/>
                <w:szCs w:val="1"/>
                <w:color w:val="auto"/>
              </w:rPr>
            </w:pPr>
          </w:p>
        </w:tc>
      </w:tr>
      <w:tr>
        <w:trPr>
          <w:trHeight w:val="54"/>
        </w:trPr>
        <w:tc>
          <w:tcPr>
            <w:tcW w:w="78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14,778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12,804</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ROU assets obtained in exchange for lease liabilities: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September 30,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6"/>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5,489</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22,117</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21,264</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18,443</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18,197</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16,036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173,981</w:t>
            </w:r>
          </w:p>
        </w:tc>
      </w:tr>
      <w:tr>
        <w:trPr>
          <w:trHeight w:val="212"/>
        </w:trPr>
        <w:tc>
          <w:tcPr>
            <w:tcW w:w="6460" w:type="dxa"/>
            <w:vAlign w:val="bottom"/>
          </w:tcPr>
          <w:p>
            <w:pPr>
              <w:ind w:left="20"/>
              <w:spacing w:after="0"/>
              <w:rPr>
                <w:sz w:val="20"/>
                <w:szCs w:val="20"/>
                <w:color w:val="auto"/>
              </w:rPr>
            </w:pPr>
            <w:r>
              <w:rPr>
                <w:rFonts w:ascii="Arial" w:cs="Arial" w:eastAsia="Arial" w:hAnsi="Arial"/>
                <w:sz w:val="16"/>
                <w:szCs w:val="16"/>
                <w:color w:val="auto"/>
              </w:rPr>
              <w:t>Total minimum lease payments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273,727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275,527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93,049</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182,478</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w:t>
            </w:r>
          </w:p>
        </w:tc>
      </w:tr>
      <w:tr>
        <w:trPr>
          <w:trHeight w:val="210"/>
        </w:trPr>
        <w:tc>
          <w:tcPr>
            <w:tcW w:w="6460" w:type="dxa"/>
            <w:vAlign w:val="bottom"/>
          </w:tcPr>
          <w:p>
            <w:pPr>
              <w:ind w:left="20"/>
              <w:spacing w:after="0"/>
              <w:rPr>
                <w:sz w:val="20"/>
                <w:szCs w:val="20"/>
                <w:color w:val="auto"/>
              </w:rPr>
            </w:pPr>
            <w:r>
              <w:rPr>
                <w:rFonts w:ascii="Arial" w:cs="Arial" w:eastAsia="Arial" w:hAnsi="Arial"/>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168,017</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finance leases at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its manufacturing facility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there were 11.8 million and 6.8 million shares of treasury stock outstanding with a cost of $612.8 million and $362.9 million, at a weighted average cost per share of $51.83 and $53.18, respectively.</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15, 2023, the Company entered into a $125 million accelerated share repurchase ("August 2023 ASR") and received 2.3 million shares of the common stock at inception of the August 2023 ASR, which represented approximately 80% of the expected total shares under the August 2023 ASR. On October 18, 2023 the early exercise provision was exercised by the August 2023 ASR counterparty. The Company received an additional 0.9 million shares determined using the volume-weighted average price of the Company's common stock during the term of the August 2023 ASR.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January 26, 2023, the Company entered into a $150 million accelerated share repurchase ("January 2023 ASR") and received 2.1 million shares of common stock at inception of the January 2023 ASR, which represented approximately 80% of the expected total shares under the January 2023 ASR. The settlement of the January ASR agreement was completed in two separate transactions on April 26, 2023 and May 4, 2023, where the Company received an additional 0.30 million and 0.31 million shares respectively, determined using the volume-weighted average price of the Company's common stock during the term of the January 2023 ASR.</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16, 2022, the Inflation Reduction Act of 2022 (the “Act”) was signed into law. The Act implements a new excise tax of 1% on the net share repurchases made by the Company effective for share repurchases performed January 1, 2023, or after. The Company accrued $2.5 million of excise tax related to the two ASR agreements during 2023.</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July 18, 2023, the Board of Directors authorized a new $225 million share repurchase program, replacing the existing $225 million program authorized in April 2022, and of which $75 million remained authorized at the time of its replacement. The program authorized in July 2023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12, 2022, the Company entered into a $125 million accelerated share repurchase ("2022 ASR") and received 1.48 million shares of Company common stock at inception of the 2022 ASR, which represented approximately 80% of the expected total shares under the 2022 ASR. On March 24, 2022, the early exercise provision under the 2022 ASR was exercised by 2022 ASR counterparty. Upon settlement on March 24, 2022, the Company received an additional 0.46 million shares determined using the volume-weighted average price of the Company's common stock during the term of the 2022 ASR.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3"/>
          </w:tcPr>
          <w:p>
            <w:pPr>
              <w:jc w:val="right"/>
              <w:ind w:right="604"/>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260" w:type="dxa"/>
            <w:vAlign w:val="bottom"/>
            <w:gridSpan w:val="2"/>
          </w:tcPr>
          <w:p>
            <w:pPr>
              <w:spacing w:after="0"/>
              <w:rPr>
                <w:sz w:val="2"/>
                <w:szCs w:val="2"/>
                <w:color w:val="auto"/>
              </w:rPr>
            </w:pPr>
          </w:p>
        </w:tc>
        <w:tc>
          <w:tcPr>
            <w:tcW w:w="18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8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2022</w:t>
            </w:r>
          </w:p>
        </w:tc>
      </w:tr>
      <w:tr>
        <w:trPr>
          <w:trHeight w:val="23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Reported tax rate</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effective income tax rates for the three months ended September 30, 2023 and 2022 were (4.8)% and 15.1%, respectively. For the three months ended September 30, 2023, the primary drivers of the lower tax rate relate to a reduction to book income in higher-taxed jurisdictions and a $3.3 million benefit related to the filing of prior year tax returns.</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effective income tax rates for the nine months ended September 30, 2023 and 2022 were 8.2% and 14.8%, respectively. For the nine months ended September 30, 2023, the primary drivers of the lower tax rate relate to a reduction to book income in higher-taxed jurisdictions and a $3.8 million benefit related to the filing of prior year tax returns.. The lower rate from the nine months ended September 30, 2022 was primarily due to a $5.5 million benefit related to excess tax benefits from stock compensation.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Changes to income tax laws and regulations, in any of the tax jurisdictions in which the Company operates, could impact the effective tax rate. Various governments, both U.S. and non-U.S., are increasingly focused on tax reform and revenue-raising legislation. Further, legislation in foreign jurisdictions may be enacted, in response to the base erosion and profit-sharing project begun by the Organization for Economic Cooperation and Development ("OECD"). The OECD recently finalized major reform of the international tax system with respect to a global minimum tax rate. Such changes in U.S. and non-U.S. jurisdictions could have an adverse effect on the Company’s effective tax rate.</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September 30, 2023,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there is no material cost to bring the earnings back to the United States. Reinvestment considerations would include future acquisitions, transactions, and capital expenditure plans.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gridSpan w:val="3"/>
            <w:vMerge w:val="restart"/>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w w:val="89"/>
              </w:rPr>
              <w:t>Basic net income per share:</w:t>
            </w:r>
          </w:p>
        </w:tc>
        <w:tc>
          <w:tcPr>
            <w:tcW w:w="33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19,497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49,915</w:t>
            </w:r>
          </w:p>
        </w:tc>
        <w:tc>
          <w:tcPr>
            <w:tcW w:w="1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47,907</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127,604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Diluted net income per share:</w:t>
            </w:r>
          </w:p>
        </w:tc>
        <w:tc>
          <w:tcPr>
            <w:tcW w:w="3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19,497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49,915</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47,907</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127,604</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Weighted average common shares outstanding — Basic</w:t>
            </w:r>
          </w:p>
        </w:tc>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79,690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83,042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80,842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82,955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dilutive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Stock options and restricted stock</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common shares for diluted earnings per share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w:t>
      </w:r>
    </w:p>
    <w:p>
      <w:pPr>
        <w:spacing w:after="0" w:line="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Common stock of approximately 0.6 million and 0.3 million shares at September 30, 2023, and 2022, respectively that are issuable through exercise of dilutive securities were not included in the computation of diluted net income per share because their effect would have been anti-dilutive.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September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127,604</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(45,142)</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loss/(gain) on derivatives, net of tax</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82,957</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Pension liability adjustment, net of tax</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5"/>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165,320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2022 and September 30, 2023 are presented in the table below, net of tax: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Gains and Losses</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 Benefit</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4"/>
                <w:szCs w:val="14"/>
                <w:color w:val="auto"/>
              </w:rPr>
            </w:pPr>
          </w:p>
        </w:tc>
        <w:tc>
          <w:tcPr>
            <w:tcW w:w="9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Pension Items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10,265</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Arial" w:cs="Arial" w:eastAsia="Arial" w:hAnsi="Arial"/>
                <w:sz w:val="16"/>
                <w:szCs w:val="16"/>
                <w:color w:val="auto"/>
              </w:rPr>
              <w:t>Other comprehensive gain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8,969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17,489</w:t>
            </w:r>
          </w:p>
        </w:tc>
        <w:tc>
          <w:tcPr>
            <w:tcW w:w="0" w:type="dxa"/>
            <w:vAlign w:val="bottom"/>
          </w:tcPr>
          <w:p>
            <w:pPr>
              <w:spacing w:after="0"/>
              <w:rPr>
                <w:sz w:val="1"/>
                <w:szCs w:val="1"/>
                <w:color w:val="auto"/>
              </w:rPr>
            </w:pPr>
          </w:p>
        </w:tc>
      </w:tr>
      <w:tr>
        <w:trPr>
          <w:trHeight w:val="213"/>
        </w:trPr>
        <w:tc>
          <w:tcPr>
            <w:tcW w:w="6280" w:type="dxa"/>
            <w:vAlign w:val="bottom"/>
          </w:tcPr>
          <w:p>
            <w:pPr>
              <w:ind w:left="400"/>
              <w:spacing w:after="0"/>
              <w:rPr>
                <w:sz w:val="20"/>
                <w:szCs w:val="20"/>
                <w:color w:val="auto"/>
              </w:rPr>
            </w:pPr>
            <w:r>
              <w:rPr>
                <w:rFonts w:ascii="Arial" w:cs="Arial" w:eastAsia="Arial" w:hAnsi="Arial"/>
                <w:sz w:val="16"/>
                <w:szCs w:val="16"/>
                <w:color w:val="auto"/>
              </w:rPr>
              <w:t>Net current-period other comprehensive gain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(8,520)</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22,929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the Company reclassified a gain of $17.5 million from accumulated other comprehensive income to other income, net and interest income,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3"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38"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TT segment includes such offerings as skin and wound repair, plastics &amp; surgical reconstruction products, bone grafts, and nerve and tendon repair products.</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nine months ended September 30, 2023 and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3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268,205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249,796</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787,371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754,967</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135,395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357,163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404,677</w:t>
            </w:r>
          </w:p>
        </w:tc>
        <w:tc>
          <w:tcPr>
            <w:tcW w:w="0" w:type="dxa"/>
            <w:vAlign w:val="bottom"/>
          </w:tcPr>
          <w:p>
            <w:pPr>
              <w:spacing w:after="0"/>
              <w:rPr>
                <w:sz w:val="1"/>
                <w:szCs w:val="1"/>
                <w:color w:val="auto"/>
              </w:rPr>
            </w:pPr>
          </w:p>
        </w:tc>
      </w:tr>
      <w:tr>
        <w:trPr>
          <w:trHeight w:val="206"/>
        </w:trPr>
        <w:tc>
          <w:tcPr>
            <w:tcW w:w="37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382,421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385,191</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1,144,534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1,159,644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Segment Profit</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360"/>
              <w:spacing w:after="0"/>
              <w:rPr>
                <w:sz w:val="20"/>
                <w:szCs w:val="20"/>
                <w:color w:val="auto"/>
              </w:rPr>
            </w:pPr>
            <w:r>
              <w:rPr>
                <w:rFonts w:ascii="Arial" w:cs="Arial" w:eastAsia="Arial" w:hAnsi="Arial"/>
                <w:sz w:val="16"/>
                <w:szCs w:val="16"/>
                <w:color w:val="auto"/>
              </w:rPr>
              <w:t>Codman Specialty Surgical</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105,170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105,717</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332,444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308,073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Tissue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59,754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175,273</w:t>
            </w:r>
          </w:p>
        </w:tc>
        <w:tc>
          <w:tcPr>
            <w:tcW w:w="0" w:type="dxa"/>
            <w:vAlign w:val="bottom"/>
          </w:tcPr>
          <w:p>
            <w:pPr>
              <w:spacing w:after="0"/>
              <w:rPr>
                <w:sz w:val="1"/>
                <w:szCs w:val="1"/>
                <w:color w:val="auto"/>
              </w:rPr>
            </w:pPr>
          </w:p>
        </w:tc>
      </w:tr>
      <w:tr>
        <w:trPr>
          <w:trHeight w:val="206"/>
        </w:trPr>
        <w:tc>
          <w:tcPr>
            <w:tcW w:w="3720" w:type="dxa"/>
            <w:vAlign w:val="bottom"/>
          </w:tcPr>
          <w:p>
            <w:pPr>
              <w:ind w:left="360"/>
              <w:spacing w:after="0"/>
              <w:rPr>
                <w:sz w:val="20"/>
                <w:szCs w:val="20"/>
                <w:color w:val="auto"/>
              </w:rPr>
            </w:pPr>
            <w:r>
              <w:rPr>
                <w:rFonts w:ascii="Arial" w:cs="Arial" w:eastAsia="Arial" w:hAnsi="Arial"/>
                <w:sz w:val="16"/>
                <w:szCs w:val="16"/>
                <w:color w:val="auto"/>
              </w:rPr>
              <w:t>Segment profit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136,959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165,471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424,576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483,346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(10,339)</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(107,158)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(97,281)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(301,927)</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65,049</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75,479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171,080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269,838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282,016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832,714</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Europe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41,524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38,301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120,040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128,907</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133,856</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 of World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22,282</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22,100</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64,167</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382,421</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385,191</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1,144,534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1,159,644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September 12, 2023, a securities class action complaint, captioned </w:t>
      </w:r>
      <w:r>
        <w:rPr>
          <w:rFonts w:ascii="Arial" w:cs="Arial" w:eastAsia="Arial" w:hAnsi="Arial"/>
          <w:sz w:val="17"/>
          <w:szCs w:val="17"/>
          <w:i w:val="1"/>
          <w:iCs w:val="1"/>
          <w:color w:val="auto"/>
        </w:rPr>
        <w:t>Pembroke Pines Firefighters &amp; Police Officers Pension Fund v. Integra LifeSciences</w:t>
      </w:r>
      <w:r>
        <w:rPr>
          <w:rFonts w:ascii="Arial" w:cs="Arial" w:eastAsia="Arial" w:hAnsi="Arial"/>
          <w:sz w:val="17"/>
          <w:szCs w:val="17"/>
          <w:color w:val="auto"/>
        </w:rPr>
        <w:t xml:space="preserve"> </w:t>
      </w:r>
      <w:r>
        <w:rPr>
          <w:rFonts w:ascii="Arial" w:cs="Arial" w:eastAsia="Arial" w:hAnsi="Arial"/>
          <w:sz w:val="17"/>
          <w:szCs w:val="17"/>
          <w:i w:val="1"/>
          <w:iCs w:val="1"/>
          <w:color w:val="auto"/>
        </w:rPr>
        <w:t>Holdings Corporation</w:t>
      </w:r>
      <w:r>
        <w:rPr>
          <w:rFonts w:ascii="Arial" w:cs="Arial" w:eastAsia="Arial" w:hAnsi="Arial"/>
          <w:sz w:val="17"/>
          <w:szCs w:val="17"/>
          <w:color w:val="auto"/>
        </w:rPr>
        <w:t>, No. 23-cv-20321 (D.N.J.), was filed by a purported stockholder of the Company in the United States District Court for the District</w:t>
      </w:r>
      <w:r>
        <w:rPr>
          <w:rFonts w:ascii="Arial" w:cs="Arial" w:eastAsia="Arial" w:hAnsi="Arial"/>
          <w:sz w:val="17"/>
          <w:szCs w:val="17"/>
          <w:i w:val="1"/>
          <w:iCs w:val="1"/>
          <w:color w:val="auto"/>
        </w:rPr>
        <w:t xml:space="preserve"> </w:t>
      </w:r>
      <w:r>
        <w:rPr>
          <w:rFonts w:ascii="Arial" w:cs="Arial" w:eastAsia="Arial" w:hAnsi="Arial"/>
          <w:sz w:val="17"/>
          <w:szCs w:val="17"/>
          <w:color w:val="auto"/>
        </w:rPr>
        <w:t>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U.S. Food and Drug Administration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as we intend to defend the matter vigorously.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nine month period ended September 30, 2023 and September 30, 2022 to reflect the change in estimate, additions, payments, transfers and the time value of money during the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opening balances to the closing balances of these Level 3 measurements for the nine months ended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is as follows (in thousands):</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gridSpan w:val="9"/>
          </w:tcPr>
          <w:p>
            <w:pPr>
              <w:ind w:left="380"/>
              <w:spacing w:after="0"/>
              <w:rPr>
                <w:sz w:val="20"/>
                <w:szCs w:val="20"/>
                <w:color w:val="auto"/>
              </w:rPr>
            </w:pPr>
            <w:r>
              <w:rPr>
                <w:rFonts w:ascii="Arial" w:cs="Arial" w:eastAsia="Arial" w:hAnsi="Arial"/>
                <w:sz w:val="14"/>
                <w:szCs w:val="14"/>
                <w:b w:val="1"/>
                <w:bCs w:val="1"/>
                <w:color w:val="auto"/>
                <w:w w:val="93"/>
              </w:rPr>
              <w:t>Contingent Consideration Liability Related to Acquisition of:</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2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24"/>
                <w:szCs w:val="24"/>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Arkis</w:t>
            </w:r>
          </w:p>
        </w:tc>
        <w:tc>
          <w:tcPr>
            <w:tcW w:w="10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Location in Financial</w:t>
            </w:r>
          </w:p>
        </w:tc>
        <w:tc>
          <w:tcPr>
            <w:tcW w:w="14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Derma</w:t>
            </w:r>
          </w:p>
        </w:tc>
        <w:tc>
          <w:tcPr>
            <w:tcW w:w="200" w:type="dxa"/>
            <w:vAlign w:val="bottom"/>
          </w:tcPr>
          <w:p>
            <w:pPr>
              <w:spacing w:after="0"/>
              <w:rPr>
                <w:sz w:val="24"/>
                <w:szCs w:val="2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ACell</w:t>
            </w: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Surgical Innovations Associates,</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Location in Financial</w:t>
            </w:r>
          </w:p>
        </w:tc>
        <w:tc>
          <w:tcPr>
            <w:tcW w:w="0" w:type="dxa"/>
            <w:vAlign w:val="bottom"/>
          </w:tcPr>
          <w:p>
            <w:pPr>
              <w:spacing w:after="0"/>
              <w:rPr>
                <w:sz w:val="1"/>
                <w:szCs w:val="1"/>
                <w:color w:val="auto"/>
              </w:rPr>
            </w:pPr>
          </w:p>
        </w:tc>
      </w:tr>
      <w:tr>
        <w:trPr>
          <w:trHeight w:val="95"/>
        </w:trPr>
        <w:tc>
          <w:tcPr>
            <w:tcW w:w="25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Statements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2"/>
              </w:rPr>
              <w:t>Sciences</w:t>
            </w:r>
          </w:p>
        </w:tc>
        <w:tc>
          <w:tcPr>
            <w:tcW w:w="2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38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w w:val="97"/>
              </w:rPr>
              <w:t>Inc. (FN 2)</w:t>
            </w:r>
          </w:p>
        </w:tc>
        <w:tc>
          <w:tcPr>
            <w:tcW w:w="100" w:type="dxa"/>
            <w:vAlign w:val="bottom"/>
          </w:tcPr>
          <w:p>
            <w:pPr>
              <w:spacing w:after="0"/>
              <w:rPr>
                <w:sz w:val="8"/>
                <w:szCs w:val="8"/>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92"/>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January 1, 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5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Change in fair value of contingent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4"/>
                <w:szCs w:val="14"/>
                <w:color w:val="auto"/>
              </w:rPr>
            </w:pPr>
          </w:p>
        </w:tc>
        <w:tc>
          <w:tcPr>
            <w:tcW w:w="1540" w:type="dxa"/>
            <w:vAlign w:val="bottom"/>
            <w:gridSpan w:val="2"/>
          </w:tcPr>
          <w:p>
            <w:pPr>
              <w:spacing w:after="0" w:line="166" w:lineRule="exact"/>
              <w:rPr>
                <w:sz w:val="20"/>
                <w:szCs w:val="20"/>
                <w:color w:val="auto"/>
              </w:rPr>
            </w:pPr>
            <w:r>
              <w:rPr>
                <w:rFonts w:ascii="Arial" w:cs="Arial" w:eastAsia="Arial" w:hAnsi="Arial"/>
                <w:sz w:val="16"/>
                <w:szCs w:val="16"/>
                <w:color w:val="auto"/>
              </w:rPr>
              <w:t>Research and</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6,600</w:t>
            </w:r>
          </w:p>
        </w:tc>
        <w:tc>
          <w:tcPr>
            <w:tcW w:w="100" w:type="dxa"/>
            <w:vAlign w:val="bottom"/>
          </w:tcPr>
          <w:p>
            <w:pPr>
              <w:spacing w:after="0"/>
              <w:rPr>
                <w:sz w:val="14"/>
                <w:szCs w:val="14"/>
                <w:color w:val="auto"/>
              </w:rPr>
            </w:pPr>
          </w:p>
        </w:tc>
        <w:tc>
          <w:tcPr>
            <w:tcW w:w="1640" w:type="dxa"/>
            <w:vAlign w:val="bottom"/>
          </w:tcPr>
          <w:p>
            <w:pPr>
              <w:ind w:left="20"/>
              <w:spacing w:after="0" w:line="166" w:lineRule="exact"/>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consideration liabilities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development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administrative</w:t>
            </w:r>
          </w:p>
        </w:tc>
        <w:tc>
          <w:tcPr>
            <w:tcW w:w="0" w:type="dxa"/>
            <w:vAlign w:val="bottom"/>
          </w:tcPr>
          <w:p>
            <w:pPr>
              <w:spacing w:after="0"/>
              <w:rPr>
                <w:sz w:val="1"/>
                <w:szCs w:val="1"/>
                <w:color w:val="auto"/>
              </w:rPr>
            </w:pPr>
          </w:p>
        </w:tc>
      </w:tr>
      <w:tr>
        <w:trPr>
          <w:trHeight w:val="234"/>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2023</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64,200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51,200</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2"/>
            <w:shd w:val="clear" w:color="auto" w:fill="CCEEFF"/>
          </w:tcPr>
          <w:p>
            <w:pPr>
              <w:ind w:left="21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Contingent Consideration Liability Related to Acquisition of:</w:t>
      </w:r>
    </w:p>
    <w:p>
      <w:pPr>
        <w:spacing w:after="0" w:line="200" w:lineRule="exact"/>
        <w:rPr>
          <w:sz w:val="20"/>
          <w:szCs w:val="20"/>
          <w:color w:val="auto"/>
        </w:rPr>
      </w:pP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Arkis</w:t>
            </w: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Location in Financial</w:t>
            </w: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Derma</w:t>
            </w:r>
          </w:p>
        </w:tc>
        <w:tc>
          <w:tcPr>
            <w:tcW w:w="140" w:type="dxa"/>
            <w:vAlign w:val="bottom"/>
          </w:tcPr>
          <w:p>
            <w:pPr>
              <w:spacing w:after="0"/>
              <w:rPr>
                <w:sz w:val="14"/>
                <w:szCs w:val="14"/>
                <w:color w:val="auto"/>
              </w:rPr>
            </w:pPr>
          </w:p>
        </w:tc>
        <w:tc>
          <w:tcPr>
            <w:tcW w:w="8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7"/>
              </w:rPr>
              <w:t>ACell Inc.</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109"/>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Statements</w:t>
            </w:r>
          </w:p>
        </w:tc>
        <w:tc>
          <w:tcPr>
            <w:tcW w:w="16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Sciences</w:t>
            </w: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77"/>
        </w:trPr>
        <w:tc>
          <w:tcPr>
            <w:tcW w:w="42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January 1, 2022</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60" w:type="dxa"/>
            <w:vAlign w:val="bottom"/>
            <w:gridSpan w:val="2"/>
            <w:vMerge w:val="restart"/>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Research and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ind w:left="20"/>
              <w:spacing w:after="0" w:line="166" w:lineRule="exact"/>
              <w:rPr>
                <w:sz w:val="20"/>
                <w:szCs w:val="20"/>
                <w:color w:val="auto"/>
              </w:rPr>
            </w:pPr>
            <w:r>
              <w:rPr>
                <w:rFonts w:ascii="Arial" w:cs="Arial" w:eastAsia="Arial" w:hAnsi="Arial"/>
                <w:sz w:val="16"/>
                <w:szCs w:val="16"/>
                <w:color w:val="auto"/>
              </w:rPr>
              <w:t>Selling, general and</w:t>
            </w:r>
          </w:p>
        </w:tc>
        <w:tc>
          <w:tcPr>
            <w:tcW w:w="0" w:type="dxa"/>
            <w:vAlign w:val="bottom"/>
          </w:tcPr>
          <w:p>
            <w:pPr>
              <w:spacing w:after="0"/>
              <w:rPr>
                <w:sz w:val="1"/>
                <w:szCs w:val="1"/>
                <w:color w:val="auto"/>
              </w:rPr>
            </w:pPr>
          </w:p>
        </w:tc>
      </w:tr>
      <w:tr>
        <w:trPr>
          <w:trHeight w:val="125"/>
        </w:trPr>
        <w:tc>
          <w:tcPr>
            <w:tcW w:w="4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gridSpan w:val="4"/>
            <w:vMerge w:val="restart"/>
          </w:tcPr>
          <w:p>
            <w:pPr>
              <w:ind w:left="280"/>
              <w:spacing w:after="0"/>
              <w:rPr>
                <w:sz w:val="20"/>
                <w:szCs w:val="20"/>
                <w:color w:val="auto"/>
              </w:rPr>
            </w:pPr>
            <w:r>
              <w:rPr>
                <w:rFonts w:ascii="Arial" w:cs="Arial" w:eastAsia="Arial" w:hAnsi="Arial"/>
                <w:sz w:val="16"/>
                <w:szCs w:val="16"/>
                <w:color w:val="auto"/>
              </w:rPr>
              <w:t>(2,681)  development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0"/>
                <w:szCs w:val="10"/>
                <w:color w:val="auto"/>
              </w:rPr>
            </w:pPr>
          </w:p>
        </w:tc>
        <w:tc>
          <w:tcPr>
            <w:tcW w:w="2800" w:type="dxa"/>
            <w:vAlign w:val="bottom"/>
            <w:gridSpan w:val="3"/>
            <w:vMerge w:val="restart"/>
          </w:tcPr>
          <w:p>
            <w:pPr>
              <w:ind w:left="220"/>
              <w:spacing w:after="0"/>
              <w:rPr>
                <w:sz w:val="20"/>
                <w:szCs w:val="20"/>
                <w:color w:val="auto"/>
              </w:rPr>
            </w:pPr>
            <w:r>
              <w:rPr>
                <w:rFonts w:ascii="Arial" w:cs="Arial" w:eastAsia="Arial" w:hAnsi="Arial"/>
                <w:sz w:val="16"/>
                <w:szCs w:val="16"/>
                <w:color w:val="auto"/>
              </w:rPr>
              <w:t>(16,800)  administrative</w:t>
            </w:r>
          </w:p>
        </w:tc>
        <w:tc>
          <w:tcPr>
            <w:tcW w:w="0" w:type="dxa"/>
            <w:vAlign w:val="bottom"/>
          </w:tcPr>
          <w:p>
            <w:pPr>
              <w:spacing w:after="0"/>
              <w:rPr>
                <w:sz w:val="1"/>
                <w:szCs w:val="1"/>
                <w:color w:val="auto"/>
              </w:rPr>
            </w:pPr>
          </w:p>
        </w:tc>
      </w:tr>
      <w:tr>
        <w:trPr>
          <w:trHeight w:val="84"/>
        </w:trPr>
        <w:tc>
          <w:tcPr>
            <w:tcW w:w="4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2022</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9,589</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 Inc.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ACell Inc.</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part of the acquisition of ACell ("The Acell Acquisition"), the Company is required to make payments to the former shareholders of ACell up to $50 million based on the achievement by the Company of certain revenue-based performance milestones in 2023 and $50 million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change in the fair value of the contingent obligation was primarily as a result of changes in the timing and amount of revenue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unaudited condensed consolidated financial statements and the related notes thereto appearing elsewhere in this report and our consolidated financial statements for the year ended December 31, 2022 included in our Annual Report on Form 10-K.</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made statements in this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on Form 10-Q (this “Quarterly Report”), including statements regarding our future results of operations and financial position, business strategy and plans, objectives of management for future operations and current expectations or forecasts of future results, are forward-looking statements. 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Our forward-looking statements may include statements related to our growth and growth strategies, developments in the markets for our products and services, financial results, development launches and effectiveness, research and development strategy, regulatory approvals, competitive strengths, the potential or anticipated direct or indirect impact of the Coronavirus pandemic on our business, results of operations, and/or financial condition, restructuring and cost-saving initiatives, intellectual property rights, litigation and tax matters, governmental proceedings and investigations, mergers and acquisitions, divestitures, market acceptance of our products and services, accounting estimates, financing activities, ongoing contractual obligations, working capital adequacy, value of our investments, our effective tax rate, our expected returns to shareholders, and sales efforts.</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some cases, these forward-looking statements may be identified by forward-looking words such as “believe,” “may,” “might,” “could,” “will,” “estimate,” “continue,” “anticipate,” “intend,” “seek,” “plan,” “expect,” “should,” “would” and similar words and expressions in this report. Forward-looking statements in this Quarterly Report include, but are not limited to, statements regarding our ability to drive long-term shareholder value, development and future launches of products and continued or future acceptance of products and services in our segments; our ability to navigate and mitigate any on-going or future impact associated with economic disruptions, including supply chain constraints and inflation; expected timing for completion of research studies relating to our products; market positioning and performance of our products; divestitures and the potential benefits thereof; the costs and benefits of integrating previous acquisitions; anticipated timing for Food and Drug Administration (“FDA”) in the U.S., as well as for non-U.S. regulatory approval of new products; statements regarding the issues causing the voluntary removal of the Company’s CereLink ICP Monitor System and the Company’s voluntary recall of all products manufactured at its Boston facility; the potential effects of the process deviations identified at the Boston manufacturing facility; the anticipated impact of the voluntary removal and recall and manufacturing stoppage on the Company’s business; the Company’s ability to address in a timely manner the product-related issues discussed herein and re-initiate sales of Cerelink and resume manufacturing activities at its Boston facility; our future financial performance; increased presence in new markets, including markets outside the U.S.; changes in the market and our market share; acquisitions and investment initiatives, including the timing of regulatory approvals as well as integration of acquired companies into our operations; the resolution of tax matters; the effectiveness of our development activities in reducing patient care costs and hospital stay lengths; our approach towards cost containment; our expectations regarding healthcare costs; general economic conditions; and the potential impact of our compliance with governmental regulations and accounting guidance.</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On September 12, 2023, a securities class action complaint, captioned </w:t>
      </w:r>
      <w:r>
        <w:rPr>
          <w:rFonts w:ascii="Arial" w:cs="Arial" w:eastAsia="Arial" w:hAnsi="Arial"/>
          <w:sz w:val="17"/>
          <w:szCs w:val="17"/>
          <w:i w:val="1"/>
          <w:iCs w:val="1"/>
          <w:color w:val="auto"/>
        </w:rPr>
        <w:t>Pembroke Pines Firefighters &amp; Police Officers Pension Fund v. Integra LifeSciences</w:t>
      </w:r>
      <w:r>
        <w:rPr>
          <w:rFonts w:ascii="Arial" w:cs="Arial" w:eastAsia="Arial" w:hAnsi="Arial"/>
          <w:sz w:val="17"/>
          <w:szCs w:val="17"/>
          <w:color w:val="auto"/>
        </w:rPr>
        <w:t xml:space="preserve"> </w:t>
      </w:r>
      <w:r>
        <w:rPr>
          <w:rFonts w:ascii="Arial" w:cs="Arial" w:eastAsia="Arial" w:hAnsi="Arial"/>
          <w:sz w:val="17"/>
          <w:szCs w:val="17"/>
          <w:i w:val="1"/>
          <w:iCs w:val="1"/>
          <w:color w:val="auto"/>
        </w:rPr>
        <w:t>Holdings Corporation</w:t>
      </w:r>
      <w:r>
        <w:rPr>
          <w:rFonts w:ascii="Arial" w:cs="Arial" w:eastAsia="Arial" w:hAnsi="Arial"/>
          <w:sz w:val="17"/>
          <w:szCs w:val="17"/>
          <w:color w:val="auto"/>
        </w:rPr>
        <w:t>, No. 23-cv-20321 (D.N.J.), was filed by a purported stockholder of the Company in the United States District Court for the District</w:t>
      </w:r>
      <w:r>
        <w:rPr>
          <w:rFonts w:ascii="Arial" w:cs="Arial" w:eastAsia="Arial" w:hAnsi="Arial"/>
          <w:sz w:val="17"/>
          <w:szCs w:val="17"/>
          <w:i w:val="1"/>
          <w:iCs w:val="1"/>
          <w:color w:val="auto"/>
        </w:rPr>
        <w:t xml:space="preserve"> </w:t>
      </w:r>
      <w:r>
        <w:rPr>
          <w:rFonts w:ascii="Arial" w:cs="Arial" w:eastAsia="Arial" w:hAnsi="Arial"/>
          <w:sz w:val="17"/>
          <w:szCs w:val="17"/>
          <w:color w:val="auto"/>
        </w:rPr>
        <w:t>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U.S. Food and Drug Administration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as we intend to defend the matter vigorously.</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are subject to a number of risks, uncertainties and assumptions described in the “Risk Factors” section and elsewhere in our Annual Report on Form 10-K for the year ended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December 31, 2022. As forward-looking statements are inherently subject to risks and uncertainties, some of which cannot be predicted or quantified, you should not rely on these forward-looking statements as predictions of future events. One must carefully consider forward-looking statements and understand that such forward-looking statements are inherently subject to risks and uncertainties, some of which cannot be predicted or quantified, and involve a variety of risks and uncertainties, known and unknown, including, among others, those discussed in the sections entitled “Government Regulation and Compliance” within “Item 1. Business” and “Item 1A. Risk Factors” in our Annual Report on Form 10-K for the year ended December 31, 2022. We undertake no obligation to publicly update or revise any forward-looking statements, whether as a result of new information, future events or otherwise, except to the extent required by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Integra LifeSciences is a world leader in medical technologies and products that transform surgical, neurologic and regenerative care to help restore patients’ lives. Our mission is to innovate treatment pathways to advance patient outcomes and set new standards of care. Founded in 1989 with the acquisition of an engineered collagen technology platform used to repair and regenerate tissue, Integra LifeSciences Holdings Corporation common stock trades on the Nasdaq Global Select Market (“Nasdaq”) under the symbol “IART.” Integra has developed numerous product lines from this technology for applications ranging from burn and deep tissue wounds to the repair of dura mater in the brain, as well as nerves and tendons. We have expanded our base regenerative technology business to include surgical instruments, neurosurgical products and advanced wound care through global acquisitions and product development to meet the evolving needs of our customers and enhance patient care.</w:t>
      </w:r>
    </w:p>
    <w:p>
      <w:pPr>
        <w:spacing w:after="0" w:line="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Puerto Rico, Tennessee, Utah, France, Germany, Ireland and Switzerland. We source most of our handheld surgical instruments and sealant products through specialized third-party vendors.</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the completion of our strategic refresh, we refocused our strategies around five pillars. Of these five pillars, we have identified three core growth drivers: innovating for outcomes, growing internationally, and broadening our impact on care pathways. We have enabled by two key levers: driving operational and customer excellence and cultivating a high-performance culture. As outlined in greater detail below, we believe these five pillars will enable us to realize and advance our integrated growth strategy.</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Innovating for Outcomes. </w:t>
      </w:r>
      <w:r>
        <w:rPr>
          <w:rFonts w:ascii="Arial" w:cs="Arial" w:eastAsia="Arial" w:hAnsi="Arial"/>
          <w:sz w:val="16"/>
          <w:szCs w:val="16"/>
          <w:color w:val="auto"/>
        </w:rPr>
        <w:t>An important part of Integra’s growth strategy is introducing new products to strengthen and expand our portfolio. Additionally,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we seek clinical evidence to support regulatory approval and strong reimbursement of our product portfolio around the world, including new indications for existing technologies. On December 6, 2022, we completed the acquisition of Surgical Innovation Associates, Inc. (“SIA”), which develops, markets and sells DuraSorb, a resorbable synthetic matrix for plastic and reconstructive surgery. This acquisition advances our global strategy in breast reconstruction, expanding plans to access the U.S. market where SIA is pursuing pre-market approval for use in implant-based breast reconstruction ("IBBR"). As part of our commitment to implant-based breast reconstruction strategy and innovating new treatment pathways, in June 2023 we completed enrollment in the DuraSorb U.S. investigational device exemption (IDE) clinical study for two-stage breast reconstruction. We also continued to advance the development of pioneering neurosurgical technologies with the expansion of our product offerings. In early 2023, the CUSA® Clarity Bone Tip was launched in U.S., which is used when controlled fragmentation, emulsification and aspiration of bone is necessary. This follows the CUSA® Clarity extended laparoscopic tip, launched in the U.S. in late 2022 to enhance the benefits of ultrasonic ablation to minimally invasive laparoscopic liver surgery.</w:t>
      </w:r>
    </w:p>
    <w:p>
      <w:pPr>
        <w:spacing w:after="0" w:line="7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 xml:space="preserve">Growing International. </w:t>
      </w:r>
      <w:r>
        <w:rPr>
          <w:rFonts w:ascii="Arial" w:cs="Arial" w:eastAsia="Arial" w:hAnsi="Arial"/>
          <w:sz w:val="18"/>
          <w:szCs w:val="18"/>
          <w:color w:val="auto"/>
        </w:rPr>
        <w:t>Over the years, we have been significantly expanding our global footprint through investments in our commercial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and development of international markets and new product introductions. Several new products were introduced in 2023, including MicroMatrix® and Certas Plus® Programmable Valve which were launched in Europe, and CUSA Clarity Laparoscopic ("Lap") tip which was launched in Australia, New Zealand, Japan, Canada, South Africa and Israel. In addition, DuraGen Secure received approval in Japan, while DuraGen Plus was approved in China.</w:t>
      </w:r>
    </w:p>
    <w:p>
      <w:pPr>
        <w:spacing w:after="0" w:line="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Broadening Impact on Care Pathways. </w:t>
      </w:r>
      <w:r>
        <w:rPr>
          <w:rFonts w:ascii="Arial" w:cs="Arial" w:eastAsia="Arial" w:hAnsi="Arial"/>
          <w:sz w:val="16"/>
          <w:szCs w:val="16"/>
          <w:color w:val="auto"/>
        </w:rPr>
        <w:t>Integra seeks ways to develop products and technologies that impact the lives of patients, starting with the journey</w:t>
      </w:r>
      <w:r>
        <w:rPr>
          <w:rFonts w:ascii="Arial" w:cs="Arial" w:eastAsia="Arial" w:hAnsi="Arial"/>
          <w:sz w:val="16"/>
          <w:szCs w:val="16"/>
          <w:i w:val="1"/>
          <w:iCs w:val="1"/>
          <w:color w:val="auto"/>
        </w:rPr>
        <w:t xml:space="preserve"> </w:t>
      </w:r>
      <w:r>
        <w:rPr>
          <w:rFonts w:ascii="Arial" w:cs="Arial" w:eastAsia="Arial" w:hAnsi="Arial"/>
          <w:sz w:val="16"/>
          <w:szCs w:val="16"/>
          <w:color w:val="auto"/>
        </w:rPr>
        <w:t>that a patient takes from diagnosis and treatment planning to surgery and postoperative care. Integra is well-established in acute care in the hospital setting and plans to leverage that strong position to grow in this segment and shape treatment pathways into preoperative care and additional sites of care.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Driving Operations and Customer Excellence. </w:t>
      </w:r>
      <w:r>
        <w:rPr>
          <w:rFonts w:ascii="Arial" w:cs="Arial" w:eastAsia="Arial" w:hAnsi="Arial"/>
          <w:sz w:val="18"/>
          <w:szCs w:val="18"/>
          <w:color w:val="auto"/>
        </w:rPr>
        <w:t>Integra has been making investments to build more responsive and scalable processes, enhance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of our supply chain, and drive productivity initiatives to further supply and lower costs. Additionally, we continue to invest in technologies, systems and processes to enhance the customer experience. In 2023, we continue to invest in our capacity expansion. This includes ongoing projects of transferring our Boston manufacturing to a new location in Braintree, MA., validating manufacturing processes in our 109 facility in Plainsboro, and increasing cleanroom capacity in our Memphis location.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2022, certain transactional back-office finance and customer service activities were outsourced to enhance customer quality, build scale for future growth, and capture cost efficiencies.</w:t>
      </w:r>
    </w:p>
    <w:p>
      <w:pPr>
        <w:spacing w:after="0" w:line="6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Cultivating a High-Performance Culture. </w:t>
      </w:r>
      <w:r>
        <w:rPr>
          <w:rFonts w:ascii="Arial" w:cs="Arial" w:eastAsia="Arial" w:hAnsi="Arial"/>
          <w:sz w:val="18"/>
          <w:szCs w:val="18"/>
          <w:color w:val="auto"/>
        </w:rPr>
        <w:t>Creating a culture focused on empowerment and agility and building a diverse and inclusive workplace are</w:t>
      </w:r>
      <w:r>
        <w:rPr>
          <w:rFonts w:ascii="Arial" w:cs="Arial" w:eastAsia="Arial" w:hAnsi="Arial"/>
          <w:sz w:val="18"/>
          <w:szCs w:val="18"/>
          <w:i w:val="1"/>
          <w:iCs w:val="1"/>
          <w:color w:val="auto"/>
        </w:rPr>
        <w:t xml:space="preserve"> </w:t>
      </w:r>
      <w:r>
        <w:rPr>
          <w:rFonts w:ascii="Arial" w:cs="Arial" w:eastAsia="Arial" w:hAnsi="Arial"/>
          <w:sz w:val="18"/>
          <w:szCs w:val="18"/>
          <w:color w:val="auto"/>
        </w:rPr>
        <w:t>cornerstones of our people strategy. These efforts resulted in Integra being named in several best workplace lists globally in 2023, including Integra China being recognized as a Great Place to Work in Greater China. Additionally, we have been making great strides in advancing our environmental, social and governance ("ESG") agenda to drive sustainability across the organization and recently published our second annual ESG report in the third quarter of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Integra continues to invest in collecting clinical evidence to support our existing products and new product launches, and to ensure that we obtain market access for broader and more cost-effective solutions.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we made progress to several enhancements to our CUSA Clarity Tissue Ablation System. The extended laparoscopic tip was launched in the U.S. to enhance laparoscopic liver procedures. In addition, a single-sided bone tip received 510(k) clearance. In early 2023, we had our commercial launch with initial surgeries successfully completed.</w:t>
      </w:r>
    </w:p>
    <w:p>
      <w:pPr>
        <w:spacing w:after="0" w:line="62"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We continue to update our CUSA Clarity platform by incorporating new ultrasonic handpiece and integrated electrosurgical capabilities. We launched a modified 23 kHz CUSA Electrosurgery Module (CEM) for Clarity handpieces that can be used with additional electrosurgery generators in August 2023.</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2023, we continued to advance the early-stage technology platforms we acquired in 2019. Through the acquisition of Arkis Biosciences, Inc. ("Arkis")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project.</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2023, we continued to advance our innovation from the Rebound Therapeutics Corporation ("Rebound Therapeutics"), which was acquired in 2019. Rebound Therapeutics specializes in single-use medical device, known as the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blood evacuation. In 2022, we launched the Aurora® Evacuator with Coagulation device in the U.S., designed to be used in conjunction with our Aurora Surgiscope to safely address and evacuate fluid in the brain. Additionally, the 9 mm Surgiscope 510(k) was submitted to the FDA in August 2023 and is currently under review, with clearance and launch expected in Q4 2023 or Q1 2024.</w:t>
      </w:r>
    </w:p>
    <w:p>
      <w:pPr>
        <w:spacing w:after="0" w:line="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focused on the development of core clinical applications in our electromechanical technologies portfolio. In June 2022, we launched the Neutus® EVD system, our first EVD in China. The Neutus EVD system is manufactured in China by Shanghai Haoju Medical Technology Co., Ltd. under an exclusive distribution arrangement. The device is used in the management of CSF and is highly complementary to our Bactiseal® catheter and advanced intercranial pressure monitoring products. We launched our CereLink ICP Monitor System in the U.S. and Europe direct markets. Refer below to the information appearing in the "FDA Matters" section for additional information on the voluntary recall of the CereLink ICP Monitor System.</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our TT segment, in 2022, we launched NeuraGen 3D Nerve Guide Matrix, a resorbable implant for repair of peripheral nerve discontinuities and engineered to create an optimized environment for nerve regeneration. In the third quarter of 2021, we filed the PMA application for a specific indication for Surgimend® in the use of post-mastectomy breast reconstruction, for which we hope to obtain FDA approval in 2025. On December 6, 2022, we completed the acquisition of SIA, which develops, markets and sells DuraSorb®, a resorbable synthetic matrix for plastic and reconstructive surgery. This acquisition advances our global strategy in breast reconstruction, expanding plans to access the U.S. market where SIA is pursuing pre-market approval for use in IBBR. In 2023, the Company received 510(k) clearance for MicroMatrix® Flex</w:t>
      </w:r>
    </w:p>
    <w:p>
      <w:pPr>
        <w:spacing w:after="0" w:line="5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As part of our ongoing efforts to remain compliant, the Company continues to work towards European Union Medical Device Regulation ("EU MDR") certifications. In 2023 the Company has received EU MDR certification in the CSS segment for Hakim Programmable Valves. Additionally, the Company has received EU MDR certification in the TT segment for IDRT and BioPatch.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18, 2022, we, after consultation with the FDA and other regulatory authorities outside of the United States, initiated an immediate voluntary global product removal of all CereLink intracranial pressure monitors as a result of customer reports about monitors whose pressure readings were out of range. We believe that the out-of-range readings are principally caused by a combined interaction of electrical noise (originating from sources such as electrical components in the device, other devices set up near the CereLink Monitor, and the hospital power grid) and an electrical potential difference between the patient and monitor. These out-of-range readings have occurred at a low incidence rate and at a limited number of sites; however, out of an abundance of caution, we removed all CereLink monitors from the field.</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submitted a traditional application for 510(k) to the FDA on September 15, 2023 which includes design changes to remedy the issue. We plan to resume shipments of CereLink monitors in the U.S. following receipt of 510(k) clearance. Shipments resumed in international markets with a limited release in Q3 2023. As of September 30, 2023, we maintained a $1.3 million provision for product returns, and a $0.8 million rework accrual.</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7, 2019, TEI Biosciences, Inc. ("TEI"), one of our wholly-owned subsidiaries, received a Warning Letter (the “2019 Warning Letter”), dated March 6, 2019, from the FDA. The 2019 Warning Letter related to quality systems issues at TEI's manufacturing facility located in Boston, Massachusetts. The Boston facility manufactures extracellular bovine matrix products.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its corrective actions. On October 28, 2021, the FDA initiated an inspection of the facility and at the conclusion of the inspection, issued an FDA Form 483 on November 12, 2021 (the "2021 Form 483"). We provided an initial response to the inspection observations. On March 1, 2023, the FDA commenced an inspection of the Boston facility, and issued an FDA Form 483 at the conclusion of this inspection (the “2023 Form 483”). On July 19, 2023, TEI received a Warning Letter, dated July 17, 2023, from the FDA related to quality system issues at the TEI Boston facility (the “2023 Warning Letter”). The 2023 Warning Letter did not identify any new observations that had not already been provided in the 2023 Form 483. The Company has submitted an initial response to the FDA for both the 2023 Form 483 and the 2023 Warning Letter. We are committed to resolving the matters identified in the Warning Letters and Form 483s and are continuing our significant efforts to remediate the observations. Although the Warning Letters and the Form 483s do not restrict our ability to manufacture or ship products or require the recall of any products, in May 2023, after consultation with the FDA, the Company initiated a voluntary recall of products manufactured in the Boston facility distributed between March 1, 2018 and May 22, 2023, and extended the temporary halt of manufacturing at the facility to implement additional detection and quality controls. Following implementation of such controls, the Company expects to resume manufacturing at its Boston facility by late in the fourth quarter of 2023. Additionally, the Warning Letters do not restrict the Company’s ability to seek FDA 510(k) clearance of products, but premarket approval applications for Class III devices to which the quality system regulation violations are reasonably related will not be approved until the violations have been addressed We cannot give any assurances that the FDA will be satisfied with our response to the issues identified by the FDA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Revenues of products manufactured in the Boston facility for the year ended December 31, 2022 were approximately 5.3% of consolidated revenues. In the nine months ended September 30, 2023, due to the Boston recall, the Company recorded a $19.7 million provision for product returns, as a reduction of net revenue. Of this amount, $9.0 million was credited to customers in the nine months ended September 30, 2023. The Company also recorded a $24.6 million write off of inventory that was no longer able to be sold.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 In support of our continued focus on product margins we closed a manufacturing facility located in France in 2022, and transferred production to our existing Switzerland facility. In addition to closing the manufacturing facility, we outsourced certain transactional back-office finance and customer service activities to enhance customer quality, build scale for future growth, and capture cost efficiencies.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income for the three and nine months ended September 30, 2023 was $19.5 million and $47.9 million, or $0.24 and $0.59 per diluted share respectively, as compared to $49.9 million and $127.6 million or $0.60 and $1.53 per diluted share for the three and nine months ended September 30, 2022. The decrease in net income for the three and nine months ended September 30, 2023, was primarily driven by impacts from the Boston recall. This includes inventory write-offs of $24.6 million and a provision for product returns of $19.7 million for the nine months ended September 30, 2023.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r>
        <w:rPr>
          <w:rFonts w:ascii="Arial" w:cs="Arial" w:eastAsia="Arial" w:hAnsi="Arial"/>
          <w:sz w:val="18"/>
          <w:szCs w:val="18"/>
          <w:b w:val="1"/>
          <w:bCs w:val="1"/>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divestiture and integration-related charges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Structural optimization charges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15,022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24,604</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 medical device regulation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34,172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line="216" w:lineRule="exact"/>
              <w:rPr>
                <w:sz w:val="20"/>
                <w:szCs w:val="20"/>
                <w:color w:val="auto"/>
              </w:rPr>
            </w:pPr>
            <w:r>
              <w:rPr>
                <w:rFonts w:ascii="Arial" w:cs="Arial" w:eastAsia="Arial" w:hAnsi="Arial"/>
                <w:sz w:val="16"/>
                <w:szCs w:val="16"/>
                <w:color w:val="auto"/>
              </w:rPr>
              <w:t>Boston recall expenses</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33,687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5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100,937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 xml:space="preserve"> This includes inventory write-offs and idle capacity charges.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4,198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13,859</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5,448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5,723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15,528</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12,440</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6"/>
                <w:szCs w:val="16"/>
                <w:color w:val="auto"/>
              </w:rPr>
              <w:t>Gain from Sale of Business</w:t>
            </w:r>
          </w:p>
        </w:tc>
        <w:tc>
          <w:tcPr>
            <w:tcW w:w="10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07"/>
        </w:trPr>
        <w:tc>
          <w:tcPr>
            <w:tcW w:w="4880" w:type="dxa"/>
            <w:vAlign w:val="bottom"/>
          </w:tcPr>
          <w:p>
            <w:pPr>
              <w:ind w:left="18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30,851</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9,478</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100,937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38,022</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257"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12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Net Sales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Codman Specialty Surgical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268,205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249,796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787,371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754,967</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Tissue Technologies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114,216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135,395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357,163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404,677</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382,421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385,191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1,144,534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1,159,644</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164,076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148,445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486,292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439,418</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 on total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218,345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236,746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658,242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720,226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 as a percentage of total revenues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57.1 %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61.5 %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62.1 %</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3560"/>
        <w:spacing w:after="0" w:line="377" w:lineRule="auto"/>
        <w:rPr>
          <w:sz w:val="20"/>
          <w:szCs w:val="20"/>
          <w:color w:val="auto"/>
        </w:rPr>
      </w:pPr>
      <w:r>
        <w:rPr>
          <w:rFonts w:ascii="Arial" w:cs="Arial" w:eastAsia="Arial" w:hAnsi="Arial"/>
          <w:sz w:val="18"/>
          <w:szCs w:val="18"/>
          <w:b w:val="1"/>
          <w:bCs w:val="1"/>
          <w:color w:val="auto"/>
        </w:rPr>
        <w:t>Three Months Ended September 30, 2023 as Compared to Three Months Ended September 30, 2022 Revenues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September 30, 2023, total revenues decreased by $2.8 million to $382.4 million from $385.2 million for the same period in 2022. This decrease was primarily driven by the impact of the Boston recall, which was comprised of $6.8 million of return reserve recorded, as well as a decline in revenue of $20.5 million. The decrease was also inclusive of a favorable foreign currency impact of $1.0 million on revenues, as well as a $4.4 million decrease that impacts both domestic and international revenues related to the divestiture of the TWC business. This also includes an increase of $2.9 million related to the SIA Acquisition. Excluding the impacts of these items, domestic revenues increased by $11.2 million, or 4.3% as compared to the prior year period. International revenues increased by $14.5 million or 14.9% as compared to the prior period. The increase in domestic revenues was primarily driven by our Instruments and Neurosurgery portfolios. The increase in international revenues was primarily driven by increases in our APAC region including China, Japan, and Australia.</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CSS segment, revenues were $268.2 million which was an increase of $18.4 million, or 7.4% as compared to the prior-year period, inclusive of a $0.9 million favorable foreign currency impact on revenue. Excluding the impact of foreign exchange, Neurosurgery portfolio grew mid single digits primarily due to sales in Dural Access, Neuro Monitoring and CSF Management. Sales in our instruments portfolio increased mid single digits as compared to the same period in the prior year.</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TT segment, revenues were $114.2 million which was a decrease of $21.2 million, or 15.6% from the prior-year period. This decrease is primarily driven by the impact of the Boston recall of $6.8 million additional return reserve and $20.5 million decline in revenue. The decrease is also inclusive of a $0.1 million favorable foreign currency impact on revenue, a $4.4 million decrease that impacts both domestic and international revenues related to the divestiture of the TWC business, and an increase of $2.9 million related to the SIA Acquisition. Excluding the impact of these items, the TT segment increased high single digits as compared to the same period in the prior year, attributable to strong sales in MicroMatrix®, Cytal®, Gentrix® and amniotics.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margin was $218.3 million for the three months ended September 30, 2023, a decrease of $18.4 million from $236.7 million for the same period in 2022. Gross margin as a percentage of revenues was 57.1% for the three months ended September 30, 2023 and 61.5% for the same period in 2022. The decrease in gross margin percentage was primarily associated with the Boston recall, which includes a provision for product returns of $6.8 million and idle capacity at the Boston facility of $5.1 million for the three months ended September 30, 2023.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57"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42.3 %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37.3 %</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6"/>
        </w:trPr>
        <w:tc>
          <w:tcPr>
            <w:tcW w:w="7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44.5 %</w:t>
            </w:r>
          </w:p>
        </w:tc>
      </w:tr>
      <w:tr>
        <w:trPr>
          <w:trHeight w:val="24"/>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which consist of research and development, selling, general and administrative, and amortization expenses, increased by $20.1 million, or 11.7% to $191.8 million in the three months ended September 30, 2023, compared to $171.7 million in the same period in 2022. The increase in operating expenses compared to the prior year is primarily a result of the SIA Acquisition combined with higher spend in selling activities as a percentage of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Research and development expenses for the three months ended September 30, 2023 increased by $1.9 million as compared to the same period in the prior year. This increase in spending resulted from additional spending related to the SIA Acquisition, new product development and clinical studies.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three months ended September 30, 2023 increased by $18.1 million as compared to the same period in the prior year driven primarily due to increased costs associated with SIA Acquisition and higher spend in commercial selling activities. Prior year expenses included a reduction in the fair value of contingent consideration for ACell of $13.1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three months ended September 30, 2023 was $3.2 million compared to $3.1 million for the same period in the prior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4"/>
          </w:tcPr>
          <w:p>
            <w:pPr>
              <w:jc w:val="right"/>
              <w:ind w:right="661"/>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(12,809)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from the sale of business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for the three months ended September 30, 2023 increased by $1.3 million as compared to the same period in the prior year due to higher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three months ended September 30, 2023 increased by $0.3 million as compared to the same period in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three months ended September 30, 2023 decreased by $2.2 million compared to the same period in the prior year. The decrease is primarily driven by lower Transition Service Agreement ("TSA") income from our recent divestitures.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5"/>
        </w:trPr>
        <w:tc>
          <w:tcPr>
            <w:tcW w:w="7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58,796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40" w:type="dxa"/>
            <w:vAlign w:val="bottom"/>
          </w:tcPr>
          <w:p>
            <w:pPr>
              <w:spacing w:after="0"/>
              <w:rPr>
                <w:sz w:val="18"/>
                <w:szCs w:val="18"/>
                <w:color w:val="auto"/>
              </w:rPr>
            </w:pPr>
          </w:p>
        </w:tc>
        <w:tc>
          <w:tcPr>
            <w:tcW w:w="1440" w:type="dxa"/>
            <w:vAlign w:val="bottom"/>
          </w:tcPr>
          <w:p>
            <w:pPr>
              <w:jc w:val="right"/>
              <w:ind w:right="83"/>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8,881</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for the three months ended September 30, 2023 and 2022 were (4.8)% and 15.1%, respectively.</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the three months ended September 30, 2023, the primary drivers of the lower tax rate relate to a reduction to book income in higher-taxed jurisdictions and a $3.3 million benefit related to the filing of the prior year tax returns.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changes to income tax laws and regulations, in any of the tax jurisdictions in which we operate, could impact the effective tax rate. Various governments, both U.S. and non-U.S., are increasingly focused on tax reform and revenue-raising legislation. Further, legislation in foreign jurisdictions may be enacted, in response to the base erosion and profit-shifting project begun by the Organization for Economic Cooperation and Development ("OECD"). The OECD recently finalized major reform of the international tax system with respect to implementing a global minimum tax rate. Such changes in U.S. and non-U.S. jurisdictions could have an adverse effect on the Company’s effective tax rate.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Our tax reserves are presented in the balance sheet within other liabilities, except for amounts relating to items that we expect to pay in the coming year, which would be classified as current income taxes payable.</w:t>
      </w:r>
    </w:p>
    <w:p>
      <w:pPr>
        <w:spacing w:after="0" w:line="184" w:lineRule="exact"/>
        <w:rPr>
          <w:sz w:val="20"/>
          <w:szCs w:val="20"/>
          <w:color w:val="auto"/>
        </w:rPr>
      </w:pPr>
    </w:p>
    <w:p>
      <w:pPr>
        <w:ind w:right="3740"/>
        <w:spacing w:after="0" w:line="377" w:lineRule="auto"/>
        <w:rPr>
          <w:sz w:val="20"/>
          <w:szCs w:val="20"/>
          <w:color w:val="auto"/>
        </w:rPr>
      </w:pPr>
      <w:r>
        <w:rPr>
          <w:rFonts w:ascii="Arial" w:cs="Arial" w:eastAsia="Arial" w:hAnsi="Arial"/>
          <w:sz w:val="18"/>
          <w:szCs w:val="18"/>
          <w:b w:val="1"/>
          <w:bCs w:val="1"/>
          <w:color w:val="auto"/>
        </w:rPr>
        <w:t>Nine Months Ended September 30, 2023 as Compared to Nine Months Ended September 30, 2022 Revenues and Gross Margin</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2023, total revenues decreased by $15.1 million to $1,144.5 million from $1,159.6 million for the same period in 2022. This decrease was primarily driven by the impact of the Boston recall, which was comprised of $19.7 million of return reserve recorded, as well as a decline in revenue of $42.4 million. The decrease was also inclusive of an unfavorable foreign currency impact of $7.7 million on revenues, as well as a $16.3 million decrease that impacts both domestic and international revenues related to the divestiture of the TWC business. This also includes an increase of $7.2 million related to the SIA Acquisition. Excluding the impacts of these items, domestic revenues increased by $36.8 million, or 4.7% as compared to the prior year period. International revenues increased by $30.2 million or 9.8% as compared to the prior period. The increase in domestic revenues was primarily driven by increases in our Instruments and Neurosurgery portfolio. The increase in international revenues was primarily driven by our APAC region including China, Japan, and Australia.</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CSS Segment, revenues were $787.4 million an increase of $32.4 million, or 4.3% from the prior period, inclusive of a $7.2M unfavorable foreign currency impact on revenue. Excluding the impact of foreign exchange, Neurosurgery portfolio grew mid single digits primarily due to sales in Dural Access, CSF Management, and Advanced Energy. Sales in our instruments portfolio increased high single digits as compared to the same period in the prior year.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TT segment, revenues were $357.2 million, a decrease of $47.5 million, or 11.7% from the prior-year period, inclusive of a $0.5 million unfavorable foreign currency impact on revenue, a $16.3 million decrease that impacts both domestic and international revenues related to the divestiture of the TWC business, and of $7.2 million related to the SIA Acquisition. This also includes the impact of the Boston recall of $19.7 million return reserve and $42.4 million decline in revenue. Excluding the impact of these items, the TT segment increased high single digits as compared to the same period in the prior year, attributable to strong sales in MicroMatrix®, Cytal®, Gentrix® and amniotics.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Gross margin was $658.2 million for the nine months ended September 30, 2023, a decrease of $62.0 million from $720.2 million for the same period last year. Gross margin as a percentage of total revenue decreased to 57.5% for the nine months ended September 30, 2023 from 62.1% in the same period last year. The decrease in gross margin percentage was primarily associated with the Boston recall, which includes inventory write-offs of $24.6 million, a provision for product returns of $19.7 million, and idle capacity at the Boston facility of $9.0 million for the nine months ended September 30,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5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6"/>
                <w:szCs w:val="16"/>
                <w:color w:val="auto"/>
              </w:rPr>
              <w:t>43.1 %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40.0 %</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6"/>
        </w:trPr>
        <w:tc>
          <w:tcPr>
            <w:tcW w:w="7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47.4 %</w:t>
            </w:r>
          </w:p>
        </w:tc>
      </w:tr>
      <w:tr>
        <w:trPr>
          <w:trHeight w:val="24"/>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and amortization expenses, increased by $33.6 million, or 6.1% to $582.8 million in the nine months ended September 30, 2023, compared to $549.1 million in the same period in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Research and development expenses for the nine months ended September 30, 2023 increased by $5.5 million as compared to the same period in the prior year. This increase in spending resulted from additional spending related to the SIA Acquisition, new product development and clinical studies.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increased by $29.1 million as compared to the same period in the prior year driven primarily due to increased costs associated with SIA Acquisition and higher spend in commercial selling activities. Prior year expenses included a reduction in the fair value of contingent consideration for ACell of $13.1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nine months ended September 30, 2023 was $9.3 million compared to $10.3 million for the same period in prior year.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total annual amortization expense to be approximately $20.7 million for the remainder of 2023, $82.2 million in 2024, $82.1 million in 2025, $82.0 million in 2026, $80.0 million in 2027, $78.5 million in 2028 and $477.1 million thereafter.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5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(36,700)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the sale of business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8,056</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non-operating income and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for the nine months ended September 30, 2023 increased by $6.0 million as compared to the same period last year due to higher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nine months ended September 30, 2023 increased by $0.9 million as compared to the same period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nine months ended September 30, 2023, decreased by $6.4 million primarily due to lower Transition Service Agreement ("TSA") income from our recent divestitures.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3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52,211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149,686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440" w:type="dxa"/>
            <w:vAlign w:val="bottom"/>
          </w:tcPr>
          <w:p>
            <w:pPr>
              <w:spacing w:after="0"/>
              <w:rPr>
                <w:sz w:val="18"/>
                <w:szCs w:val="18"/>
                <w:color w:val="auto"/>
              </w:rPr>
            </w:pPr>
          </w:p>
        </w:tc>
        <w:tc>
          <w:tcPr>
            <w:tcW w:w="1440" w:type="dxa"/>
            <w:vAlign w:val="bottom"/>
          </w:tcPr>
          <w:p>
            <w:pPr>
              <w:jc w:val="right"/>
              <w:ind w:right="123"/>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22,082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nine months ended September 30, 2023 and 2022 were 8.2% and 14.8%, respectively.</w:t>
      </w:r>
    </w:p>
    <w:p>
      <w:pPr>
        <w:spacing w:after="0" w:line="10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For the nine months ended September 30, 2023, the primary drivers of the lower tax rate relate to a reduction to book income in higher-taxed jurisdictions and a $3.8 million benefit related to the filing of the prior year tax returns. The lower rate from the nine months ended September 30, 2022 was primarily due to a $5.5 million benefit related to excess tax benefits from stock compensation.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282,016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832,714</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Europe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41,524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38,301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120,040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128,907</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133,856</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 of World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22,100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64,167</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382,421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385,191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1,144,534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1,159,644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Domestic revenues decreased by $12.2 million for the three months ended September 30, 2023 compared to the same period last year. European sales increased by $3.2 million for the three months ended September 30, 2023 compared to the same period last year. Sales to customers in Asia Pacific increased by $6.0 million for the three months ended September 30, 2023. Sales to customers in the the Rest of World for the three months ended September 30, 2023 increased by $0.2 million compared to the same period last year. The international revenues were impacted by $1.0 million of favorable foreign exchange impact, with the larger impact in Europe. The decrease in global revenues is primarily the result of the Boston recall which affected both Domestic and International markets. Sales in China, Japan, and Australia led to continued growth in our Asia Pacific market.</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decreased by $15.1 million for the nine months ended September 30, 2023 compared to the same period last year. European sales decreased by $8.9 million for the nine months ended September 30, 2023 compared to the same period last year. Sales to customers in Asia Pacific increased by $13.1 million million for the nine months ended September 30, 2023. Sales to customers in the Rest of World for the nine months ended September 30, 2023 decreased by $4.3 million million compared to the same period last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working capital as of September 30, 2023 and December 31, 2022 was $671.5 million and $840.6 million, respectively. Working capital consists of total current assets less total current liabilities as presented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had cash and cash equivalents totaling approximately $273.7 million and $456.7 million at September 30, 2023 and December 31, 2022 respectively, which are valued based on Level 1 measurements in the fair value hierarchy. At September 30, 2023, our non-U.S. subsidiaries held approximately $247.7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5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179,135</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(36,949)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(154,254)</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cash flows for the nine months ended September 30, 2023 decreased by $97.9 million compared to the same period in 2022. Within operating cash flows, net income less non-cash adjustments decreased for the nine months ended September 30, 2023 by approximately $55.9 million as compared to the same period in 2022 primarily due to lower revenues attributable to the Boston recall along with higher selling expenses.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assets and liabilities for the nine months ended September 30, 2023, net of business acquisitions, decreased cash flows by $91.7 million, mainly attributable to increases in inventory, other current assets, and decreases in accrued expenses and other current liabilities due to reduced payments processed during the year.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assets and liabilities for the nine months ended September 30, 2022, net of business acquisitions, decreased cash flows by $49.7 million, primarily due to increases in inventory to support increased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Uses of cash from investing activities for the nine months ended September 30, 2023 related to $42.3 million paid for capital expenditures to support operations improvement initiatives at a number of our manufacturing facilities and other information technology investments.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Sources of cash from investing activities for the nine months ended September 30, 2023 were $5.4 million in proceeds from settlement of our net investment hedges.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Uses of cash from investing activities during the nine months ended September 30, 2022 related to $27.9 million paid for capital expenditures to support operations improvement initiatives at a number of our manufacturing facilities and other information technology investments as well as the final $4.7 million payment related to the final developmental milestone for Rebound Therapeutics Corporation.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Sources of cash from investing activities during the nine months ended September 30, 2022 included proceeds from the sale of the TWC business of $24.0 million. The proceeds from the sale of the TWC business of $27.8 million is presented net of cash transferred of $3.5 million and other transaction fees. Additionally, the Company also received $4.9 million proceeds on cross-currency swaps designated as net investment hedge.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Uses of cash from financing activities in the nine months ended September 30, 2023 related to the repurchase of shares of treasury stock of $275.0 million under the January and August 2023 accelerated share repurchase agreements, as well as repayments of $85.9 million under our Senior Credit Facility and Securitization Facility. We also had $7.6 million in payment of debt issuance costs. In addition, the Company had $5.5 million in cash taxes paid for net equity settlements.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Sources of cash from financing activities for the nine months ended September 30, 2023 were $146.9 million borrowing under our Senior Credit Facility and Securitization Facility and $4.1 million proceeds from the exercise of stock options.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Uses of cash from financing activities in the nine months ended September 30, 2022 related to the repurchase of treasury stock of $125.0 million under the 2022 accelerated share repurchase agreement, repayments of $40.8 million under our Senior Credit Facility and Securitization Facility. In addition, we had $24.3 million in cash taxes paid for net equity settlements.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Sources of cash from financing activities for the nine months ended September 30, 2022 were $34.3 million borrowing under our Senior Credit Facility and Securitization Facility and $1.6 million proceeds from the exercise of stock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6"/>
          <w:szCs w:val="16"/>
          <w:i w:val="1"/>
          <w:iCs w:val="1"/>
          <w:color w:val="auto"/>
        </w:rPr>
        <w:t>,</w:t>
      </w:r>
      <w:r>
        <w:rPr>
          <w:rFonts w:ascii="Arial" w:cs="Arial" w:eastAsia="Arial" w:hAnsi="Arial"/>
          <w:sz w:val="18"/>
          <w:szCs w:val="18"/>
          <w:color w:val="auto"/>
        </w:rPr>
        <w:t xml:space="preserve"> to the Notes to Unaudited Condensed Consolidated Financial Statements (Part I, Item 1 of this Quarterly Report) for a discussion of our Amended and Restated Senior Credit Agreement, the 2025 Notes and Securitization Facility and Note 7, </w:t>
      </w:r>
      <w:r>
        <w:rPr>
          <w:rFonts w:ascii="Arial" w:cs="Arial" w:eastAsia="Arial" w:hAnsi="Arial"/>
          <w:sz w:val="18"/>
          <w:szCs w:val="18"/>
          <w:i w:val="1"/>
          <w:iCs w:val="1"/>
          <w:color w:val="auto"/>
        </w:rPr>
        <w:t>Derivative Instruments</w:t>
      </w:r>
      <w:r>
        <w:rPr>
          <w:rFonts w:ascii="Arial" w:cs="Arial" w:eastAsia="Arial" w:hAnsi="Arial"/>
          <w:sz w:val="16"/>
          <w:szCs w:val="16"/>
          <w:i w:val="1"/>
          <w:iCs w:val="1"/>
          <w:color w:val="auto"/>
        </w:rPr>
        <w:t>,</w:t>
      </w:r>
      <w:r>
        <w:rPr>
          <w:rFonts w:ascii="Arial" w:cs="Arial" w:eastAsia="Arial" w:hAnsi="Arial"/>
          <w:sz w:val="18"/>
          <w:szCs w:val="18"/>
          <w:color w:val="auto"/>
        </w:rPr>
        <w:t xml:space="preserve"> to the Notes to Unaudited Condensed Consolidated Financial Statements (Part I, Item 1 of this Quarterly Report) for discussion of our hedging activities. We are forecasting that sales and earnings for the next twelve months will be sufficient to remain in compliance with our financial covenants under the terms of the March 2023 Amendment to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15, 2023, the Company entered into a $125.0 million accelerated share repurchase ("August 2023 ASR") and received 2.3 million shares of the Common stock at inception of the August 2023 ASR, which represented approximately 80% of the expected total shares under the August 2023 ASR. On October 18, 2023 the early exercise provision was exercised by the August 2023 ASR counterparty. The Company received an additional 0.9 million shares determined using the volume-weighted average price of the Company's common stock during the term of the August 2023 ASR.</w:t>
      </w:r>
    </w:p>
    <w:p>
      <w:pPr>
        <w:spacing w:after="0" w:line="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26, 2023, the Company entered into a $150.0 million accelerated share repurchase ("January 2023 ASR") and received 2.1 million shares of the common stock at inception of the January 2023 ASR, which represented approximately 80% of the expected total shares under the January 2023 ASR. The settlement of the ASR agreement was completed in two separate transactions on April 26, 2023 and May 4, 2023, where the Company received an additional 0.30 million and 0.31 million shares respectively, determined using the volume-weighted average price of the Company's common stock during the term of the January 2023 ASR.</w:t>
      </w:r>
    </w:p>
    <w:p>
      <w:pPr>
        <w:spacing w:after="0" w:line="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12, 2022, we entered into a $125.0 million accelerated share repurchase ("2022 ASR") and received 1.48 million shares of our common stock at inception of the 2022 ASR, which represented approximately 80% of the expected total shares under the 2022 ASR. On March 24, 2022, the early exercise provision under the 2022 ASR was exercised by 2022 ASR counterparty. Upon settlement of the 2022 ASR on March 24, 2022, we received an additional 0.46 million shares determined using the volume-weighted average price of our common stock during the term of the 2022 ASR.</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11. Treasury Stock,</w:t>
      </w:r>
      <w:r>
        <w:rPr>
          <w:rFonts w:ascii="Arial" w:cs="Arial" w:eastAsia="Arial" w:hAnsi="Arial"/>
          <w:sz w:val="18"/>
          <w:szCs w:val="18"/>
          <w:color w:val="auto"/>
        </w:rPr>
        <w:t xml:space="preserve"> to the Notes to Unaudited Condensed Consolidated Financial Statements (Part I, Item 1 of this Quarterly Report) for further details.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do not have any off–balance sheet financing arrangements during the nine months ended September 30, 2023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primary obligations include principal and interest payments on the revolving portion and term loan component of the Senior Credit Facility, Securitization Facility and 2025 Notes. See </w:t>
      </w:r>
      <w:r>
        <w:rPr>
          <w:rFonts w:ascii="Arial" w:cs="Arial" w:eastAsia="Arial" w:hAnsi="Arial"/>
          <w:sz w:val="18"/>
          <w:szCs w:val="18"/>
          <w:i w:val="1"/>
          <w:iCs w:val="1"/>
          <w:color w:val="auto"/>
        </w:rPr>
        <w:t>Note 6. Debt</w:t>
      </w:r>
      <w:r>
        <w:rPr>
          <w:rFonts w:ascii="Arial" w:cs="Arial" w:eastAsia="Arial" w:hAnsi="Arial"/>
          <w:sz w:val="16"/>
          <w:szCs w:val="16"/>
          <w:i w:val="1"/>
          <w:iCs w:val="1"/>
          <w:color w:val="auto"/>
        </w:rPr>
        <w:t>,</w:t>
      </w:r>
      <w:r>
        <w:rPr>
          <w:rFonts w:ascii="Arial" w:cs="Arial" w:eastAsia="Arial" w:hAnsi="Arial"/>
          <w:sz w:val="18"/>
          <w:szCs w:val="18"/>
          <w:color w:val="auto"/>
        </w:rPr>
        <w:t xml:space="preserve"> to the Notes to Unaudited Consolidated Financial Statements (Part I, Item 1 of this Quarterly Report) for details. We also lease some of our manufacturing facilities and office buildings which have future minimum lease payments associated. See </w:t>
      </w:r>
      <w:r>
        <w:rPr>
          <w:rFonts w:ascii="Arial" w:cs="Arial" w:eastAsia="Arial" w:hAnsi="Arial"/>
          <w:sz w:val="18"/>
          <w:szCs w:val="18"/>
          <w:i w:val="1"/>
          <w:iCs w:val="1"/>
          <w:color w:val="auto"/>
        </w:rPr>
        <w:t>Note 10. Leases and Related Party Leases</w:t>
      </w:r>
      <w:r>
        <w:rPr>
          <w:rFonts w:ascii="Arial" w:cs="Arial" w:eastAsia="Arial" w:hAnsi="Arial"/>
          <w:sz w:val="18"/>
          <w:szCs w:val="18"/>
          <w:color w:val="auto"/>
        </w:rPr>
        <w:t>, to the Notes to Unaudited Consolidated Financial Statements (Part I, Item 1 of this Quarterly Report) for a</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of our future minimum lease payments. Amounts related to our other obligations, including employment agreements and purchase obligations were not material.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has contingent consideration obligations related to prior and current year acquisitions and future pension contribution obligations. See </w:t>
      </w:r>
      <w:r>
        <w:rPr>
          <w:rFonts w:ascii="Arial" w:cs="Arial" w:eastAsia="Arial" w:hAnsi="Arial"/>
          <w:sz w:val="16"/>
          <w:szCs w:val="16"/>
          <w:i w:val="1"/>
          <w:iCs w:val="1"/>
          <w:color w:val="auto"/>
        </w:rPr>
        <w:t>Note</w:t>
      </w:r>
    </w:p>
    <w:p>
      <w:pPr>
        <w:spacing w:after="0" w:line="46" w:lineRule="exact"/>
        <w:rPr>
          <w:sz w:val="20"/>
          <w:szCs w:val="20"/>
          <w:color w:val="auto"/>
        </w:rPr>
      </w:pPr>
    </w:p>
    <w:p>
      <w:pPr>
        <w:jc w:val="both"/>
        <w:ind w:firstLine="8"/>
        <w:spacing w:after="0" w:line="277" w:lineRule="auto"/>
        <w:tabs>
          <w:tab w:leader="none" w:pos="1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Retirement Plans</w:t>
      </w:r>
      <w:r>
        <w:rPr>
          <w:rFonts w:ascii="Arial" w:cs="Arial" w:eastAsia="Arial" w:hAnsi="Arial"/>
          <w:sz w:val="17"/>
          <w:szCs w:val="17"/>
          <w:color w:val="auto"/>
        </w:rPr>
        <w:t>, and</w:t>
      </w:r>
      <w:r>
        <w:rPr>
          <w:rFonts w:ascii="Arial" w:cs="Arial" w:eastAsia="Arial" w:hAnsi="Arial"/>
          <w:sz w:val="17"/>
          <w:szCs w:val="17"/>
          <w:i w:val="1"/>
          <w:iCs w:val="1"/>
          <w:color w:val="auto"/>
        </w:rPr>
        <w:t xml:space="preserve"> Note 16. Commitments and Contingencies</w:t>
      </w:r>
      <w:r>
        <w:rPr>
          <w:rFonts w:ascii="Arial" w:cs="Arial" w:eastAsia="Arial" w:hAnsi="Arial"/>
          <w:sz w:val="17"/>
          <w:szCs w:val="17"/>
          <w:color w:val="auto"/>
        </w:rPr>
        <w:t>, to the Notes to Unaudited Condensed Consolidated Financial Statements (Part I, Item 1</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Quarterly Report) for details. The associated obligations are not fixed. We also have a liability for uncertain tax benefits including interest and penalties. We cannot make a reliable estimate of the period in which the uncertain tax benefits may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2022 did not materially change in the nine months ended September 30,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0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 xml:space="preserve">Information regarding new accounting pronouncements is included in </w:t>
      </w:r>
      <w:r>
        <w:rPr>
          <w:rFonts w:ascii="Arial" w:cs="Arial" w:eastAsia="Arial" w:hAnsi="Arial"/>
          <w:sz w:val="18"/>
          <w:szCs w:val="18"/>
          <w:i w:val="1"/>
          <w:iCs w:val="1"/>
          <w:color w:val="auto"/>
        </w:rPr>
        <w:t>Note 1. Basis of Presentation</w:t>
      </w:r>
      <w:r>
        <w:rPr>
          <w:rFonts w:ascii="Arial" w:cs="Arial" w:eastAsia="Arial" w:hAnsi="Arial"/>
          <w:sz w:val="18"/>
          <w:szCs w:val="18"/>
          <w:color w:val="auto"/>
        </w:rPr>
        <w:t>, to the Notes to Unaudited Condensed Consolidated Financial Statements (Part I, Item 1 of this Quarterly Report), and is applicable to the current period’s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5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Arial" w:cs="Arial" w:eastAsia="Arial" w:hAnsi="Arial"/>
          <w:sz w:val="17"/>
          <w:szCs w:val="17"/>
          <w:i w:val="1"/>
          <w:iCs w:val="1"/>
          <w:color w:val="auto"/>
        </w:rPr>
        <w:t>Note 7. Derivative Instruments</w:t>
      </w:r>
      <w:r>
        <w:rPr>
          <w:rFonts w:ascii="Arial" w:cs="Arial" w:eastAsia="Arial" w:hAnsi="Arial"/>
          <w:sz w:val="17"/>
          <w:szCs w:val="17"/>
          <w:color w:val="auto"/>
        </w:rPr>
        <w:t>, to Notes to Unaudited Condensed Consolidated Financial Statements (Part I, Item 1 of this Quarterly Report) for further information.</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September 30, 2023 would impact interest income by approximately $2.7 million on an annual basis. We are subject to foreign currency exchange risk with respect to cash balances maintained in foreign currencies.</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u w:val="single" w:color="auto"/>
          <w:color w:val="auto"/>
        </w:rPr>
        <w:t>Debt</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SOFR-indexed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earnings and cash flow exposure to changes in interest rates. These interest rate swaps fix the interest rate on a portion of our expected SOFR-indexed floating-rate borrowings. These interest rate swaps were designated as cash flow hedges as of September 30, 2023. The total notional amounts related to the Company’s interest rate swaps were $1.5 billion with $775.0 million effective as of September 30, 2023. Based on our outstanding borrowings at September 30, 2023, a 100 basis points change in interest rates would have impacted interest expense on the unhedged portion of the debt by $1.7 million on an annualized basis. See </w:t>
      </w:r>
      <w:r>
        <w:rPr>
          <w:rFonts w:ascii="Arial" w:cs="Arial" w:eastAsia="Arial" w:hAnsi="Arial"/>
          <w:sz w:val="17"/>
          <w:szCs w:val="17"/>
          <w:i w:val="1"/>
          <w:iCs w:val="1"/>
          <w:color w:val="auto"/>
        </w:rPr>
        <w:t>Note 7. Derivative Instruments</w:t>
      </w:r>
      <w:r>
        <w:rPr>
          <w:rFonts w:ascii="Arial" w:cs="Arial" w:eastAsia="Arial" w:hAnsi="Arial"/>
          <w:sz w:val="17"/>
          <w:szCs w:val="17"/>
          <w:color w:val="auto"/>
        </w:rPr>
        <w:t>, to the Notes to Unaudited Condensed Consolidated Financial Statements (Part I, Item 1 of this Quarterly Report) for further information regarding interest rate swaps.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2023. Based upon this evaluation, our principal executive officer and principal financial officer concluded that our disclosure controls and procedures were effective as of September 30, 2023 to provide such reasonable assurance.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2023 that have materially affected, or are reasonably likely to materially affect, our internal control over financial reporting.</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response to business integration activities, we have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16, Commitments and Contingencies,</w:t>
      </w:r>
      <w:r>
        <w:rPr>
          <w:rFonts w:ascii="Arial" w:cs="Arial" w:eastAsia="Arial" w:hAnsi="Arial"/>
          <w:sz w:val="18"/>
          <w:szCs w:val="18"/>
          <w:color w:val="auto"/>
        </w:rPr>
        <w:t xml:space="preserve"> to the Notes to Unaudited Condensed Consolidated Financial Statements (Part I of this Quarterly Report) for further details on current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12529"/>
        </w:rPr>
        <w:t xml:space="preserve">There have been no material changes in our risk factors included in our Annual Report on Form 10-K for the fiscal year ended </w:t>
      </w:r>
      <w:r>
        <w:rPr>
          <w:rFonts w:ascii="Arial" w:cs="Arial" w:eastAsia="Arial" w:hAnsi="Arial"/>
          <w:sz w:val="18"/>
          <w:szCs w:val="18"/>
          <w:color w:val="000000"/>
        </w:rPr>
        <w:t>December 31, 2022</w:t>
      </w:r>
      <w:r>
        <w:rPr>
          <w:rFonts w:ascii="Arial" w:cs="Arial" w:eastAsia="Arial" w:hAnsi="Arial"/>
          <w:sz w:val="18"/>
          <w:szCs w:val="18"/>
          <w:color w:val="212529"/>
        </w:rPr>
        <w:t xml:space="preserve"> and subsequent periodic reports filed with the Securities and Exchange Commission pursuant to the Securities Exchange Act of 1934, as amended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following table provides information about purchases by the Company during the quarter ended September 30, 2023 of equity securities that are registered by us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Average price paid</w:t>
            </w:r>
          </w:p>
        </w:tc>
        <w:tc>
          <w:tcPr>
            <w:tcW w:w="34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Total number of shares purchased by month as part</w:t>
            </w:r>
          </w:p>
        </w:tc>
        <w:tc>
          <w:tcPr>
            <w:tcW w:w="26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Approximate dollar value of shares that</w:t>
            </w:r>
          </w:p>
        </w:tc>
        <w:tc>
          <w:tcPr>
            <w:tcW w:w="0" w:type="dxa"/>
            <w:vAlign w:val="bottom"/>
          </w:tcPr>
          <w:p>
            <w:pPr>
              <w:spacing w:after="0"/>
              <w:rPr>
                <w:sz w:val="1"/>
                <w:szCs w:val="1"/>
                <w:color w:val="auto"/>
              </w:rPr>
            </w:pPr>
          </w:p>
        </w:tc>
      </w:tr>
      <w:tr>
        <w:trPr>
          <w:trHeight w:val="81"/>
        </w:trPr>
        <w:tc>
          <w:tcPr>
            <w:tcW w:w="1840" w:type="dxa"/>
            <w:vAlign w:val="bottom"/>
            <w:gridSpan w:val="2"/>
            <w:vMerge w:val="restart"/>
          </w:tcPr>
          <w:p>
            <w:pPr>
              <w:ind w:left="680"/>
              <w:spacing w:after="0" w:line="145" w:lineRule="exact"/>
              <w:rPr>
                <w:sz w:val="20"/>
                <w:szCs w:val="20"/>
                <w:color w:val="auto"/>
              </w:rPr>
            </w:pPr>
            <w:r>
              <w:rPr>
                <w:rFonts w:ascii="Arial" w:cs="Arial" w:eastAsia="Arial" w:hAnsi="Arial"/>
                <w:sz w:val="14"/>
                <w:szCs w:val="14"/>
                <w:b w:val="1"/>
                <w:bCs w:val="1"/>
                <w:color w:val="auto"/>
              </w:rPr>
              <w:t>Period</w:t>
            </w:r>
          </w:p>
        </w:tc>
        <w:tc>
          <w:tcPr>
            <w:tcW w:w="1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3440" w:type="dxa"/>
            <w:vAlign w:val="bottom"/>
            <w:gridSpan w:val="3"/>
            <w:vMerge w:val="continue"/>
          </w:tcPr>
          <w:p>
            <w:pPr>
              <w:spacing w:after="0"/>
              <w:rPr>
                <w:sz w:val="7"/>
                <w:szCs w:val="7"/>
                <w:color w:val="auto"/>
              </w:rPr>
            </w:pPr>
          </w:p>
        </w:tc>
        <w:tc>
          <w:tcPr>
            <w:tcW w:w="2640" w:type="dxa"/>
            <w:vAlign w:val="bottom"/>
            <w:vMerge w:val="restart"/>
          </w:tcPr>
          <w:p>
            <w:pPr>
              <w:jc w:val="center"/>
              <w:ind w:right="24"/>
              <w:spacing w:after="0" w:line="145" w:lineRule="exact"/>
              <w:rPr>
                <w:sz w:val="20"/>
                <w:szCs w:val="20"/>
                <w:color w:val="auto"/>
              </w:rPr>
            </w:pPr>
            <w:r>
              <w:rPr>
                <w:rFonts w:ascii="Arial" w:cs="Arial" w:eastAsia="Arial" w:hAnsi="Arial"/>
                <w:sz w:val="14"/>
                <w:szCs w:val="14"/>
                <w:b w:val="1"/>
                <w:bCs w:val="1"/>
                <w:color w:val="auto"/>
                <w:w w:val="91"/>
              </w:rPr>
              <w:t>may yet be purchased under the plans or</w:t>
            </w:r>
          </w:p>
        </w:tc>
        <w:tc>
          <w:tcPr>
            <w:tcW w:w="0" w:type="dxa"/>
            <w:vAlign w:val="bottom"/>
          </w:tcPr>
          <w:p>
            <w:pPr>
              <w:spacing w:after="0"/>
              <w:rPr>
                <w:sz w:val="1"/>
                <w:szCs w:val="1"/>
                <w:color w:val="auto"/>
              </w:rPr>
            </w:pPr>
          </w:p>
        </w:tc>
      </w:tr>
      <w:tr>
        <w:trPr>
          <w:trHeight w:val="63"/>
        </w:trPr>
        <w:tc>
          <w:tcPr>
            <w:tcW w:w="1840" w:type="dxa"/>
            <w:vAlign w:val="bottom"/>
            <w:gridSpan w:val="2"/>
            <w:vMerge w:val="continue"/>
          </w:tcPr>
          <w:p>
            <w:pPr>
              <w:spacing w:after="0"/>
              <w:rPr>
                <w:sz w:val="5"/>
                <w:szCs w:val="5"/>
                <w:color w:val="auto"/>
              </w:rPr>
            </w:pPr>
          </w:p>
        </w:tc>
        <w:tc>
          <w:tcPr>
            <w:tcW w:w="186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purchased by month</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34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of publicly announced repurchase programs</w:t>
            </w: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440" w:type="dxa"/>
            <w:vAlign w:val="bottom"/>
            <w:gridSpan w:val="3"/>
            <w:vMerge w:val="continue"/>
          </w:tcPr>
          <w:p>
            <w:pPr>
              <w:spacing w:after="0"/>
              <w:rPr>
                <w:sz w:val="10"/>
                <w:szCs w:val="10"/>
                <w:color w:val="auto"/>
              </w:rPr>
            </w:pPr>
          </w:p>
        </w:tc>
        <w:tc>
          <w:tcPr>
            <w:tcW w:w="26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program</w:t>
            </w:r>
          </w:p>
        </w:tc>
        <w:tc>
          <w:tcPr>
            <w:tcW w:w="0" w:type="dxa"/>
            <w:vAlign w:val="bottom"/>
          </w:tcPr>
          <w:p>
            <w:pPr>
              <w:spacing w:after="0"/>
              <w:rPr>
                <w:sz w:val="1"/>
                <w:szCs w:val="1"/>
                <w:color w:val="auto"/>
              </w:rPr>
            </w:pPr>
          </w:p>
        </w:tc>
      </w:tr>
      <w:tr>
        <w:trPr>
          <w:trHeight w:val="63"/>
        </w:trPr>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93"/>
              </w:rPr>
              <w:t>07/01/23 - 07/31/23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40" w:type="dxa"/>
            <w:vAlign w:val="bottom"/>
            <w:gridSpan w:val="3"/>
            <w:shd w:val="clear" w:color="auto" w:fill="CCEEFF"/>
          </w:tcPr>
          <w:p>
            <w:pPr>
              <w:ind w:left="3000"/>
              <w:spacing w:after="0"/>
              <w:rPr>
                <w:sz w:val="20"/>
                <w:szCs w:val="20"/>
                <w:color w:val="auto"/>
              </w:rPr>
            </w:pPr>
            <w:r>
              <w:rPr>
                <w:rFonts w:ascii="Arial" w:cs="Arial" w:eastAsia="Arial" w:hAnsi="Arial"/>
                <w:sz w:val="16"/>
                <w:szCs w:val="16"/>
                <w:color w:val="auto"/>
              </w:rPr>
              <w:t>—  $</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740" w:type="dxa"/>
            <w:vAlign w:val="bottom"/>
          </w:tcPr>
          <w:p>
            <w:pPr>
              <w:jc w:val="right"/>
              <w:ind w:right="341"/>
              <w:spacing w:after="0"/>
              <w:rPr>
                <w:sz w:val="20"/>
                <w:szCs w:val="20"/>
                <w:color w:val="auto"/>
              </w:rPr>
            </w:pPr>
            <w:r>
              <w:rPr>
                <w:rFonts w:ascii="Arial" w:cs="Arial" w:eastAsia="Arial" w:hAnsi="Arial"/>
                <w:sz w:val="16"/>
                <w:szCs w:val="16"/>
                <w:color w:val="auto"/>
                <w:w w:val="93"/>
              </w:rPr>
              <w:t>08/01/23 - 08/31/23</w:t>
            </w:r>
          </w:p>
        </w:tc>
        <w:tc>
          <w:tcPr>
            <w:tcW w:w="100" w:type="dxa"/>
            <w:vAlign w:val="bottom"/>
          </w:tcPr>
          <w:p>
            <w:pPr>
              <w:spacing w:after="0"/>
              <w:rPr>
                <w:sz w:val="18"/>
                <w:szCs w:val="18"/>
                <w:color w:val="auto"/>
              </w:rPr>
            </w:pPr>
          </w:p>
        </w:tc>
        <w:tc>
          <w:tcPr>
            <w:tcW w:w="1860" w:type="dxa"/>
            <w:vAlign w:val="bottom"/>
          </w:tcPr>
          <w:p>
            <w:pPr>
              <w:jc w:val="right"/>
              <w:ind w:right="2"/>
              <w:spacing w:after="0"/>
              <w:rPr>
                <w:sz w:val="20"/>
                <w:szCs w:val="20"/>
                <w:color w:val="auto"/>
              </w:rPr>
            </w:pPr>
            <w:r>
              <w:rPr>
                <w:rFonts w:ascii="Arial" w:cs="Arial" w:eastAsia="Arial" w:hAnsi="Arial"/>
                <w:sz w:val="16"/>
                <w:szCs w:val="16"/>
                <w:color w:val="auto"/>
              </w:rPr>
              <w:t>2,296,739</w:t>
            </w:r>
          </w:p>
        </w:tc>
        <w:tc>
          <w:tcPr>
            <w:tcW w:w="3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54.42</w:t>
            </w:r>
          </w:p>
        </w:tc>
        <w:tc>
          <w:tcPr>
            <w:tcW w:w="80" w:type="dxa"/>
            <w:vAlign w:val="bottom"/>
          </w:tcPr>
          <w:p>
            <w:pPr>
              <w:spacing w:after="0"/>
              <w:rPr>
                <w:sz w:val="18"/>
                <w:szCs w:val="18"/>
                <w:color w:val="auto"/>
              </w:rPr>
            </w:pPr>
          </w:p>
        </w:tc>
        <w:tc>
          <w:tcPr>
            <w:tcW w:w="3240" w:type="dxa"/>
            <w:vAlign w:val="bottom"/>
          </w:tcPr>
          <w:p>
            <w:pPr>
              <w:jc w:val="right"/>
              <w:ind w:right="2"/>
              <w:spacing w:after="0"/>
              <w:rPr>
                <w:sz w:val="20"/>
                <w:szCs w:val="20"/>
                <w:color w:val="auto"/>
              </w:rPr>
            </w:pPr>
            <w:r>
              <w:rPr>
                <w:rFonts w:ascii="Arial" w:cs="Arial" w:eastAsia="Arial" w:hAnsi="Arial"/>
                <w:sz w:val="16"/>
                <w:szCs w:val="16"/>
                <w:color w:val="auto"/>
              </w:rPr>
              <w:t>2,296,739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25,000,000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93"/>
              </w:rPr>
              <w:t>09/01/23 - 09/30/23</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25,000,000</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2,296,739</w:t>
            </w:r>
          </w:p>
        </w:tc>
        <w:tc>
          <w:tcPr>
            <w:tcW w:w="3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2,296,739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15, 2023, the Company entered into a $125 million accelerated share repurchase ("August 2023 ASR") and received 2.3 million shares of the Common stock at inception of the August 2023 ASR, which represented approximately 80% of the expected total shares under the August 2023 ASR. The remaining purchase transactions are expected to be completed in the fourth quarter of 2023.</w:t>
      </w:r>
    </w:p>
    <w:p>
      <w:pPr>
        <w:spacing w:after="0" w:line="6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11, Treasury Stock,</w:t>
      </w:r>
      <w:r>
        <w:rPr>
          <w:rFonts w:ascii="Arial" w:cs="Arial" w:eastAsia="Arial" w:hAnsi="Arial"/>
          <w:sz w:val="18"/>
          <w:szCs w:val="18"/>
          <w:color w:val="auto"/>
        </w:rPr>
        <w:t xml:space="preserve"> to the Notes to Unaudited Condensed Consolidated Financial Statements (Part I, Item 1 of this Quarterly Report) for additional information regarding our share repurchase program and the 2023 ASRs.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quarter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Exhibits</w:t>
            </w:r>
          </w:p>
        </w:tc>
        <w:tc>
          <w:tcPr>
            <w:tcW w:w="13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3.1(a)</w:t>
            </w:r>
          </w:p>
        </w:tc>
        <w:tc>
          <w:tcPr>
            <w:tcW w:w="48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Amended and Restated Certificate of Incorporation of the Company dated February 16, 1993 (Incorporated by reference to Exhibit</w:t>
              </w:r>
            </w:hyperlink>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3.</w:t>
              </w:r>
              <w:r>
                <w:rPr>
                  <w:rFonts w:ascii="Arial" w:cs="Arial" w:eastAsia="Arial" w:hAnsi="Arial"/>
                  <w:sz w:val="18"/>
                  <w:szCs w:val="18"/>
                  <w:u w:val="single" w:color="auto"/>
                  <w:color w:val="0000FF"/>
                  <w:w w:val="90"/>
                </w:rPr>
                <w:t>1(a)</w:t>
              </w:r>
              <w:r>
                <w:rPr>
                  <w:rFonts w:ascii="Arial" w:cs="Arial" w:eastAsia="Arial" w:hAnsi="Arial"/>
                  <w:sz w:val="18"/>
                  <w:szCs w:val="18"/>
                  <w:color w:val="0000FF"/>
                  <w:w w:val="90"/>
                </w:rPr>
                <w:t xml:space="preserve"> to the Company’s Annual Report on Form 10-K for the fiscal year ended December 31, 2005)</w:t>
              </w:r>
            </w:hyperlink>
          </w:p>
        </w:tc>
        <w:tc>
          <w:tcPr>
            <w:tcW w:w="22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3.1(b)</w:t>
            </w:r>
          </w:p>
        </w:tc>
        <w:tc>
          <w:tcPr>
            <w:tcW w:w="9560" w:type="dxa"/>
            <w:vAlign w:val="bottom"/>
            <w:gridSpan w:val="14"/>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Certificate of Amendment to Amended and Restated Certificate of Incorporation of the Company dated May 22, 1998 (Incorporated</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by reference to Exhibit 3.1(b) to the Company’s Annual Report on Form 10-K for the fiscal year ended December 31, 1998)</w:t>
              </w:r>
            </w:hyperlink>
          </w:p>
        </w:tc>
        <w:tc>
          <w:tcPr>
            <w:tcW w:w="5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3.1(c)</w:t>
            </w:r>
          </w:p>
        </w:tc>
        <w:tc>
          <w:tcPr>
            <w:tcW w:w="9560" w:type="dxa"/>
            <w:vAlign w:val="bottom"/>
            <w:gridSpan w:val="14"/>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Certificate of Amendment to Amended and Restated Certificate of Incorporation of the Company dated May 17, 1999 (Incorporated</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by reference to Exhibit 3.1(c) to the Company’s Annual Report on Form 10-K for the fiscal year ended December 31, 2004)</w:t>
              </w:r>
            </w:hyperlink>
          </w:p>
        </w:tc>
        <w:tc>
          <w:tcPr>
            <w:tcW w:w="6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3.1(d)</w:t>
            </w:r>
          </w:p>
        </w:tc>
        <w:tc>
          <w:tcPr>
            <w:tcW w:w="9560" w:type="dxa"/>
            <w:vAlign w:val="bottom"/>
            <w:gridSpan w:val="14"/>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Certificate of Amendment to Amended and Restated Certificate of Incorporation of the Company dated December 21, 2016</w:t>
              </w:r>
            </w:hyperlink>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00" w:type="dxa"/>
            <w:vAlign w:val="bottom"/>
            <w:tcBorders>
              <w:top w:val="single" w:sz="8" w:color="0000FF"/>
            </w:tcBorders>
            <w:gridSpan w:val="7"/>
          </w:tcPr>
          <w:p>
            <w:pPr>
              <w:spacing w:after="0" w:line="156" w:lineRule="exact"/>
              <w:rPr>
                <w:rFonts w:ascii="Arial" w:cs="Arial" w:eastAsia="Arial" w:hAnsi="Arial"/>
                <w:sz w:val="18"/>
                <w:szCs w:val="18"/>
                <w:color w:val="0000FF"/>
                <w:w w:val="95"/>
              </w:rPr>
            </w:pPr>
            <w:hyperlink r:id="rId100">
              <w:r>
                <w:rPr>
                  <w:rFonts w:ascii="Arial" w:cs="Arial" w:eastAsia="Arial" w:hAnsi="Arial"/>
                  <w:sz w:val="18"/>
                  <w:szCs w:val="18"/>
                  <w:color w:val="0000FF"/>
                  <w:w w:val="95"/>
                </w:rPr>
                <w:t>(Incorporated by reference to Exhibit 3.1 to the Company’s Current Report on Form 8-K filed on December 22, 2016)</w:t>
              </w:r>
            </w:hyperlink>
          </w:p>
        </w:tc>
        <w:tc>
          <w:tcPr>
            <w:tcW w:w="36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Second Amended and Restated Bylaws of Integra LifeSciences Holdings Corporation, effective as of December 11, 2018</w:t>
              </w:r>
            </w:hyperlink>
          </w:p>
        </w:tc>
      </w:tr>
      <w:tr>
        <w:trPr>
          <w:trHeight w:val="156"/>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Borders>
              <w:top w:val="single" w:sz="8" w:color="0000FF"/>
            </w:tcBorders>
            <w:gridSpan w:val="6"/>
          </w:tcPr>
          <w:p>
            <w:pPr>
              <w:spacing w:after="0" w:line="156"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(Incorporated by reference to Exhibit 3.2 to the Company’s Current Report on Form 8-k filed on December 12, 2018)</w:t>
              </w:r>
            </w:hyperlink>
          </w:p>
        </w:tc>
        <w:tc>
          <w:tcPr>
            <w:tcW w:w="540" w:type="dxa"/>
            <w:vAlign w:val="bottom"/>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9560" w:type="dxa"/>
            <w:vAlign w:val="bottom"/>
            <w:gridSpan w:val="14"/>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Third Amended and Restated Bylaws of Integra LifeSciences Holdings Corporation, effective as of February 21, 2023 (Incorporated</w:t>
              </w:r>
            </w:hyperlink>
          </w:p>
        </w:tc>
      </w:tr>
      <w:tr>
        <w:trPr>
          <w:trHeight w:val="155"/>
        </w:trPr>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13"/>
          </w:tcPr>
          <w:p>
            <w:pPr>
              <w:spacing w:after="0" w:line="156"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by reference to Exhibit 3.3 to the Company’s Annual Report on Form 10-K for the fiscal year ended December 31, 2022 filed on</w:t>
              </w:r>
            </w:hyperlink>
          </w:p>
        </w:tc>
        <w:tc>
          <w:tcPr>
            <w:tcW w:w="20" w:type="dxa"/>
            <w:vAlign w:val="bottom"/>
          </w:tcPr>
          <w:p>
            <w:pPr>
              <w:spacing w:after="0"/>
              <w:rPr>
                <w:sz w:val="13"/>
                <w:szCs w:val="13"/>
                <w:color w:val="auto"/>
              </w:rPr>
            </w:pPr>
          </w:p>
        </w:tc>
      </w:tr>
      <w:tr>
        <w:trPr>
          <w:trHeight w:val="169"/>
        </w:trPr>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102">
              <w:r>
                <w:rPr>
                  <w:rFonts w:ascii="Arial" w:cs="Arial" w:eastAsia="Arial" w:hAnsi="Arial"/>
                  <w:sz w:val="18"/>
                  <w:szCs w:val="18"/>
                  <w:color w:val="0000FF"/>
                  <w:w w:val="88"/>
                </w:rPr>
                <w:t>February 22, 2023)</w:t>
              </w:r>
            </w:hyperlink>
          </w:p>
        </w:tc>
        <w:tc>
          <w:tcPr>
            <w:tcW w:w="7880" w:type="dxa"/>
            <w:vAlign w:val="bottom"/>
            <w:tcBorders>
              <w:top w:val="single" w:sz="8" w:color="0000FF"/>
            </w:tcBorders>
            <w:gridSpan w:val="9"/>
          </w:tcPr>
          <w:p>
            <w:pPr>
              <w:spacing w:after="0"/>
              <w:rPr>
                <w:sz w:val="14"/>
                <w:szCs w:val="14"/>
                <w:color w:val="auto"/>
              </w:rPr>
            </w:pPr>
          </w:p>
        </w:tc>
        <w:tc>
          <w:tcPr>
            <w:tcW w:w="300" w:type="dxa"/>
            <w:vAlign w:val="bottom"/>
            <w:gridSpan w:val="4"/>
          </w:tcPr>
          <w:p>
            <w:pPr>
              <w:spacing w:after="0"/>
              <w:rPr>
                <w:sz w:val="14"/>
                <w:szCs w:val="1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7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Principal Executive Officer Pursuant to Section 302 of the Sarbanes-Oxley Act of 2002</w:t>
            </w:r>
          </w:p>
        </w:tc>
        <w:tc>
          <w:tcPr>
            <w:tcW w:w="2120" w:type="dxa"/>
            <w:vAlign w:val="bottom"/>
            <w:gridSpan w:val="10"/>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w:t>
            </w:r>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7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Principal Executive Officer Pursuant to Section 906 of the Sarbanes-Oxley Act of 2002</w:t>
            </w:r>
          </w:p>
        </w:tc>
        <w:tc>
          <w:tcPr>
            <w:tcW w:w="2120" w:type="dxa"/>
            <w:vAlign w:val="bottom"/>
            <w:gridSpan w:val="10"/>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0000FF"/>
              </w:rPr>
              <w:t>Certification of Principal Financial Officer Pursuant to Section 906 of the Sarbanes-Oxley Act of 2002</w:t>
            </w:r>
          </w:p>
        </w:tc>
      </w:tr>
      <w:tr>
        <w:trPr>
          <w:trHeight w:val="20"/>
        </w:trPr>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*†101.INS</w:t>
            </w:r>
          </w:p>
        </w:tc>
        <w:tc>
          <w:tcPr>
            <w:tcW w:w="9560" w:type="dxa"/>
            <w:vAlign w:val="bottom"/>
            <w:gridSpan w:val="14"/>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350"/>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*†101.SCH</w:t>
            </w:r>
          </w:p>
        </w:tc>
        <w:tc>
          <w:tcPr>
            <w:tcW w:w="95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*†101.CAL</w:t>
            </w:r>
          </w:p>
        </w:tc>
        <w:tc>
          <w:tcPr>
            <w:tcW w:w="956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*†101.DEF</w:t>
            </w:r>
          </w:p>
        </w:tc>
        <w:tc>
          <w:tcPr>
            <w:tcW w:w="9560" w:type="dxa"/>
            <w:vAlign w:val="bottom"/>
            <w:gridSpan w:val="14"/>
          </w:tcPr>
          <w:p>
            <w:pPr>
              <w:spacing w:after="0"/>
              <w:rPr>
                <w:sz w:val="20"/>
                <w:szCs w:val="20"/>
                <w:color w:val="auto"/>
              </w:rPr>
            </w:pPr>
            <w:r>
              <w:rPr>
                <w:rFonts w:ascii="Arial" w:cs="Arial" w:eastAsia="Arial" w:hAnsi="Arial"/>
                <w:sz w:val="18"/>
                <w:szCs w:val="18"/>
                <w:color w:val="auto"/>
              </w:rPr>
              <w:t>XBRL Definition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*†101.LAB</w:t>
            </w:r>
          </w:p>
        </w:tc>
        <w:tc>
          <w:tcPr>
            <w:tcW w:w="9560" w:type="dxa"/>
            <w:vAlign w:val="bottom"/>
            <w:gridSpan w:val="1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*†101.PRE</w:t>
            </w:r>
          </w:p>
        </w:tc>
        <w:tc>
          <w:tcPr>
            <w:tcW w:w="95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1580" w:hanging="557"/>
        <w:spacing w:after="0"/>
        <w:tabs>
          <w:tab w:leader="none" w:pos="1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sz w:val="20"/>
          <w:szCs w:val="20"/>
          <w:color w:val="auto"/>
        </w:rPr>
      </w:pPr>
    </w:p>
    <w:p>
      <w:pPr>
        <w:ind w:left="700" w:hanging="63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700" w:right="20" w:hanging="634"/>
        <w:spacing w:after="0" w:line="21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2023 filed on October 25, 2023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r>
        <w:rPr>
          <w:rFonts w:ascii="Arial" w:cs="Arial" w:eastAsia="Arial" w:hAnsi="Arial"/>
          <w:sz w:val="18"/>
          <w:szCs w:val="18"/>
          <w:color w:val="000000"/>
        </w:rPr>
        <w: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October 25, 2023</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De Witte</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Jan De Witte</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October 25, 2023</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Lea Knight</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Lea Knight</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October 25, 2023</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Mosebrook</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Jeffrey A. Mosebrook</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Jan De Witte,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240"/>
              <w:spacing w:after="0"/>
              <w:rPr>
                <w:sz w:val="20"/>
                <w:szCs w:val="20"/>
                <w:color w:val="auto"/>
              </w:rPr>
            </w:pPr>
            <w:r>
              <w:rPr>
                <w:rFonts w:ascii="Arial" w:cs="Arial" w:eastAsia="Arial" w:hAnsi="Arial"/>
                <w:sz w:val="18"/>
                <w:szCs w:val="18"/>
                <w:color w:val="auto"/>
              </w:rPr>
              <w:t>October 25, 2023</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 De Witte</w:t>
            </w:r>
          </w:p>
        </w:tc>
      </w:tr>
      <w:tr>
        <w:trPr>
          <w:trHeight w:val="222"/>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Jan De Witte</w:t>
            </w:r>
          </w:p>
        </w:tc>
      </w:tr>
      <w:tr>
        <w:trPr>
          <w:trHeight w:val="230"/>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Lea Knight,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20"/>
              <w:spacing w:after="0"/>
              <w:rPr>
                <w:sz w:val="20"/>
                <w:szCs w:val="20"/>
                <w:color w:val="auto"/>
              </w:rPr>
            </w:pPr>
            <w:r>
              <w:rPr>
                <w:rFonts w:ascii="Arial" w:cs="Arial" w:eastAsia="Arial" w:hAnsi="Arial"/>
                <w:sz w:val="18"/>
                <w:szCs w:val="18"/>
                <w:color w:val="auto"/>
              </w:rPr>
              <w:t>October 25, 2023</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Lea Knight</w:t>
            </w:r>
          </w:p>
        </w:tc>
      </w:tr>
      <w:tr>
        <w:trPr>
          <w:trHeight w:val="222"/>
        </w:trPr>
        <w:tc>
          <w:tcPr>
            <w:tcW w:w="6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Lea Knight</w:t>
            </w:r>
          </w:p>
        </w:tc>
      </w:tr>
      <w:tr>
        <w:trPr>
          <w:trHeight w:val="230"/>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Quarterly Report of Integra LifeSciences Holdings Corporation (the “Company”) on Form 10-Q for the quarter ended September 30, 2023 as filed with the Securities Exchange Commission on the date hereof (the “Report”), I, Jan De Witte, President and Chief Executive Officer of the Company, hereby certify, pursuant to 18 U.S.C. §1350, as adopted pursuant to §906 of the Sarbanes-Oxley Act of 2002, that to the best of my knowledge:</w:t>
      </w:r>
    </w:p>
    <w:p>
      <w:pPr>
        <w:spacing w:after="0" w:line="47"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40"/>
              <w:spacing w:after="0"/>
              <w:rPr>
                <w:sz w:val="20"/>
                <w:szCs w:val="20"/>
                <w:color w:val="auto"/>
              </w:rPr>
            </w:pPr>
            <w:r>
              <w:rPr>
                <w:rFonts w:ascii="Arial" w:cs="Arial" w:eastAsia="Arial" w:hAnsi="Arial"/>
                <w:sz w:val="18"/>
                <w:szCs w:val="18"/>
                <w:color w:val="auto"/>
              </w:rPr>
              <w:t>October 25, 2023</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 De Witte</w:t>
            </w:r>
          </w:p>
        </w:tc>
      </w:tr>
      <w:tr>
        <w:trPr>
          <w:trHeight w:val="222"/>
        </w:trPr>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Jan De Witte</w:t>
            </w:r>
          </w:p>
        </w:tc>
      </w:tr>
      <w:tr>
        <w:trPr>
          <w:trHeight w:val="230"/>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Integra LifeSciences Holdings Corporation (the “Company”) on Form 10-Q for the quarter ended September 30, 2023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8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40"/>
              <w:spacing w:after="0"/>
              <w:rPr>
                <w:sz w:val="20"/>
                <w:szCs w:val="20"/>
                <w:color w:val="auto"/>
              </w:rPr>
            </w:pPr>
            <w:r>
              <w:rPr>
                <w:rFonts w:ascii="Arial" w:cs="Arial" w:eastAsia="Arial" w:hAnsi="Arial"/>
                <w:sz w:val="18"/>
                <w:szCs w:val="18"/>
                <w:color w:val="auto"/>
              </w:rPr>
              <w:t>October 25, 2023</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Lea Knight</w:t>
            </w:r>
          </w:p>
        </w:tc>
      </w:tr>
      <w:tr>
        <w:trPr>
          <w:trHeight w:val="222"/>
        </w:trPr>
        <w:tc>
          <w:tcPr>
            <w:tcW w:w="5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Lea Knight</w:t>
            </w:r>
          </w:p>
        </w:tc>
      </w:tr>
      <w:tr>
        <w:trPr>
          <w:trHeight w:val="230"/>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Roman"/>
      <w:start w:val="1"/>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
      <w:numFmt w:val="bullet"/>
      <w:start w:val="1"/>
    </w:lvl>
    <w:lvl w:ilvl="1">
      <w:lvlJc w:val="left"/>
      <w:lvlText w:val="%2"/>
      <w:numFmt w:val="decimal"/>
      <w:start w:val="104"/>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3" Type="http://schemas.openxmlformats.org/officeDocument/2006/relationships/image" Target="media/image90.png"/><Relationship Id="rId97" Type="http://schemas.openxmlformats.org/officeDocument/2006/relationships/hyperlink" Target="http://www.sec.gov/Archives/edgar/data/917520/000091752006000066/ex3-1aform10k031406.txt" TargetMode="External"/><Relationship Id="rId98" Type="http://schemas.openxmlformats.org/officeDocument/2006/relationships/hyperlink" Target="http://www.sec.gov/Archives/edgar/data/917520/0000889812-99-001063.txt" TargetMode="External"/><Relationship Id="rId99" Type="http://schemas.openxmlformats.org/officeDocument/2006/relationships/hyperlink" Target="https://www.sec.gov/Archives/edgar/data/917520/000095012305003217/y06769exv3w1wc.txt" TargetMode="External"/><Relationship Id="rId100" Type="http://schemas.openxmlformats.org/officeDocument/2006/relationships/hyperlink" Target="https://www.sec.gov/Archives/edgar/data/917520/000091752016000107/ex_3x1xfileddecember22x2016.htm" TargetMode="External"/><Relationship Id="rId101" Type="http://schemas.openxmlformats.org/officeDocument/2006/relationships/hyperlink" Target="http://www.sec.gov/Archives/edgar/data/917520/000091752018000042/ex3_1xsecondarbylawsxdec20.htm" TargetMode="External"/><Relationship Id="rId102" Type="http://schemas.openxmlformats.org/officeDocument/2006/relationships/hyperlink" Target="https://www.sec.gov/Archives/edgar/data/917520/000091752023000015/iart-20221231xex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2023-10-25T15:37:09Z</dcterms:created>
  <dcterms:modified xsi:type="dcterms:W3CDTF">2023-10-25T15:37:09Z</dcterms:modified>
</cp:coreProperties>
</file>