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531995.xml.htm"/>
      <w:bookmarkStart w:id="1" w:name="kswkform4_17785319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Clay Shaundra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CAMPUS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INTEGRA LIFESCIENCES HOLDINGS CORP</w:t>
              </w:r>
            </w:hyperlink>
            <w:r>
              <w:rPr/>
              <w:t xml:space="preserve"> [ </w:t>
            </w:r>
            <w:r>
              <w:rPr>
                <w:rFonts w:ascii="Times;serif" w:hAnsi="Times;serif"/>
                <w:color w:val="0000FF"/>
                <w:sz w:val="24"/>
                <w:shd w:fill="FFFFFF" w:val="clear"/>
              </w:rPr>
              <w:t>IART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(RSUs) pursuant to the Integra LifeSciences Holdings Corporation (IART) Fifth Amended and Restated 2003 Equity Incentive Plan, as amended. Each RSU represents a contingent right to receive one share of IART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vest in full on the one-year anniversary of the grant date of May 7, 2026. The reporting person elected to defer receipt of the shares underlying the RSUs. In accordance with her deferral election, vested shares will be delivered to the reporting person in one lump sum, in the calendar year next following the calendar year in which the reporting person's termination of service on the Board of Directors occurs (unless the reporting person elected a later calendar year).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Hutchinson; Attorney-in-Fact for Shaundra Clay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606" TargetMode="External"/><Relationship Id="rId5" Type="http://schemas.openxmlformats.org/officeDocument/2006/relationships/hyperlink" Target="http://www.sec.gov/cgi-bin/browse-edgar?action=getcompany&amp;CIK=0000917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3716</Characters>
  <CharactersWithSpaces>4340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