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29, 2020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1" w:lineRule="exact"/>
        <w:rPr>
          <w:sz w:val="24"/>
          <w:szCs w:val="24"/>
          <w:color w:val="auto"/>
        </w:rPr>
      </w:pPr>
    </w:p>
    <w:tbl>
      <w:tblPr>
        <w:tblLayout w:type="fixed"/>
        <w:tblInd w:w="1680" w:type="dxa"/>
        <w:tblCellMar>
          <w:top w:w="0" w:type="dxa"/>
          <w:left w:w="0" w:type="dxa"/>
          <w:bottom w:w="0" w:type="dxa"/>
          <w:right w:w="0" w:type="dxa"/>
        </w:tblCellMar>
      </w:tblPr>
      <w:tr>
        <w:trPr>
          <w:trHeight w:val="230"/>
        </w:trPr>
        <w:tc>
          <w:tcPr>
            <w:tcW w:w="3240" w:type="dxa"/>
            <w:vAlign w:val="bottom"/>
          </w:tcPr>
          <w:p>
            <w:pPr>
              <w:jc w:val="center"/>
              <w:ind w:right="30"/>
              <w:spacing w:after="0"/>
              <w:rPr>
                <w:sz w:val="20"/>
                <w:szCs w:val="20"/>
                <w:color w:val="auto"/>
              </w:rPr>
            </w:pPr>
            <w:r>
              <w:rPr>
                <w:rFonts w:ascii="Arial" w:cs="Arial" w:eastAsia="Arial" w:hAnsi="Arial"/>
                <w:sz w:val="18"/>
                <w:szCs w:val="18"/>
                <w:color w:val="auto"/>
                <w:w w:val="89"/>
              </w:rPr>
              <w:t>Delaware</w:t>
            </w:r>
          </w:p>
        </w:tc>
        <w:tc>
          <w:tcPr>
            <w:tcW w:w="2240" w:type="dxa"/>
            <w:vAlign w:val="bottom"/>
          </w:tcPr>
          <w:p>
            <w:pPr>
              <w:jc w:val="right"/>
              <w:ind w:right="730"/>
              <w:spacing w:after="0"/>
              <w:rPr>
                <w:sz w:val="20"/>
                <w:szCs w:val="20"/>
                <w:color w:val="auto"/>
              </w:rPr>
            </w:pPr>
            <w:r>
              <w:rPr>
                <w:rFonts w:ascii="Arial" w:cs="Arial" w:eastAsia="Arial" w:hAnsi="Arial"/>
                <w:sz w:val="18"/>
                <w:szCs w:val="18"/>
                <w:color w:val="auto"/>
              </w:rPr>
              <w:t>0-26224</w:t>
            </w:r>
          </w:p>
        </w:tc>
        <w:tc>
          <w:tcPr>
            <w:tcW w:w="2380" w:type="dxa"/>
            <w:vAlign w:val="bottom"/>
          </w:tcPr>
          <w:p>
            <w:pPr>
              <w:jc w:val="center"/>
              <w:ind w:left="50"/>
              <w:spacing w:after="0"/>
              <w:rPr>
                <w:sz w:val="20"/>
                <w:szCs w:val="20"/>
                <w:color w:val="auto"/>
              </w:rPr>
            </w:pPr>
            <w:r>
              <w:rPr>
                <w:rFonts w:ascii="Arial" w:cs="Arial" w:eastAsia="Arial" w:hAnsi="Arial"/>
                <w:sz w:val="18"/>
                <w:szCs w:val="18"/>
                <w:color w:val="auto"/>
                <w:w w:val="91"/>
              </w:rPr>
              <w:t>51-0317849</w:t>
            </w:r>
          </w:p>
        </w:tc>
      </w:tr>
      <w:tr>
        <w:trPr>
          <w:trHeight w:val="256"/>
        </w:trPr>
        <w:tc>
          <w:tcPr>
            <w:tcW w:w="3240" w:type="dxa"/>
            <w:vAlign w:val="bottom"/>
          </w:tcPr>
          <w:p>
            <w:pPr>
              <w:jc w:val="center"/>
              <w:ind w:right="30"/>
              <w:spacing w:after="0"/>
              <w:rPr>
                <w:sz w:val="20"/>
                <w:szCs w:val="20"/>
                <w:color w:val="auto"/>
              </w:rPr>
            </w:pPr>
            <w:r>
              <w:rPr>
                <w:rFonts w:ascii="Arial" w:cs="Arial" w:eastAsia="Arial" w:hAnsi="Arial"/>
                <w:sz w:val="18"/>
                <w:szCs w:val="18"/>
                <w:color w:val="auto"/>
                <w:w w:val="93"/>
              </w:rPr>
              <w:t>(State or other jurisdiction of incorporation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80" w:type="dxa"/>
            <w:vAlign w:val="bottom"/>
          </w:tcPr>
          <w:p>
            <w:pPr>
              <w:jc w:val="center"/>
              <w:ind w:left="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240" w:type="dxa"/>
            <w:vAlign w:val="bottom"/>
          </w:tcPr>
          <w:p>
            <w:pPr>
              <w:jc w:val="center"/>
              <w:ind w:right="30"/>
              <w:spacing w:after="0"/>
              <w:rPr>
                <w:sz w:val="20"/>
                <w:szCs w:val="20"/>
                <w:color w:val="auto"/>
              </w:rPr>
            </w:pPr>
            <w:r>
              <w:rPr>
                <w:rFonts w:ascii="Arial" w:cs="Arial" w:eastAsia="Arial" w:hAnsi="Arial"/>
                <w:sz w:val="18"/>
                <w:szCs w:val="18"/>
                <w:color w:val="auto"/>
                <w:w w:val="92"/>
              </w:rPr>
              <w:t>or organization)</w:t>
            </w:r>
          </w:p>
        </w:tc>
        <w:tc>
          <w:tcPr>
            <w:tcW w:w="2240" w:type="dxa"/>
            <w:vAlign w:val="bottom"/>
          </w:tcPr>
          <w:p>
            <w:pPr>
              <w:spacing w:after="0"/>
              <w:rPr>
                <w:sz w:val="20"/>
                <w:szCs w:val="20"/>
                <w:color w:val="auto"/>
              </w:rPr>
            </w:pPr>
          </w:p>
        </w:tc>
        <w:tc>
          <w:tcPr>
            <w:tcW w:w="2380" w:type="dxa"/>
            <w:vAlign w:val="bottom"/>
          </w:tcPr>
          <w:p>
            <w:pPr>
              <w:jc w:val="center"/>
              <w:ind w:left="50"/>
              <w:spacing w:after="0"/>
              <w:rPr>
                <w:sz w:val="20"/>
                <w:szCs w:val="20"/>
                <w:color w:val="auto"/>
              </w:rPr>
            </w:pPr>
            <w:r>
              <w:rPr>
                <w:rFonts w:ascii="Arial" w:cs="Arial" w:eastAsia="Arial" w:hAnsi="Arial"/>
                <w:sz w:val="18"/>
                <w:szCs w:val="18"/>
                <w:color w:val="auto"/>
                <w:w w:val="93"/>
              </w:rPr>
              <w:t>No.)</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1100 Campus Road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5"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35"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35"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Section12(b) of the Act:</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317"/>
        </w:trPr>
        <w:tc>
          <w:tcPr>
            <w:tcW w:w="1380" w:type="dxa"/>
            <w:vAlign w:val="bottom"/>
          </w:tcPr>
          <w:p>
            <w:pPr>
              <w:spacing w:after="0"/>
              <w:rPr>
                <w:sz w:val="24"/>
                <w:szCs w:val="24"/>
                <w:color w:val="auto"/>
              </w:rPr>
            </w:pPr>
          </w:p>
        </w:tc>
        <w:tc>
          <w:tcPr>
            <w:tcW w:w="3700" w:type="dxa"/>
            <w:vAlign w:val="bottom"/>
            <w:gridSpan w:val="2"/>
          </w:tcPr>
          <w:p>
            <w:pPr>
              <w:jc w:val="center"/>
              <w:ind w:right="2400"/>
              <w:spacing w:after="0"/>
              <w:rPr>
                <w:sz w:val="20"/>
                <w:szCs w:val="20"/>
                <w:color w:val="auto"/>
              </w:rPr>
            </w:pPr>
            <w:r>
              <w:rPr>
                <w:rFonts w:ascii="Arial" w:cs="Arial" w:eastAsia="Arial" w:hAnsi="Arial"/>
                <w:sz w:val="16"/>
                <w:szCs w:val="16"/>
                <w:b w:val="1"/>
                <w:bCs w:val="1"/>
                <w:color w:val="auto"/>
                <w:w w:val="91"/>
              </w:rPr>
              <w:t>Title of Each Class</w:t>
            </w:r>
          </w:p>
        </w:tc>
        <w:tc>
          <w:tcPr>
            <w:tcW w:w="194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90"/>
              </w:rPr>
              <w:t>Trading Symbol</w:t>
            </w:r>
          </w:p>
        </w:tc>
        <w:tc>
          <w:tcPr>
            <w:tcW w:w="3600" w:type="dxa"/>
            <w:vAlign w:val="bottom"/>
            <w:gridSpan w:val="2"/>
          </w:tcPr>
          <w:p>
            <w:pPr>
              <w:jc w:val="center"/>
              <w:ind w:left="73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0"/>
        </w:trPr>
        <w:tc>
          <w:tcPr>
            <w:tcW w:w="508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Common Stock, Par Value $.01 Per Share</w:t>
            </w:r>
          </w:p>
        </w:tc>
        <w:tc>
          <w:tcPr>
            <w:tcW w:w="1940" w:type="dxa"/>
            <w:vAlign w:val="bottom"/>
            <w:gridSpan w:val="2"/>
          </w:tcPr>
          <w:p>
            <w:pPr>
              <w:jc w:val="center"/>
              <w:ind w:right="840"/>
              <w:spacing w:after="0"/>
              <w:rPr>
                <w:sz w:val="20"/>
                <w:szCs w:val="20"/>
                <w:color w:val="auto"/>
              </w:rPr>
            </w:pPr>
            <w:r>
              <w:rPr>
                <w:rFonts w:ascii="Arial" w:cs="Arial" w:eastAsia="Arial" w:hAnsi="Arial"/>
                <w:sz w:val="18"/>
                <w:szCs w:val="18"/>
                <w:color w:val="auto"/>
              </w:rPr>
              <w:t>IART</w:t>
            </w:r>
          </w:p>
        </w:tc>
        <w:tc>
          <w:tcPr>
            <w:tcW w:w="82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72" w:lineRule="exact"/>
        <w:rPr>
          <w:sz w:val="24"/>
          <w:szCs w:val="24"/>
          <w:color w:val="auto"/>
        </w:rPr>
      </w:pPr>
    </w:p>
    <w:p>
      <w:pPr>
        <w:ind w:right="16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240"/>
          </w:cols>
          <w:pgMar w:left="320" w:top="692" w:right="3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Temporary Reduction in Base Salary of Executive Officers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April 16, 2020, the Compensation Committee (the “Committee”) of the Company’s Board of Directors (the “Board”) and the Board approved temporary reductions in the base salaries of the Company’s named executive officers in response to uncertainty caused by the COVID-19 pandemic. On July 29, 2020, the Board and the Committee approved the revocation of those temporary base salary reductions, effective August 1, 2020. As a result, on August 1, 2020, the base salaries of Peter J. Arduini, the Company’s President and Chief Executive Officer; Carrie Anderson, the Chief Financial Officer; Glenn Coleman, the Chief Operating Officer; Robert Davis, President of Orthopedics and Tissue Technologies; and Eric Schwartz, the Chief Legal Officer will be restored to the amounts in effect immediately prior to the implementation of the temporary decreases.</w:t>
      </w:r>
    </w:p>
    <w:p>
      <w:pPr>
        <w:sectPr>
          <w:pgSz w:w="11900" w:h="16838" w:orient="portrait"/>
          <w:cols w:equalWidth="0" w:num="1">
            <w:col w:w="11240"/>
          </w:cols>
          <w:pgMar w:left="320" w:top="594"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INTEGRA LIFESCIENCES HOLDINGS CORPORATION</w:t>
      </w:r>
    </w:p>
    <w:p>
      <w:pPr>
        <w:spacing w:after="0" w:line="387" w:lineRule="exact"/>
        <w:rPr>
          <w:sz w:val="20"/>
          <w:szCs w:val="20"/>
          <w:color w:val="auto"/>
        </w:rPr>
      </w:pPr>
    </w:p>
    <w:p>
      <w:pPr>
        <w:ind w:left="40"/>
        <w:spacing w:after="0"/>
        <w:tabs>
          <w:tab w:leader="none" w:pos="4800" w:val="left"/>
          <w:tab w:leader="none" w:pos="548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-10160</wp:posOffset>
            </wp:positionV>
            <wp:extent cx="923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Carrie Anderson</w:t>
      </w:r>
    </w:p>
    <w:p>
      <w:pPr>
        <w:spacing w:after="0" w:line="63" w:lineRule="exact"/>
        <w:rPr>
          <w:sz w:val="20"/>
          <w:szCs w:val="20"/>
          <w:color w:val="auto"/>
        </w:rPr>
      </w:pPr>
    </w:p>
    <w:p>
      <w:pPr>
        <w:ind w:left="4820"/>
        <w:spacing w:after="0"/>
        <w:tabs>
          <w:tab w:leader="none" w:pos="5440" w:val="left"/>
        </w:tabs>
        <w:rPr>
          <w:sz w:val="20"/>
          <w:szCs w:val="20"/>
          <w:color w:val="auto"/>
        </w:rPr>
      </w:pPr>
      <w:r>
        <w:rPr>
          <w:rFonts w:ascii="Arial" w:cs="Arial" w:eastAsia="Arial" w:hAnsi="Arial"/>
          <w:sz w:val="18"/>
          <w:szCs w:val="18"/>
          <w:color w:val="auto"/>
        </w:rPr>
        <w:t>Title:</w:t>
        <w:tab/>
        <w:t>Executive Vice President and Chief Financial Officer</w:t>
      </w: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2020-08-03T07:02:21Z</dcterms:created>
  <dcterms:modified xsi:type="dcterms:W3CDTF">2020-08-03T07:02:21Z</dcterms:modified>
</cp:coreProperties>
</file>