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7"/>
        </w:rPr>
      </w:pPr>
      <w:r>
        <w:rPr>
          <w:rFonts w:ascii="Times New Roman;serif" w:hAnsi="Times New Roman;serif"/>
          <w:b w:val="false"/>
          <w:color w:val="000000"/>
          <w:sz w:val="27"/>
        </w:rPr>
        <w:t xml:space="preserve">Washington, D.C. 20549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 xml:space="preserve">July 29, 2026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INTEGRA LIFESCIENCES HOLDINGS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3"/>
        <w:gridCol w:w="1602"/>
        <w:gridCol w:w="1618"/>
        <w:gridCol w:w="758"/>
        <w:gridCol w:w="758"/>
        <w:gridCol w:w="766"/>
        <w:gridCol w:w="840"/>
        <w:gridCol w:w="840"/>
        <w:gridCol w:w="1200"/>
      </w:tblGrid>
      <w:tr>
        <w:trPr/>
        <w:tc>
          <w:tcPr>
            <w:tcW w:w="182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0-26224</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51-0317849</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Incorporation or Organization) </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1100 Campus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Princeton, NJ 08540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(Zip Code)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(609) 275-0500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8"/>
        </w:rPr>
        <w:t>Securities Registered Pursuant to Section12(b) of the Act:</w:t>
      </w:r>
      <w:r>
        <w:rPr>
          <w:color w:val="000000"/>
        </w:rPr>
        <w:t xml:space="preserve"> </w:t>
      </w:r>
    </w:p>
    <w:tbl>
      <w:tblPr>
        <w:tblW w:w="8052" w:type="dxa"/>
        <w:jc w:val="center"/>
        <w:tblInd w:w="0" w:type="dxa"/>
        <w:tblLayout w:type="fixed"/>
        <w:tblCellMar>
          <w:top w:w="28" w:type="dxa"/>
          <w:left w:w="28" w:type="dxa"/>
          <w:bottom w:w="28" w:type="dxa"/>
          <w:right w:w="28" w:type="dxa"/>
        </w:tblCellMar>
      </w:tblPr>
      <w:tblGrid>
        <w:gridCol w:w="1249"/>
        <w:gridCol w:w="1097"/>
        <w:gridCol w:w="1103"/>
        <w:gridCol w:w="454"/>
        <w:gridCol w:w="454"/>
        <w:gridCol w:w="456"/>
        <w:gridCol w:w="947"/>
        <w:gridCol w:w="947"/>
        <w:gridCol w:w="1345"/>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Exchange on Which Registered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IART</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29, 2026, Integra LifeSciences Holdings Corporation (the “Company”) issued a press release announcing financial results for the quarter ended June 30, 2026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for the quarters ended June 30, 2026 and 2025, GAAP net income to adjusted earnings before interest, taxes, depreciation and amortization (“EBITDA”) for the quarters ended June 30, 2026 and 2025, GAAP net income to adjusted net income for the quarters ended June 30, 2026 and 2025, GAAP gross profits to adjusted gross profits for the quarters ended June 30, 2026 and 2025, GAAP gross margin to adjusted gross margin for the quarters ended June 30, 2026 and 2025, GAAP earnings per diluted share to adjusted earnings per diluted share for the quarters ended June 30, 2026 and 2025, and GAAP total debt to net debt for the quarters ended June 30, 2026 and December 31,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Press Release, the Company provided forward-looking guidance regarding organic revenues and adjusted earnings per diluted share but did not provide reconciliations to the most directly comparable forward-looking GAAP financial measures because certain GAAP expense items and the impact of changes in foreign exchange rates are highly variable and management is unable to predict them with reasonable certainty and without unreasonable effort.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Discussion of Adjusted Financial Measures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 addition to our GAAP results, we provide certain non-GAAP measures, including organic revenues, adjusted EBITDA, adjusted net income, adjusted gross profit, adjusted gross margin, adjusted earnings per diluted share, and net debt.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w:t>
      </w:r>
      <w:r>
        <w:rPr>
          <w:color w:val="000000"/>
        </w:rPr>
        <w:t xml:space="preserve"> </w:t>
      </w:r>
      <w:r>
        <w:rPr>
          <w:rFonts w:ascii="Times New Roman;serif" w:hAnsi="Times New Roman;serif"/>
          <w:b w:val="false"/>
          <w:color w:val="000000"/>
          <w:sz w:val="20"/>
        </w:rPr>
        <w:t xml:space="preserve">The measure of adjusted net income consists of GAAP net income, excluding: (i) structural optimization charges; (ii) divestiture, acquisition and integration-related charges; (iii) EU Medical Device Regulation-related charges; (iv) </w:t>
      </w:r>
      <w:r>
        <w:rPr>
          <w:rFonts w:ascii="Times New Roman;serif" w:hAnsi="Times New Roman;serif"/>
          <w:b w:val="false"/>
          <w:color w:val="000000"/>
          <w:sz w:val="24"/>
        </w:rPr>
        <w:t xml:space="preserve">charges related to </w:t>
      </w:r>
      <w:r>
        <w:rPr>
          <w:rFonts w:ascii="Times New Roman;serif" w:hAnsi="Times New Roman;serif"/>
          <w:b w:val="false"/>
          <w:color w:val="000000"/>
          <w:sz w:val="20"/>
        </w:rPr>
        <w:t>the transition of Boston-related manufacturing operations to the Company’s Braintree, Massachusetts facility (the “Braintree transition”); (v) intangible asset amortization expense; (vi) income tax impact from adjustments; and (vii) impairment charges.</w:t>
      </w:r>
      <w:r>
        <w:rPr>
          <w:color w:val="000000"/>
        </w:rPr>
        <w:t xml:space="preserve"> </w:t>
      </w:r>
      <w:r>
        <w:rPr>
          <w:rFonts w:ascii="Times New Roman;serif" w:hAnsi="Times New Roman;serif"/>
          <w:b w:val="false"/>
          <w:color w:val="000000"/>
          <w:sz w:val="20"/>
        </w:rPr>
        <w:t>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w:t>
      </w:r>
      <w:r>
        <w:rPr>
          <w:color w:val="000000"/>
        </w:rPr>
        <w:t xml:space="preserve"> </w:t>
      </w:r>
      <w:r>
        <w:rPr>
          <w:rFonts w:ascii="Times New Roman;serif" w:hAnsi="Times New Roman;serif"/>
          <w:b w:val="false"/>
          <w:color w:val="000000"/>
          <w:sz w:val="20"/>
        </w:rPr>
        <w:t>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the presentation of organic revenues and the various adjusted EBITDA, adjusted net income, adjusted gross profit, adjusted gross margin, adjusted earnings per diluted share, and net debt measures provides important supplemental information to management and investors regarding financial and business trends relating to the Company's financial condition and results of operations. Management uses non-GAAP financial measures in the form of organic revenues, adjusted EBITDA, adjusted net income, adjusted gross profit, adjusted gross margin, adjusted earnings per diluted share, and net debt when evaluating operating performance because we believe that the inclusion or exclusion of the items described below, for which the amounts and/or timing may vary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Organic revenues, adjusted EBITDA, adjusted net income, adjusted gross profit, adjusted gross margin, adjusted earnings per diluted share, and net debt are significant measures used by management for purposes of:</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supplementing the financial results and forecasts reported to the Company's board of directors;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evaluating, managing and benchmarking the operating performance of the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establishing internal operating budgets;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determining compensation under bonus or other incentive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enhancing comparability from period to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comparing performance with internal forecasts and targeted business models;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evaluating and valuing potential acquisition candidates.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measure of organic revenues that we report reflects the change in total revenues for the quarter ended June 30, 2026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measures of adjusted net income and adjusted gross profit reflect GAAP net income and GAAP gross profit, respectively, each adjusted for one or more of the following items, as applicable: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Structural optimization charges.</w:t>
      </w:r>
      <w:r>
        <w:rPr>
          <w:color w:val="000000"/>
        </w:rPr>
        <w:t xml:space="preserve"> </w:t>
      </w:r>
      <w:r>
        <w:rPr>
          <w:rFonts w:ascii="Times New Roman;serif" w:hAnsi="Times New Roman;serif"/>
          <w:b w:val="false"/>
          <w:color w:val="000000"/>
          <w:sz w:val="20"/>
        </w:rPr>
        <w:t>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Acquisition, divestiture and integration-related charges.</w:t>
      </w:r>
      <w:r>
        <w:rPr>
          <w:color w:val="000000"/>
        </w:rPr>
        <w:t xml:space="preserve"> </w:t>
      </w:r>
      <w:r>
        <w:rPr>
          <w:rFonts w:ascii="Times New Roman;serif" w:hAnsi="Times New Roman;serif"/>
          <w:b w:val="false"/>
          <w:color w:val="000000"/>
          <w:sz w:val="20"/>
          <w:shd w:fill="FFFFFF" w:val="clear"/>
        </w:rPr>
        <w:t xml:space="preserve">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EU Medical Device Regulation charges</w:t>
      </w:r>
      <w:r>
        <w:rPr>
          <w:rFonts w:ascii="Times New Roman;serif" w:hAnsi="Times New Roman;serif"/>
          <w:b w:val="false"/>
          <w:color w:val="000000"/>
          <w:sz w:val="20"/>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Braintree transition charges</w:t>
      </w:r>
      <w:r>
        <w:rPr>
          <w:rFonts w:ascii="Times New Roman;serif" w:hAnsi="Times New Roman;serif"/>
          <w:b w:val="false"/>
          <w:color w:val="000000"/>
          <w:sz w:val="20"/>
        </w:rPr>
        <w:t xml:space="preserve">. These charges represent costs and charges related to the transition of certain manufacturing operations from the Company’s Boston, Massachusetts facility to the Company’s Braintree, Massachusetts facility. Management excludes this item when evaluating the Company’s operating performance because of the infrequent and/or large scale nature of these activities.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Intangible asset amortization expense.</w:t>
      </w:r>
      <w:r>
        <w:rPr>
          <w:color w:val="000000"/>
        </w:rPr>
        <w:t xml:space="preserve"> </w:t>
      </w:r>
      <w:r>
        <w:rPr>
          <w:rFonts w:ascii="Times New Roman;serif" w:hAnsi="Times New Roman;serif"/>
          <w:b w:val="false"/>
          <w:color w:val="000000"/>
          <w:sz w:val="20"/>
        </w:rPr>
        <w:t>Management excludes this item when evaluating the Company's operating performance because it is a non-cash expense.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Income tax impact from adjustments.</w:t>
      </w:r>
      <w:r>
        <w:rPr>
          <w:color w:val="000000"/>
        </w:rPr>
        <w:t xml:space="preserve"> </w:t>
      </w:r>
      <w:r>
        <w:rPr>
          <w:rFonts w:ascii="Times New Roman;serif" w:hAnsi="Times New Roman;serif"/>
          <w:b w:val="false"/>
          <w:color w:val="000000"/>
          <w:sz w:val="20"/>
        </w:rPr>
        <w:t>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Impairment charges.</w:t>
      </w:r>
      <w:r>
        <w:rPr>
          <w:color w:val="000000"/>
        </w:rPr>
        <w:t xml:space="preserve"> </w:t>
      </w:r>
      <w:r>
        <w:rPr>
          <w:rFonts w:ascii="Times New Roman;serif" w:hAnsi="Times New Roman;serif"/>
          <w:b w:val="false"/>
          <w:color w:val="000000"/>
          <w:sz w:val="20"/>
        </w:rPr>
        <w:t>These charges represent the impairment of goodwill due to the increased risk to the Company’s future results of operations from a number of factors, including recent tariff changes that have created broad economic uncertainty and the impact of quality, operational, and supply issues that have had a negative impact on the Company’s market capitalization.</w:t>
      </w:r>
      <w:r>
        <w:rPr>
          <w:color w:val="000000"/>
        </w:rPr>
        <w:t xml:space="preserve"> </w:t>
      </w:r>
      <w:r>
        <w:rPr>
          <w:rFonts w:ascii="Times New Roman;serif" w:hAnsi="Times New Roman;serif"/>
          <w:b w:val="false"/>
          <w:color w:val="000000"/>
          <w:sz w:val="20"/>
        </w:rPr>
        <w:t>Management excludes this item when evaluating the Company's operating performance because it is a non-cash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Press Release, the Company provided forward-looking guidance regarding organic revenues and adjusted earnings per diluted share but did not provide reconciliations to the most directly comparable forward-looking GAAP financial measures because certain GAAP expense items and the impact of changes in foreign exchange rates are highly variable and management is unable to predict them with reasonable certainty and without unreasonable effort. Specifically, the actual impact of changes in foreign exchange rates and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 unavailable information could have a material impact on GAAP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Organic revenues, adjusted EBITDA, adjusted net income, adjusted gross profit, adjusted gross margin, adjusted earnings per diluted share, and net debt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financial tables portion of the Press Release, the Company has included reconciliations of GAAP reported revenues to organic revenues, GAAP net income to adjusted EBITDA, GAAP net income to adjusted net income, GAAP gross profit to adjusted gross profit, GAAP gross margin to adjusted gross margin, and GAAP earnings per diluted share to adjusted earnings per diluted share each for the quarters ended June 30, 2026 and 2025. The Company has included a reconciliation of GAAP total debt to net debt for the quarters ended June 30, 2026 and December 31,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 xml:space="preserve">99.1 </w:t>
      </w:r>
      <w:hyperlink w:anchor="ex991-q22026earningsrelease.htm">
        <w:r>
          <w:rPr>
            <w:rStyle w:val="InternetLink"/>
          </w:rPr>
          <w:t>Press Release with attachments, date</w:t>
        </w:r>
      </w:hyperlink>
      <w:hyperlink w:anchor="ex991-q22026earningsrelease.htm">
        <w:r>
          <w:rPr>
            <w:rStyle w:val="InternetLink"/>
          </w:rPr>
          <w:t xml:space="preserve">d </w:t>
        </w:r>
      </w:hyperlink>
      <w:hyperlink w:anchor="ex991-q22026earningsrelease.htm">
        <w:r>
          <w:rPr>
            <w:rStyle w:val="InternetLink"/>
          </w:rPr>
          <w:t>July 29, 2026</w:t>
        </w:r>
      </w:hyperlink>
      <w:hyperlink w:anchor="ex991-q22026earningsrelease.htm">
        <w:r>
          <w:rPr>
            <w:rStyle w:val="InternetLink"/>
          </w:rPr>
          <w:t>, issued by Integra LifeSciences Holdings Corporation</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XRBL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8374" w:type="dxa"/>
        <w:jc w:val="left"/>
        <w:tblInd w:w="0" w:type="dxa"/>
        <w:tblLayout w:type="fixed"/>
        <w:tblCellMar>
          <w:top w:w="28" w:type="dxa"/>
          <w:left w:w="28" w:type="dxa"/>
          <w:bottom w:w="28" w:type="dxa"/>
          <w:right w:w="28" w:type="dxa"/>
        </w:tblCellMar>
      </w:tblPr>
      <w:tblGrid>
        <w:gridCol w:w="618"/>
        <w:gridCol w:w="544"/>
        <w:gridCol w:w="547"/>
        <w:gridCol w:w="742"/>
        <w:gridCol w:w="742"/>
        <w:gridCol w:w="742"/>
        <w:gridCol w:w="1296"/>
        <w:gridCol w:w="1296"/>
        <w:gridCol w:w="184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val="false"/>
                <w:color w:val="000000"/>
                <w:sz w:val="20"/>
                <w:u w:val="single"/>
              </w:rPr>
              <w:t>/s/ Lea Knight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ind w:left="0" w:right="0" w:hanging="558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i/>
          <w:color w:val="000000"/>
          <w:sz w:val="32"/>
        </w:rPr>
      </w:pPr>
      <w:r>
        <w:rPr>
          <w:rFonts w:ascii="Times New Roman;serif" w:hAnsi="Times New Roman;serif"/>
          <w:b w:val="false"/>
          <w:i/>
          <w:color w:val="000000"/>
          <w:sz w:val="32"/>
        </w:rPr>
        <w:t>News Release</w:t>
      </w:r>
    </w:p>
    <w:p>
      <w:pPr>
        <w:pStyle w:val="TextBody"/>
        <w:bidi w:val="0"/>
        <w:spacing w:before="0" w:after="200"/>
        <w:jc w:val="left"/>
        <w:rPr/>
      </w:pPr>
      <w:r>
        <w:rPr/>
      </w:r>
    </w:p>
    <w:p>
      <w:pPr>
        <w:pStyle w:val="TextBody"/>
        <w:bidi w:val="0"/>
        <w:spacing w:lineRule="auto" w:line="288" w:before="100" w:after="240"/>
        <w:jc w:val="center"/>
        <w:rPr>
          <w:rFonts w:ascii="Times New Roman;serif" w:hAnsi="Times New Roman;serif"/>
          <w:b/>
          <w:i/>
          <w:color w:val="000000"/>
          <w:sz w:val="28"/>
        </w:rPr>
      </w:pPr>
      <w:r>
        <w:rPr>
          <w:rFonts w:ascii="Times New Roman;serif" w:hAnsi="Times New Roman;serif"/>
          <w:b/>
          <w:i/>
          <w:color w:val="000000"/>
          <w:sz w:val="28"/>
        </w:rPr>
        <w:t>Integra LifeSciences Reports Second Quarter 2026 Financial Results</w:t>
      </w:r>
    </w:p>
    <w:p>
      <w:pPr>
        <w:pStyle w:val="TextBody"/>
        <w:bidi w:val="0"/>
        <w:spacing w:lineRule="auto" w:line="268" w:before="0" w:after="0"/>
        <w:jc w:val="left"/>
        <w:rPr/>
      </w:pPr>
      <w:r>
        <w:rPr>
          <w:rFonts w:ascii="Times New Roman;serif" w:hAnsi="Times New Roman;serif"/>
          <w:b w:val="false"/>
          <w:color w:val="000000"/>
          <w:sz w:val="22"/>
        </w:rPr>
        <w:t xml:space="preserve">PRINCETON, N.J., July 29, 2026 - </w:t>
      </w:r>
      <w:r>
        <w:rPr>
          <w:rFonts w:ascii="Times New Roman;serif" w:hAnsi="Times New Roman;serif"/>
          <w:b w:val="false"/>
          <w:color w:val="0000FF"/>
          <w:sz w:val="22"/>
          <w:u w:val="single"/>
        </w:rPr>
        <w:t>Integra LifeSciences Holdings Corporation</w:t>
      </w:r>
      <w:r>
        <w:rPr>
          <w:color w:val="000000"/>
        </w:rPr>
        <w:t xml:space="preserve"> </w:t>
      </w:r>
      <w:r>
        <w:rPr>
          <w:rFonts w:ascii="Times New Roman;serif" w:hAnsi="Times New Roman;serif"/>
          <w:b w:val="false"/>
          <w:color w:val="000000"/>
          <w:sz w:val="22"/>
        </w:rPr>
        <w:t>(Nasdaq: IART), a leading global medical technology company, today reported financial results for the second quarter ending June 30, 2026.</w:t>
      </w:r>
    </w:p>
    <w:p>
      <w:pPr>
        <w:pStyle w:val="TextBody"/>
        <w:bidi w:val="0"/>
        <w:spacing w:before="100" w:after="200"/>
        <w:jc w:val="left"/>
        <w:rPr/>
      </w:pPr>
      <w:r>
        <w:rPr/>
      </w:r>
    </w:p>
    <w:p>
      <w:pPr>
        <w:pStyle w:val="TextBody"/>
        <w:bidi w:val="0"/>
        <w:spacing w:lineRule="auto" w:line="288" w:before="100" w:after="200"/>
        <w:jc w:val="left"/>
        <w:rPr/>
      </w:pPr>
      <w:r>
        <w:rPr>
          <w:rFonts w:ascii="Times New Roman;serif" w:hAnsi="Times New Roman;serif"/>
          <w:b/>
          <w:color w:val="000000"/>
          <w:sz w:val="22"/>
        </w:rPr>
        <w:t>Second Quarter 2026 Highlights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2"/>
          <w:shd w:fill="FFFFFF" w:val="clear"/>
        </w:rPr>
        <w:t xml:space="preserve">Second quarter revenues of $418.8 million increased 0.8% on a reported basis and 0.7% on an organic basis compared to the prior year.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2"/>
          <w:shd w:fill="FFFFFF" w:val="clear"/>
        </w:rPr>
        <w:t xml:space="preserve">Second quarter GAAP earnings per diluted share of $0.06, compared to $(6.31) in the prior year. </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Adjusted earnings per diluted share of $0.56, compared to $0.45 in the prior year.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2"/>
          <w:shd w:fill="FFFFFF" w:val="clear"/>
        </w:rPr>
        <w:t>The Company is updating its reported revenue guidance range to $1.654 billion to $1.695 billion to reflect the impact of a stronger U.S. dollar on foreign exchange rates.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2"/>
          <w:shd w:fill="FFFFFF" w:val="clear"/>
        </w:rPr>
        <w:t>The Company is reaffirming its 2026 full-year organic revenue growth guidance of 0.8% to 3.3% and adjusted earnings per share guidance of $2.40 to $2.50.</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shd w:fill="FFFFFF" w:val="clear"/>
        </w:rPr>
        <w:t>The Company initiated production at its Braintree manufacturing facility and remains on track for the planned fourth-quarter relaunch of SurgiMend®.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"Our second-quarter performance reflects meaningful progress on our most important priorities. We are improving supply reliability, advancing quality, and returning products to market with discipline. The Braintree facility is now producing and ramping to support the planned SurgiMend relaunch later this year," said Stuart Essig, Chairman and CEO of Integra LifeSciences.</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"At the same time, we are seeing the benefits of a more aligned commercial organization while we continue to reduce our balance sheet leverage. Supported by our broad portfolio, attractive markets, and focused leadership team, we are strengthening our operating foundation and enhancing our ability to deliver sustainable long-term shareholder value."</w:t>
      </w:r>
    </w:p>
    <w:p>
      <w:pPr>
        <w:pStyle w:val="TextBody"/>
        <w:bidi w:val="0"/>
        <w:spacing w:lineRule="auto" w:line="276" w:before="100" w:after="200"/>
        <w:jc w:val="left"/>
        <w:rPr>
          <w:rFonts w:ascii="Times New Roman;serif" w:hAnsi="Times New Roman;serif"/>
          <w:b/>
          <w:color w:val="000000"/>
          <w:sz w:val="22"/>
        </w:rPr>
      </w:pPr>
      <w:r>
        <w:rPr>
          <w:rFonts w:ascii="Times New Roman;serif" w:hAnsi="Times New Roman;serif"/>
          <w:b/>
          <w:color w:val="000000"/>
          <w:sz w:val="22"/>
        </w:rPr>
        <w:t>Second Quarter 2026 Consolidated Performance</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Total reported revenues of $418.8 million increased 0.8% on a reported basis and 0.7% on an organic basis compared to the prior year. </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The Company reported GAAP gross margin of 52.5%, compared to 50.4% in the second quarter of 2025. Adjusted gross margin was 61.3%, compared to 60.7% in the prior year.</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Adjusted EBITDA for the second quarter of 2026 was $78.4 million, or 18.7% of revenue, compared to $71.2 million, or 17.1% of revenue, in the prior year. </w:t>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reported GAAP net income of $4.5 million, or $0.06 per diluted share, in the second quarter of 2026, compared to GAAP net loss of $(484.1) million, or $(6.31) per diluted share, in the prior year.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Adjusted net income for the second quarter of 2026 was $43.7 million, or $0.56 per diluted share, compared to $34.4 million, or $0.45 per diluted share, in the prior year.</w:t>
      </w:r>
    </w:p>
    <w:p>
      <w:pPr>
        <w:pStyle w:val="TextBody"/>
        <w:bidi w:val="0"/>
        <w:spacing w:before="0" w:after="200"/>
        <w:jc w:val="left"/>
        <w:rPr/>
      </w:pPr>
      <w:r>
        <w:rPr/>
      </w:r>
    </w:p>
    <w:p>
      <w:pPr>
        <w:pStyle w:val="TextBody"/>
        <w:bidi w:val="0"/>
        <w:spacing w:lineRule="auto" w:line="288" w:before="100" w:after="200"/>
        <w:jc w:val="left"/>
        <w:rPr>
          <w:rFonts w:ascii="Times New Roman;serif" w:hAnsi="Times New Roman;serif"/>
          <w:b/>
          <w:color w:val="000000"/>
          <w:sz w:val="22"/>
        </w:rPr>
      </w:pPr>
      <w:r>
        <w:rPr>
          <w:rFonts w:ascii="Times New Roman;serif" w:hAnsi="Times New Roman;serif"/>
          <w:b/>
          <w:color w:val="000000"/>
          <w:sz w:val="22"/>
        </w:rPr>
        <w:t>Second Quarter 2026 Segment Performance</w:t>
      </w:r>
    </w:p>
    <w:p>
      <w:pPr>
        <w:pStyle w:val="TextBody"/>
        <w:bidi w:val="0"/>
        <w:spacing w:lineRule="auto" w:line="268" w:before="0" w:after="200"/>
        <w:jc w:val="left"/>
        <w:rPr>
          <w:rFonts w:ascii="Times New Roman;serif" w:hAnsi="Times New Roman;serif"/>
          <w:b/>
          <w:color w:val="000000"/>
          <w:sz w:val="22"/>
        </w:rPr>
      </w:pPr>
      <w:r>
        <w:rPr>
          <w:rFonts w:ascii="Times New Roman;serif" w:hAnsi="Times New Roman;serif"/>
          <w:b/>
          <w:color w:val="000000"/>
          <w:sz w:val="22"/>
        </w:rPr>
        <w:t xml:space="preserve">Specialty Surgery (~70% of Revenues)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Total revenues were $309.3 million, representing reported growth of 1.7% and an organic growth of 1.6% compared to the second quarter of 2025.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Sales in Neuro increased 1.9% on an organic basis primarily driven by growth in Certas® Plus, Bactiseal® and CUSA®.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Sales in Instruments grew 3.2% on an organic basis.</w:t>
      </w:r>
      <w:r>
        <w:rPr>
          <w:color w:val="000000"/>
        </w:rPr>
        <w:t xml:space="preserv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ENT sales declined (1.9%) as </w:t>
      </w:r>
      <w:r>
        <w:rPr>
          <w:rFonts w:ascii="Times New Roman;serif" w:hAnsi="Times New Roman;serif"/>
          <w:b w:val="false"/>
          <w:color w:val="000000"/>
          <w:sz w:val="24"/>
          <w:shd w:fill="FFFFFF" w:val="clear"/>
        </w:rPr>
        <w:t>MicroFrance® ENT instrument growth was offset by declines in other products.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Tissue Reconstruction (~30% of Revenues)</w:t>
      </w:r>
    </w:p>
    <w:p>
      <w:pPr>
        <w:pStyle w:val="TextBody"/>
        <w:bidi w:val="0"/>
        <w:spacing w:before="0" w:after="0"/>
        <w:ind w:left="0" w:right="0" w:hanging="720"/>
        <w:jc w:val="left"/>
        <w:rPr/>
      </w:pPr>
      <w:r>
        <w:rPr/>
      </w:r>
    </w:p>
    <w:p>
      <w:pPr>
        <w:pStyle w:val="TextBody"/>
        <w:bidi w:val="0"/>
        <w:spacing w:lineRule="auto" w:line="268" w:before="0" w:after="0"/>
        <w:jc w:val="left"/>
        <w:rPr/>
      </w:pPr>
      <w:r>
        <w:rPr>
          <w:rFonts w:ascii="Times New Roman;serif" w:hAnsi="Times New Roman;serif"/>
          <w:b w:val="false"/>
          <w:color w:val="000000"/>
          <w:sz w:val="22"/>
        </w:rPr>
        <w:t>Total revenues were $109.5 million, representing reported and organic declines of (1.9)% an</w:t>
      </w:r>
      <w:r>
        <w:rPr>
          <w:rFonts w:ascii="Times New Roman;serif" w:hAnsi="Times New Roman;serif"/>
          <w:b w:val="false"/>
          <w:color w:val="000000"/>
          <w:sz w:val="22"/>
          <w:shd w:fill="FFFFFF" w:val="clear"/>
        </w:rPr>
        <w:t>d (2.0)% respectively c</w:t>
      </w:r>
      <w:r>
        <w:rPr>
          <w:rFonts w:ascii="Times New Roman;serif" w:hAnsi="Times New Roman;serif"/>
          <w:b w:val="false"/>
          <w:color w:val="000000"/>
          <w:sz w:val="22"/>
        </w:rPr>
        <w:t>ompared to the second quarter of 2025. Key drivers for the quarter include:</w:t>
      </w:r>
    </w:p>
    <w:p>
      <w:pPr>
        <w:pStyle w:val="TextBody"/>
        <w:bidi w:val="0"/>
        <w:spacing w:before="0" w:after="0"/>
        <w:jc w:val="left"/>
        <w:rPr/>
      </w:pPr>
      <w:r>
        <w:rPr/>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2"/>
        </w:rPr>
        <w:t>Mid-single digit decline in wound reconstruction, driven by strong growth in DuraSorb® and the relaunch of PriMatrix®, offset by declines in MicroMatrix® and Integra Skin. Integra Skin faced a prior year comparison that included the clearance of back orders in the second quarter of 2025.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Sales in private label grew 4.7%.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00"/>
        <w:jc w:val="left"/>
        <w:rPr>
          <w:rFonts w:ascii="Times New Roman;serif" w:hAnsi="Times New Roman;serif"/>
          <w:b/>
          <w:color w:val="000000"/>
          <w:sz w:val="22"/>
        </w:rPr>
      </w:pPr>
      <w:r>
        <w:rPr>
          <w:rFonts w:ascii="Times New Roman;serif" w:hAnsi="Times New Roman;serif"/>
          <w:b/>
          <w:color w:val="000000"/>
          <w:sz w:val="22"/>
        </w:rPr>
        <w:t>Balance Sheet, Cash Flow and Capital Allocation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generated cash flow from operations of $22.8 million in the quarter. Net debt at the end of the quarter was $1.6 billion, and the consolidated total leverage ratio was 4.1x.</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As of the end of the quarter, the Company had total liquidity of approximately $496 million, including $274.1 million in cash plus short-term investments and the remainder available under its revolving credit facility.</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2026 Revenue and Adjusted Earnings Per Share Guidance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For the third quarter of 2026, the Company expects reported revenues in the range of $410 million to $425 million, representing reported growth of 2.0% to 5.7% and organic growth of 1.9% to 5.7%. The Company expects adjusted EPS in the range of $0.53 to $0.61 per share.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is updating its reported revenue outlook from a range of $1.662 billion to $1.702 billion to a range of $1.654 billion to $1.695 billion to reflect the impact of a stronger U.S. dollar on foreign exchange rates. For the full year 2026, the Company is reaffirming its organic revenue growth guidance of 0.8% to 3.3% and adjusted earnings per share guidance of $2.40 to $2.50. The adjusted EPS outlook reflects updated tariff assumptions, a higher interest rate environment, and potential debt refinancing actions.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organic sales growth guidance for the third quarter and full year excludes the impact of acquisitions, divestitures, and foreign currency.</w:t>
      </w:r>
    </w:p>
    <w:p>
      <w:pPr>
        <w:pStyle w:val="TextBody"/>
        <w:bidi w:val="0"/>
        <w:spacing w:before="0" w:after="0"/>
        <w:jc w:val="left"/>
        <w:rPr/>
      </w:pPr>
      <w:r>
        <w:rPr/>
      </w:r>
    </w:p>
    <w:p>
      <w:pPr>
        <w:pStyle w:val="TextBody"/>
        <w:bidi w:val="0"/>
        <w:spacing w:lineRule="auto" w:line="276" w:before="0" w:after="200"/>
        <w:jc w:val="left"/>
        <w:rPr>
          <w:rFonts w:ascii="Times New Roman;serif" w:hAnsi="Times New Roman;serif"/>
          <w:b/>
          <w:color w:val="000000"/>
          <w:sz w:val="22"/>
        </w:rPr>
      </w:pPr>
      <w:r>
        <w:rPr>
          <w:rFonts w:ascii="Times New Roman;serif" w:hAnsi="Times New Roman;serif"/>
          <w:b/>
          <w:color w:val="000000"/>
          <w:sz w:val="22"/>
        </w:rPr>
        <w:t>Conference Call and Presentation Available Online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2"/>
        </w:rPr>
        <w:t xml:space="preserve">Integra has scheduled a conference call for 8:30 a.m. ET on Wednesday, </w:t>
      </w:r>
      <w:r>
        <w:rPr>
          <w:rFonts w:ascii="Times New Roman;serif" w:hAnsi="Times New Roman;serif"/>
          <w:b w:val="false"/>
          <w:color w:val="000000"/>
          <w:sz w:val="24"/>
        </w:rPr>
        <w:t>July 29, 2026</w:t>
      </w:r>
      <w:r>
        <w:rPr>
          <w:rFonts w:ascii="Times New Roman;serif" w:hAnsi="Times New Roman;serif"/>
          <w:b w:val="false"/>
          <w:color w:val="000000"/>
          <w:sz w:val="22"/>
        </w:rPr>
        <w:t xml:space="preserve">, to discuss </w:t>
      </w:r>
      <w:r>
        <w:rPr>
          <w:rFonts w:ascii="Times New Roman;serif" w:hAnsi="Times New Roman;serif"/>
          <w:b w:val="false"/>
          <w:color w:val="000000"/>
          <w:sz w:val="24"/>
        </w:rPr>
        <w:t>second quarter</w:t>
      </w:r>
      <w:r>
        <w:rPr>
          <w:color w:val="000000"/>
        </w:rPr>
        <w:t xml:space="preserve"> </w:t>
      </w:r>
      <w:r>
        <w:rPr>
          <w:rFonts w:ascii="Times New Roman;serif" w:hAnsi="Times New Roman;serif"/>
          <w:b w:val="false"/>
          <w:color w:val="000000"/>
          <w:sz w:val="24"/>
        </w:rPr>
        <w:t>2026</w:t>
      </w:r>
      <w:r>
        <w:rPr>
          <w:color w:val="000000"/>
        </w:rPr>
        <w:t xml:space="preserve"> </w:t>
      </w:r>
      <w:r>
        <w:rPr>
          <w:rFonts w:ascii="Times New Roman;serif" w:hAnsi="Times New Roman;serif"/>
          <w:b w:val="false"/>
          <w:color w:val="000000"/>
          <w:sz w:val="22"/>
        </w:rPr>
        <w:t>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section of the website at</w:t>
      </w:r>
      <w:r>
        <w:rPr>
          <w:color w:val="0000FF"/>
        </w:rPr>
        <w:t xml:space="preserve"> </w:t>
      </w:r>
      <w:r>
        <w:rPr>
          <w:rFonts w:ascii="Times New Roman;serif" w:hAnsi="Times New Roman;serif"/>
          <w:b w:val="false"/>
          <w:color w:val="0000FF"/>
          <w:sz w:val="24"/>
          <w:u w:val="single"/>
        </w:rPr>
        <w:t>investor.integralife.com.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A live webcast will be available on the Investors section of the Company’s website at investor.integralife.com. For those planning to participate on the call, register </w:t>
      </w:r>
      <w:r>
        <w:rPr>
          <w:rFonts w:ascii="Times New Roman;serif" w:hAnsi="Times New Roman;serif"/>
          <w:b w:val="false"/>
          <w:color w:val="3051F2"/>
          <w:sz w:val="24"/>
        </w:rPr>
        <w:t>here</w:t>
      </w:r>
      <w:r>
        <w:rPr>
          <w:color w:val="000000"/>
        </w:rPr>
        <w:t xml:space="preserve"> </w:t>
      </w:r>
      <w:r>
        <w:rPr>
          <w:rFonts w:ascii="Times New Roman;serif" w:hAnsi="Times New Roman;serif"/>
          <w:b w:val="false"/>
          <w:color w:val="000000"/>
          <w:sz w:val="22"/>
        </w:rPr>
        <w:t>to receive dial-in details and an individual pin. While not required, it is recommended to join 10 minutes prior to the event’s start. A webcast replay of the conference call will be available on the Investors section of the company's website following the call.</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Integra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Integra LifeSciences (Nasdaq: IART) is a global medical technology leader dedicated to restoring lives. We are advancing transformational care through impactful innovation in neurosurgery and tissue reconstruction, specialized fields that demand exceptional expertise and precision. Our portfolio of highly differentiated, gold-standard technologies are trusted by healthcare professionals to deliver life-saving care. For our latest news and information, visit www.integralife.com.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2"/>
        </w:rPr>
      </w:pPr>
      <w:r>
        <w:rPr>
          <w:rFonts w:ascii="Times New Roman;serif" w:hAnsi="Times New Roman;serif"/>
          <w:b w:val="false"/>
          <w:color w:val="000000"/>
          <w:sz w:val="22"/>
        </w:rPr>
        <w:t xml:space="preserve">This news release contains forward-looking statements within the meaning of the Private Securities Litigation Reform Act of 1995 that involve risks and uncertainties and reflect the Company's judgment as of the date of this release. All statements, other than statements of historical fact, are statements that could be deemed forward-looking statements. Some of these forward-looking statements may contain words like “will,” “believe,” “may,” “could,” “would,” “might,” “possible,” “should,” “expect,” “intend,” "forecast," "guidance," “plan,” “anticipate,” "target," or “continue,” the negative of these words, other terms of similar meaning or they may use future dates. Forward-looking statements contained in this news release include, but are not limited to, statements concerning: future business, operational and financial performance and the Company’s expectations and plans with respect to market opportunity, business and operational performance, strategic initiatives, capabilities, resources, manufacturing capabilities, product development, product availability and regulatory approvals, including expectations regarding the Company's Braintree facility and the the relaunch of SurgiMend in the fourth quarter of 2026. It is important to note that the Company’s goals and expectations are not predictions of actual performance. Such forward-looking statements involve risks and uncertainties that could cause actual results to differ materially from predicted or expected results. Such risks and uncertainties include, but are not limited, to the following: increased geopolitical instability and other macroeconomic factors, including trade barriers and related restrictions (including tariffs and related countermeasures), armed conflict and acts of terrorism, geopolitical tension and instability, supply chain disruptions, and interest rate and foreign currency rate fluctuations, on the Company’s suppliers, vendors and customers and on the Company’s business and financial condition, results of operations and cash flows; the Company's ability to execute its financial, strategic and operating plans effectively; the Company's ability to remediate quality systems violations; difficulties in implementing the Company’s compliance master plan; difficulties or delays in obtaining and maintaining required regulatory approvals, including the costs thereof; potential difficulties, delays and disruptions in manufacturing, distribution or sale of products; the failure of the company’s suppliers, vendors, and other third parties to meet contractual, regulatory and other obligations; the anticipated development of markets the Company sells its products into and the success of the Company’s products in these markets; the Company’s ability to predict accurately the demand for its products and products under development; increasing industry competition; the coverage and reimbursement decisions of third-party payors; trends toward health care cost containment; difficulties in controlling expenses, including costs to procure and manufacture the Company’s products; the ability of the Company to successfully manage leadership and organizational changes and the impact of changes in management or staff levels; the impact of goodwill and intangible asset impairment charges if future operating results of acquired businesses are significantly less than the results anticipated at the time of the acquisitions, the geographic distribution of where the Company generates its taxable income; changes to applicable laws, regulations and enforcement guidance, including tax laws and global health care reforms; fluctuations in foreign currency exchange rates; the amount of our bank borrowings outstanding and other factors influencing liquidity; breaches, failures or other disruptions of our or our vendors’ or customers’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information technology systems or products; and the economic, competitive, governmental, technological, and other risk factors and uncertainties identified under the heading “Risk Factors” included in Item 1A of Integra's Annual Report on Form 10-K for the year ended December 31, 2025 and information contained in subsequent filings with the Securities and Exchange Commission.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These forward-looking statements are made only as of the date hereof, and the Company undertakes no obligation to update or revise the forward-looking statements, whether as a result of new information, future events, or otherwise, except as otherwise required by law.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Discussion of Adjusted Financial Measures</w:t>
      </w:r>
    </w:p>
    <w:p>
      <w:pPr>
        <w:pStyle w:val="TextBody"/>
        <w:bidi w:val="0"/>
        <w:spacing w:lineRule="auto" w:line="276" w:before="0" w:after="0"/>
        <w:jc w:val="left"/>
        <w:rPr/>
      </w:pPr>
      <w:r>
        <w:rPr>
          <w:rFonts w:ascii="Times New Roman;serif" w:hAnsi="Times New Roman;serif"/>
          <w:b w:val="false"/>
          <w:color w:val="000000"/>
          <w:sz w:val="22"/>
        </w:rPr>
        <w:t>In addition to our GAAP results, we provide certain non-GAAP measures, including organic revenues, adjusted earnings before interest, taxes, depreciation and amortization (“EBITDA”), adjusted net income, adjusted gross margin, adjusted earnings per diluted share, and net debt.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w:t>
      </w:r>
      <w:r>
        <w:rPr>
          <w:color w:val="000000"/>
        </w:rPr>
        <w:t xml:space="preserve"> </w:t>
      </w:r>
      <w:r>
        <w:rPr>
          <w:rFonts w:ascii="Times New Roman;serif" w:hAnsi="Times New Roman;serif"/>
          <w:b w:val="false"/>
          <w:color w:val="000000"/>
          <w:sz w:val="22"/>
        </w:rPr>
        <w:t>The measure of adjusted net income consists of GAAP net income, excluding: (i) structural optimization charges; (ii) divestiture, acquisition and integration-related charges; (iii) EU Medical Device Regulation-related charges; (iv) charges related to the transition of Boston-related manufacturing operations to the Company’s Braintree, Massachusetts facility (the "Braintree transition"); (v) intangible asset amortization expense; (vi) income tax impact from adjustments; and (vii) impairment charges.</w:t>
      </w:r>
      <w:r>
        <w:rPr>
          <w:color w:val="000000"/>
        </w:rPr>
        <w:t xml:space="preserve"> </w:t>
      </w:r>
      <w:r>
        <w:rPr>
          <w:rFonts w:ascii="Times New Roman;serif" w:hAnsi="Times New Roman;serif"/>
          <w:b w:val="false"/>
          <w:color w:val="000000"/>
          <w:sz w:val="22"/>
        </w:rPr>
        <w:t>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Braintree transition; (iv) EU Medical Device Regulation-related charges; and (v) intangible asset amortization expense. The adjusted earnings per diluted share measure is calculated by dividing adjusted net income attributable to diluted shares by diluted weighted average shares outstanding.</w:t>
      </w:r>
      <w:r>
        <w:rPr>
          <w:color w:val="000000"/>
        </w:rPr>
        <w:t xml:space="preserve"> </w:t>
      </w:r>
      <w:r>
        <w:rPr>
          <w:rFonts w:ascii="Times New Roman;serif" w:hAnsi="Times New Roman;serif"/>
          <w:b w:val="false"/>
          <w:color w:val="000000"/>
          <w:sz w:val="22"/>
        </w:rPr>
        <w:t xml:space="preserve">The measure of net debt consists of GAAP total debt (excluding deferred financing costs) less short-term investments, cash and cash equivalents.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The Company has included reconciliations of GAAP revenues to organic revenues, GAAP net income to adjusted EBITDA, and adjusted net income, GAAP gross margin to adjusted gross margin, and GAAP earnings per diluted share to adjusted earnings per diluted share all for the quarters ended June 30, 2026 and 2025. The Company has included a reconciliation of GAAP total debt to net debt for the quarters ended June 30, 2026 and December 31, 2025.</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The Company is providing forward-looking guidance regarding organic revenue and adjusted earnings per diluted share but is not providing reconciliations to the most directly comparable forward-looking GAAP financial measures because certain GAAP expense items and the impact of changes in foreign exchange rates are highly variable and management is unable to predict them with reasonable certainty and without unreasonable effort. Specifically, the actual impact of changes in foreign exchange rates and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 unavailable information could have a material impact on GAAP results.</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w:t>
      </w:r>
      <w:r>
        <w:rPr>
          <w:color w:val="000000"/>
        </w:rPr>
        <w:t xml:space="preserve"> </w:t>
      </w:r>
      <w:r>
        <w:rPr>
          <w:rFonts w:ascii="Times New Roman;serif" w:hAnsi="Times New Roman;serif"/>
          <w:b w:val="false"/>
          <w:color w:val="000000"/>
          <w:sz w:val="22"/>
        </w:rPr>
        <w:t>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w:t>
      </w:r>
      <w:r>
        <w:rPr>
          <w:color w:val="000000"/>
        </w:rPr>
        <w:t xml:space="preserve"> </w:t>
      </w:r>
      <w:r>
        <w:rPr>
          <w:rFonts w:ascii="Times New Roman;serif" w:hAnsi="Times New Roman;serif"/>
          <w:b w:val="false"/>
          <w:color w:val="000000"/>
          <w:sz w:val="22"/>
        </w:rPr>
        <w:t>www.sec.gov or on our website at www.integralife.com.</w:t>
      </w:r>
      <w:r>
        <w:rPr>
          <w:color w:val="000000"/>
        </w:rPr>
        <w:t xml:space="preserve"> </w:t>
      </w:r>
    </w:p>
    <w:p>
      <w:pPr>
        <w:pStyle w:val="TextBody"/>
        <w:bidi w:val="0"/>
        <w:spacing w:before="0" w:after="0"/>
        <w:jc w:val="left"/>
        <w:rPr/>
      </w:pPr>
      <w:r>
        <w:rPr/>
      </w:r>
    </w:p>
    <w:p>
      <w:pPr>
        <w:pStyle w:val="TextBody"/>
        <w:bidi w:val="0"/>
        <w:spacing w:lineRule="auto" w:line="276"/>
        <w:jc w:val="left"/>
        <w:rPr/>
      </w:pPr>
      <w:r>
        <w:rPr>
          <w:rFonts w:ascii="Times New Roman;serif" w:hAnsi="Times New Roman;serif"/>
          <w:b/>
          <w:color w:val="000000"/>
          <w:sz w:val="24"/>
        </w:rPr>
        <w:t>Investor Relations Contact</w:t>
      </w:r>
      <w:r>
        <w:rPr>
          <w:rFonts w:ascii="Times New Roman;serif" w:hAnsi="Times New Roman;serif"/>
          <w:b/>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Chris Ward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(609) 772-7736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chris.ward@integralife.com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 Contact:</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Laurene Isip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(609) 208-8121</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laurene.isip@integralife.com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 xml:space="preserve">CONDENSED CONSOLIDATED STATEMENTS OF OPERATIONS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bl>
      <w:tblPr>
        <w:tblW w:w="6803" w:type="dxa"/>
        <w:jc w:val="center"/>
        <w:tblInd w:w="0" w:type="dxa"/>
        <w:tblLayout w:type="fixed"/>
        <w:tblCellMar>
          <w:top w:w="28" w:type="dxa"/>
          <w:left w:w="28" w:type="dxa"/>
          <w:bottom w:w="28" w:type="dxa"/>
          <w:right w:w="28" w:type="dxa"/>
        </w:tblCellMar>
      </w:tblPr>
      <w:tblGrid>
        <w:gridCol w:w="1468"/>
        <w:gridCol w:w="1295"/>
        <w:gridCol w:w="1301"/>
        <w:gridCol w:w="211"/>
        <w:gridCol w:w="826"/>
        <w:gridCol w:w="109"/>
        <w:gridCol w:w="109"/>
        <w:gridCol w:w="109"/>
        <w:gridCol w:w="109"/>
        <w:gridCol w:w="211"/>
        <w:gridCol w:w="901"/>
        <w:gridCol w:w="154"/>
      </w:tblGrid>
      <w:tr>
        <w:trPr/>
        <w:tc>
          <w:tcPr>
            <w:tcW w:w="146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net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charge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(512,674)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(530,952)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(484,073)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0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the major sources for the three months ended June 30, 2026 and 2025 (amounts in thousands):</w:t>
      </w:r>
    </w:p>
    <w:tbl>
      <w:tblPr>
        <w:tblW w:w="7322" w:type="dxa"/>
        <w:jc w:val="center"/>
        <w:tblInd w:w="0" w:type="dxa"/>
        <w:tblLayout w:type="fixed"/>
        <w:tblCellMar>
          <w:top w:w="28" w:type="dxa"/>
          <w:left w:w="28" w:type="dxa"/>
          <w:bottom w:w="28" w:type="dxa"/>
          <w:right w:w="28" w:type="dxa"/>
        </w:tblCellMar>
      </w:tblPr>
      <w:tblGrid>
        <w:gridCol w:w="1373"/>
        <w:gridCol w:w="1207"/>
        <w:gridCol w:w="1214"/>
        <w:gridCol w:w="211"/>
        <w:gridCol w:w="828"/>
        <w:gridCol w:w="109"/>
        <w:gridCol w:w="211"/>
        <w:gridCol w:w="828"/>
        <w:gridCol w:w="109"/>
        <w:gridCol w:w="250"/>
        <w:gridCol w:w="250"/>
        <w:gridCol w:w="251"/>
        <w:gridCol w:w="109"/>
        <w:gridCol w:w="109"/>
        <w:gridCol w:w="109"/>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Neurosurgery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Specialty Surgical</w:t>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Wound Reconstruction Solutions</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Tissue Reconstruction</w:t>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Reported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changes in currency exchange rates</w:t>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Total organic revenues</w:t>
            </w:r>
            <w:r>
              <w:rPr>
                <w:rFonts w:ascii="Times New Roman;serif" w:hAnsi="Times New Roman;serif"/>
                <w:b w:val="false"/>
                <w:color w:val="000000"/>
                <w:sz w:val="13"/>
              </w:rPr>
              <w:t>(1)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Organic revenues have been adjusted to exclude foreign currency (current period), acquisitions and to account for divested and discontinued products.</w:t>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Items included in GAAP net income and location where each item is recorded are as follows: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Ended June 30, 2026 </w:t>
      </w:r>
    </w:p>
    <w:tbl>
      <w:tblPr>
        <w:tblW w:w="10205" w:type="dxa"/>
        <w:jc w:val="center"/>
        <w:tblInd w:w="0" w:type="dxa"/>
        <w:tblLayout w:type="fixed"/>
        <w:tblCellMar>
          <w:top w:w="28" w:type="dxa"/>
          <w:left w:w="28" w:type="dxa"/>
          <w:bottom w:w="28" w:type="dxa"/>
          <w:right w:w="28" w:type="dxa"/>
        </w:tblCellMar>
      </w:tblPr>
      <w:tblGrid>
        <w:gridCol w:w="1619"/>
        <w:gridCol w:w="1417"/>
        <w:gridCol w:w="1439"/>
        <w:gridCol w:w="376"/>
        <w:gridCol w:w="376"/>
        <w:gridCol w:w="378"/>
        <w:gridCol w:w="272"/>
        <w:gridCol w:w="272"/>
        <w:gridCol w:w="274"/>
        <w:gridCol w:w="271"/>
        <w:gridCol w:w="257"/>
        <w:gridCol w:w="258"/>
        <w:gridCol w:w="249"/>
        <w:gridCol w:w="229"/>
        <w:gridCol w:w="215"/>
        <w:gridCol w:w="281"/>
        <w:gridCol w:w="281"/>
        <w:gridCol w:w="283"/>
        <w:gridCol w:w="243"/>
        <w:gridCol w:w="243"/>
        <w:gridCol w:w="245"/>
        <w:gridCol w:w="207"/>
        <w:gridCol w:w="207"/>
        <w:gridCol w:w="313"/>
      </w:tblGrid>
      <w:tr>
        <w:trPr/>
        <w:tc>
          <w:tcPr>
            <w:tcW w:w="161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4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Amount</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COGS(a)</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SG&amp;A(b)</w:t>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R&amp;D(c)</w:t>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 (d)</w:t>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OI&amp;E(e)</w:t>
            </w:r>
          </w:p>
        </w:tc>
        <w:tc>
          <w:tcPr>
            <w:tcW w:w="72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Tax(f)</w:t>
            </w:r>
          </w:p>
        </w:tc>
      </w:tr>
      <w:tr>
        <w:trPr/>
        <w:tc>
          <w:tcPr>
            <w:tcW w:w="44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2,383</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1,503</w:t>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599</w:t>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247</w:t>
            </w:r>
          </w:p>
        </w:tc>
        <w:tc>
          <w:tcPr>
            <w:tcW w:w="72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color w:val="000000"/>
              </w:rPr>
            </w:pPr>
            <w:r>
              <w:rPr>
                <w:color w:val="000000"/>
              </w:rPr>
              <w:t>—</w:t>
            </w:r>
          </w:p>
        </w:tc>
      </w:tr>
      <w:tr>
        <w:trPr/>
        <w:tc>
          <w:tcPr>
            <w:tcW w:w="44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7,513</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3,366</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4,094</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w:t>
            </w:r>
          </w:p>
        </w:tc>
      </w:tr>
      <w:tr>
        <w:trPr/>
        <w:tc>
          <w:tcPr>
            <w:tcW w:w="44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2,439</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218</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1,205</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w:t>
            </w:r>
          </w:p>
        </w:tc>
      </w:tr>
      <w:tr>
        <w:trPr/>
        <w:tc>
          <w:tcPr>
            <w:tcW w:w="44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 Transition</w:t>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9,918</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10,309</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(398)</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w:t>
            </w:r>
          </w:p>
        </w:tc>
      </w:tr>
      <w:tr>
        <w:trPr/>
        <w:tc>
          <w:tcPr>
            <w:tcW w:w="44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26,969</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23,198</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3,770</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w:t>
            </w:r>
          </w:p>
        </w:tc>
      </w:tr>
      <w:tr>
        <w:trPr/>
        <w:tc>
          <w:tcPr>
            <w:tcW w:w="44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above adjustments and other items</w:t>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(9,992)</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(9,992)</w:t>
            </w:r>
          </w:p>
        </w:tc>
      </w:tr>
      <w:tr>
        <w:trPr/>
        <w:tc>
          <w:tcPr>
            <w:tcW w:w="447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10,154</w:t>
            </w:r>
          </w:p>
        </w:tc>
        <w:tc>
          <w:tcPr>
            <w:tcW w:w="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27"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a)COGS - Cost of goods sold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b)SG&amp;A - Selling, general and administrative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c)R&amp;D - Research &amp; development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d)Amort. - Intangible asset amortization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e)OI&amp;E - Other income &amp; expense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f)Tax - Income tax expense (benefit)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Items included in GAAP net income and location where each item is recorded are as follows: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bl>
      <w:tblPr>
        <w:tblW w:w="10205" w:type="dxa"/>
        <w:jc w:val="center"/>
        <w:tblInd w:w="0" w:type="dxa"/>
        <w:tblLayout w:type="fixed"/>
        <w:tblCellMar>
          <w:top w:w="28" w:type="dxa"/>
          <w:left w:w="28" w:type="dxa"/>
          <w:bottom w:w="28" w:type="dxa"/>
          <w:right w:w="28" w:type="dxa"/>
        </w:tblCellMar>
      </w:tblPr>
      <w:tblGrid>
        <w:gridCol w:w="1359"/>
        <w:gridCol w:w="1189"/>
        <w:gridCol w:w="1208"/>
        <w:gridCol w:w="429"/>
        <w:gridCol w:w="370"/>
        <w:gridCol w:w="348"/>
        <w:gridCol w:w="360"/>
        <w:gridCol w:w="361"/>
        <w:gridCol w:w="264"/>
        <w:gridCol w:w="308"/>
        <w:gridCol w:w="308"/>
        <w:gridCol w:w="237"/>
        <w:gridCol w:w="318"/>
        <w:gridCol w:w="298"/>
        <w:gridCol w:w="195"/>
        <w:gridCol w:w="309"/>
        <w:gridCol w:w="308"/>
        <w:gridCol w:w="267"/>
        <w:gridCol w:w="279"/>
        <w:gridCol w:w="234"/>
        <w:gridCol w:w="225"/>
        <w:gridCol w:w="383"/>
        <w:gridCol w:w="383"/>
        <w:gridCol w:w="265"/>
      </w:tblGrid>
      <w:tr>
        <w:trPr/>
        <w:tc>
          <w:tcPr>
            <w:tcW w:w="135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Amount</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COGS(a)</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SG&amp;A(b)</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R&amp;D(c)</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 (d)</w:t>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OI&amp;E(e)</w:t>
            </w:r>
          </w:p>
        </w:tc>
        <w:tc>
          <w:tcPr>
            <w:tcW w:w="1031"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Tax(f)</w:t>
            </w:r>
          </w:p>
        </w:tc>
      </w:tr>
      <w:tr>
        <w:trPr/>
        <w:tc>
          <w:tcPr>
            <w:tcW w:w="3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7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3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 Transition</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23,041 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above adjustments and other items</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(54,940)</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(54,940)</w:t>
            </w:r>
          </w:p>
        </w:tc>
        <w:tc>
          <w:tcPr>
            <w:tcW w:w="26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79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10,955 </w:t>
            </w:r>
          </w:p>
        </w:tc>
        <w:tc>
          <w:tcPr>
            <w:tcW w:w="3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a)COGS - Cost of goods sold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b)SG&amp;A - Selling, general and administrative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c)R&amp;D - Research &amp; development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d)Amort. - Intangible asset amortization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e)OI&amp;E - Other income &amp; expense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f)Tax - Income tax expense (benefit)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GAAP NET INCOME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285" w:type="dxa"/>
        <w:jc w:val="center"/>
        <w:tblInd w:w="0" w:type="dxa"/>
        <w:tblLayout w:type="fixed"/>
        <w:tblCellMar>
          <w:top w:w="28" w:type="dxa"/>
          <w:left w:w="28" w:type="dxa"/>
          <w:bottom w:w="28" w:type="dxa"/>
          <w:right w:w="28" w:type="dxa"/>
        </w:tblCellMar>
      </w:tblPr>
      <w:tblGrid>
        <w:gridCol w:w="1674"/>
        <w:gridCol w:w="1467"/>
        <w:gridCol w:w="1478"/>
        <w:gridCol w:w="213"/>
        <w:gridCol w:w="731"/>
        <w:gridCol w:w="110"/>
        <w:gridCol w:w="110"/>
        <w:gridCol w:w="110"/>
        <w:gridCol w:w="110"/>
        <w:gridCol w:w="213"/>
        <w:gridCol w:w="913"/>
        <w:gridCol w:w="156"/>
      </w:tblGrid>
      <w:tr>
        <w:trPr/>
        <w:tc>
          <w:tcPr>
            <w:tcW w:w="16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(484,073)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charges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intangible asset amortization expense</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 Transition</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of non-GAAP adjustments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GAAP NET INCOME TO MEASURES OF ADJUSTED NET INCOME AND ADJUSTED EARNINGS PER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bl>
      <w:tblPr>
        <w:tblW w:w="9176" w:type="dxa"/>
        <w:jc w:val="center"/>
        <w:tblInd w:w="0" w:type="dxa"/>
        <w:tblLayout w:type="fixed"/>
        <w:tblCellMar>
          <w:top w:w="28" w:type="dxa"/>
          <w:left w:w="28" w:type="dxa"/>
          <w:bottom w:w="28" w:type="dxa"/>
          <w:right w:w="28" w:type="dxa"/>
        </w:tblCellMar>
      </w:tblPr>
      <w:tblGrid>
        <w:gridCol w:w="2359"/>
        <w:gridCol w:w="2069"/>
        <w:gridCol w:w="2082"/>
        <w:gridCol w:w="213"/>
        <w:gridCol w:w="731"/>
        <w:gridCol w:w="110"/>
        <w:gridCol w:w="110"/>
        <w:gridCol w:w="110"/>
        <w:gridCol w:w="110"/>
        <w:gridCol w:w="213"/>
        <w:gridCol w:w="913"/>
        <w:gridCol w:w="156"/>
      </w:tblGrid>
      <w:tr>
        <w:trPr/>
        <w:tc>
          <w:tcPr>
            <w:tcW w:w="235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(484,073)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 Transition</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charges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adjustments and other items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of non-GAAP adjustments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43,712 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net income per share</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for diluted net income per share</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BALANCE SHEET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959" w:type="dxa"/>
        <w:jc w:val="center"/>
        <w:tblInd w:w="0" w:type="dxa"/>
        <w:tblLayout w:type="fixed"/>
        <w:tblCellMar>
          <w:top w:w="28" w:type="dxa"/>
          <w:left w:w="28" w:type="dxa"/>
          <w:bottom w:w="28" w:type="dxa"/>
          <w:right w:w="28" w:type="dxa"/>
        </w:tblCellMar>
      </w:tblPr>
      <w:tblGrid>
        <w:gridCol w:w="1809"/>
        <w:gridCol w:w="1590"/>
        <w:gridCol w:w="1596"/>
        <w:gridCol w:w="211"/>
        <w:gridCol w:w="976"/>
        <w:gridCol w:w="109"/>
        <w:gridCol w:w="109"/>
        <w:gridCol w:w="109"/>
        <w:gridCol w:w="109"/>
        <w:gridCol w:w="211"/>
        <w:gridCol w:w="976"/>
        <w:gridCol w:w="154"/>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investments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long-term borrowing under senior credit facility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1,768,306 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securitization facility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securities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1,043,377 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left"/>
        <w:rPr/>
      </w:pPr>
      <w:r>
        <w:rPr/>
      </w:r>
    </w:p>
    <w:tbl>
      <w:tblPr>
        <w:tblW w:w="7689" w:type="dxa"/>
        <w:jc w:val="center"/>
        <w:tblInd w:w="0" w:type="dxa"/>
        <w:tblLayout w:type="fixed"/>
        <w:tblCellMar>
          <w:top w:w="28" w:type="dxa"/>
          <w:left w:w="28" w:type="dxa"/>
          <w:bottom w:w="28" w:type="dxa"/>
          <w:right w:w="28" w:type="dxa"/>
        </w:tblCellMar>
      </w:tblPr>
      <w:tblGrid>
        <w:gridCol w:w="1840"/>
        <w:gridCol w:w="1620"/>
        <w:gridCol w:w="1625"/>
        <w:gridCol w:w="211"/>
        <w:gridCol w:w="796"/>
        <w:gridCol w:w="109"/>
        <w:gridCol w:w="109"/>
        <w:gridCol w:w="109"/>
        <w:gridCol w:w="109"/>
        <w:gridCol w:w="211"/>
        <w:gridCol w:w="79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provided by 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RECONCILIATION OF NON-GAAP ADJUSTMENTS - GAAP OPERATING CASH FLOW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MEASURES OF FREE CASH FLOW AND ADJUSTED FREE CASH FLOW CONVERSION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6238" w:type="dxa"/>
        <w:jc w:val="center"/>
        <w:tblInd w:w="0" w:type="dxa"/>
        <w:tblLayout w:type="fixed"/>
        <w:tblCellMar>
          <w:top w:w="28" w:type="dxa"/>
          <w:left w:w="28" w:type="dxa"/>
          <w:bottom w:w="28" w:type="dxa"/>
          <w:right w:w="28" w:type="dxa"/>
        </w:tblCellMar>
      </w:tblPr>
      <w:tblGrid>
        <w:gridCol w:w="1254"/>
        <w:gridCol w:w="1104"/>
        <w:gridCol w:w="1107"/>
        <w:gridCol w:w="219"/>
        <w:gridCol w:w="862"/>
        <w:gridCol w:w="282"/>
        <w:gridCol w:w="219"/>
        <w:gridCol w:w="862"/>
        <w:gridCol w:w="329"/>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22,802 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(12,307)</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(20,146)</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(11,227)</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conversion</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85,327 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70,888 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(59,525)</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(108,311)</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25,802 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(37,423)</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190,633 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171,011 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conversion</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Adjusted net income for quarters ended June 30, 2026 and 2025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calculates adjusted free cash flow conversion by dividing its free cash flow by adjusted net income. The Company believes this measure is useful in evaluating the significance of the cash special charges in its adjusted earnings measures.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NET DEBT CALCULATION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761" w:type="dxa"/>
        <w:jc w:val="left"/>
        <w:tblInd w:w="0" w:type="dxa"/>
        <w:tblLayout w:type="fixed"/>
        <w:tblCellMar>
          <w:top w:w="28" w:type="dxa"/>
          <w:left w:w="28" w:type="dxa"/>
          <w:bottom w:w="28" w:type="dxa"/>
          <w:right w:w="28" w:type="dxa"/>
        </w:tblCellMar>
      </w:tblPr>
      <w:tblGrid>
        <w:gridCol w:w="1491"/>
        <w:gridCol w:w="1313"/>
        <w:gridCol w:w="1320"/>
        <w:gridCol w:w="211"/>
        <w:gridCol w:w="976"/>
        <w:gridCol w:w="109"/>
        <w:gridCol w:w="211"/>
        <w:gridCol w:w="976"/>
        <w:gridCol w:w="154"/>
      </w:tblGrid>
      <w:tr>
        <w:trPr/>
        <w:tc>
          <w:tcPr>
            <w:tcW w:w="149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under senior credit facility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under senior credit facility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1,729,556 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securitization facility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securities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netted in the above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investments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&amp; Cash Equivalents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1,595,622 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GAAP GROSS PROFIT TO MEASURES OF ADJUSTED GROSS PROFIT AND ADJUSTED GROSS MARGIN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bl>
      <w:tblPr>
        <w:tblW w:w="7593" w:type="dxa"/>
        <w:jc w:val="center"/>
        <w:tblInd w:w="0" w:type="dxa"/>
        <w:tblLayout w:type="fixed"/>
        <w:tblCellMar>
          <w:top w:w="28" w:type="dxa"/>
          <w:left w:w="28" w:type="dxa"/>
          <w:bottom w:w="28" w:type="dxa"/>
          <w:right w:w="28" w:type="dxa"/>
        </w:tblCellMar>
      </w:tblPr>
      <w:tblGrid>
        <w:gridCol w:w="1667"/>
        <w:gridCol w:w="1466"/>
        <w:gridCol w:w="1472"/>
        <w:gridCol w:w="211"/>
        <w:gridCol w:w="826"/>
        <w:gridCol w:w="271"/>
        <w:gridCol w:w="109"/>
        <w:gridCol w:w="109"/>
        <w:gridCol w:w="109"/>
        <w:gridCol w:w="211"/>
        <w:gridCol w:w="826"/>
        <w:gridCol w:w="316"/>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415,605 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206,273 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Gross Profit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219,744 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209,332 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 Transition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256,871 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252,234 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415,605 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6041</Words>
  <Characters>35814</Characters>
  <CharactersWithSpaces>41483</CharactersWithSpaces>
  <Paragraphs>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